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085837052"/>
        <w:docPartObj>
          <w:docPartGallery w:val="Cover Pages"/>
          <w:docPartUnique/>
        </w:docPartObj>
      </w:sdtPr>
      <w:sdtEndPr>
        <w:rPr>
          <w:rFonts w:ascii="Calibri" w:eastAsiaTheme="majorEastAsia" w:hAnsi="Calibri" w:cstheme="majorBidi"/>
          <w:b/>
          <w:color w:val="00254A" w:themeColor="text2"/>
          <w:sz w:val="60"/>
          <w:szCs w:val="32"/>
        </w:rPr>
      </w:sdtEndPr>
      <w:sdtContent>
        <w:p w14:paraId="5C6CA981" w14:textId="4390DE58" w:rsidR="000F5DA3" w:rsidRPr="001E7AA4" w:rsidRDefault="004623B1">
          <w:r>
            <w:rPr>
              <w:noProof/>
            </w:rPr>
            <w:drawing>
              <wp:inline distT="0" distB="0" distL="0" distR="0" wp14:anchorId="27AEA120" wp14:editId="6A469F2F">
                <wp:extent cx="1666875" cy="409575"/>
                <wp:effectExtent l="0" t="0" r="9525" b="9525"/>
                <wp:docPr id="4" name="Graphic 4"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Australian Government."/>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666875" cy="409575"/>
                        </a:xfrm>
                        <a:prstGeom prst="rect">
                          <a:avLst/>
                        </a:prstGeom>
                      </pic:spPr>
                    </pic:pic>
                  </a:graphicData>
                </a:graphic>
              </wp:inline>
            </w:drawing>
          </w:r>
        </w:p>
        <w:p w14:paraId="502BEC30" w14:textId="17BB7886" w:rsidR="000F5DA3" w:rsidRPr="001E7AA4" w:rsidRDefault="004623B1">
          <w:pPr>
            <w:spacing w:after="160"/>
            <w:rPr>
              <w:rFonts w:ascii="Calibri" w:eastAsiaTheme="majorEastAsia" w:hAnsi="Calibri" w:cstheme="majorBidi"/>
              <w:b/>
              <w:color w:val="00254A" w:themeColor="text2"/>
              <w:sz w:val="60"/>
              <w:szCs w:val="32"/>
            </w:rPr>
          </w:pPr>
          <w:r w:rsidRPr="001E7AA4">
            <w:t xml:space="preserve">Australian Universities </w:t>
          </w:r>
          <w:r>
            <w:rPr>
              <w:noProof/>
            </w:rPr>
            <w:drawing>
              <wp:anchor distT="0" distB="0" distL="114300" distR="114300" simplePos="0" relativeHeight="251660288" behindDoc="0" locked="1" layoutInCell="1" allowOverlap="1" wp14:anchorId="0E0B5D16" wp14:editId="0650CA05">
                <wp:simplePos x="0" y="0"/>
                <wp:positionH relativeFrom="page">
                  <wp:align>left</wp:align>
                </wp:positionH>
                <wp:positionV relativeFrom="page">
                  <wp:align>top</wp:align>
                </wp:positionV>
                <wp:extent cx="7542000" cy="10663200"/>
                <wp:effectExtent l="0" t="0" r="1905" b="508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42000" cy="10663200"/>
                        </a:xfrm>
                        <a:prstGeom prst="rect">
                          <a:avLst/>
                        </a:prstGeom>
                      </pic:spPr>
                    </pic:pic>
                  </a:graphicData>
                </a:graphic>
                <wp14:sizeRelH relativeFrom="margin">
                  <wp14:pctWidth>0</wp14:pctWidth>
                </wp14:sizeRelH>
                <wp14:sizeRelV relativeFrom="margin">
                  <wp14:pctHeight>0</wp14:pctHeight>
                </wp14:sizeRelV>
              </wp:anchor>
            </w:drawing>
          </w:r>
          <w:r w:rsidRPr="001E7AA4">
            <w:t xml:space="preserve">Accord – Interim Report </w:t>
          </w:r>
          <w:r w:rsidR="000F5DA3" w:rsidRPr="001E7AA4">
            <w:rPr>
              <w:rFonts w:ascii="Calibri" w:eastAsiaTheme="majorEastAsia" w:hAnsi="Calibri" w:cstheme="majorBidi"/>
              <w:b/>
              <w:color w:val="00254A" w:themeColor="text2"/>
              <w:sz w:val="60"/>
              <w:szCs w:val="32"/>
            </w:rPr>
            <w:br w:type="page"/>
          </w:r>
        </w:p>
      </w:sdtContent>
    </w:sdt>
    <w:p w14:paraId="65110A41" w14:textId="77777777" w:rsidR="004623B1" w:rsidRDefault="004623B1" w:rsidP="004623B1">
      <w:pPr>
        <w:spacing w:before="2880"/>
        <w:rPr>
          <w:b/>
          <w:bCs/>
        </w:rPr>
      </w:pPr>
    </w:p>
    <w:p w14:paraId="17CAC471" w14:textId="4C4097EC" w:rsidR="005746D4" w:rsidRPr="005746D4" w:rsidRDefault="005746D4" w:rsidP="00625B60">
      <w:pPr>
        <w:spacing w:before="7920"/>
        <w:rPr>
          <w:b/>
          <w:bCs/>
        </w:rPr>
      </w:pPr>
      <w:r w:rsidRPr="005746D4">
        <w:rPr>
          <w:b/>
          <w:bCs/>
        </w:rPr>
        <w:t>Image Description</w:t>
      </w:r>
    </w:p>
    <w:p w14:paraId="58DEEFED" w14:textId="79A55AD6" w:rsidR="005746D4" w:rsidRDefault="005746D4" w:rsidP="005746D4">
      <w:r>
        <w:t>The image of the echidna on the front cover is to signify that there are ‘spikey’ ideas in the report. But it has another special symbolism.</w:t>
      </w:r>
    </w:p>
    <w:p w14:paraId="1C073D24" w14:textId="23121ACC" w:rsidR="00CE759F" w:rsidRDefault="005746D4" w:rsidP="00625B60">
      <w:pPr>
        <w:spacing w:after="600"/>
      </w:pPr>
      <w:r>
        <w:t>In the Eualeyai/Yuwaalaray nation of panel member Larissa Behrendt, the cultural story of the echidna (biggibilla) is one that speaks to the importance of sharing and reciprocity. These are values that have guided the Accord Panel’s process and values.</w:t>
      </w:r>
    </w:p>
    <w:p w14:paraId="68B9818A" w14:textId="62411D18" w:rsidR="00625B60" w:rsidRDefault="00625B60" w:rsidP="005746D4">
      <w:r>
        <w:rPr>
          <w:noProof/>
        </w:rPr>
        <w:drawing>
          <wp:inline distT="0" distB="0" distL="0" distR="0" wp14:anchorId="77061328" wp14:editId="0AD8C761">
            <wp:extent cx="832437" cy="291353"/>
            <wp:effectExtent l="0" t="0" r="6350" b="0"/>
            <wp:docPr id="7" name="Picture 7"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reative Commons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52387" cy="298336"/>
                    </a:xfrm>
                    <a:prstGeom prst="rect">
                      <a:avLst/>
                    </a:prstGeom>
                  </pic:spPr>
                </pic:pic>
              </a:graphicData>
            </a:graphic>
          </wp:inline>
        </w:drawing>
      </w:r>
    </w:p>
    <w:p w14:paraId="4FCCA38D" w14:textId="2B5D142F" w:rsidR="005746D4" w:rsidRDefault="005746D4" w:rsidP="005746D4">
      <w:r>
        <w:t xml:space="preserve">With the exception of the Commonwealth Coat of Arms, the Department’s logo, any material protected by a trade mark and where otherwise noted all material presented in this document is provided under a </w:t>
      </w:r>
      <w:hyperlink r:id="rId15" w:history="1">
        <w:r w:rsidRPr="005746D4">
          <w:rPr>
            <w:rStyle w:val="Hyperlink"/>
          </w:rPr>
          <w:t>Creative Commons Attribution 4.0 International</w:t>
        </w:r>
      </w:hyperlink>
      <w:r>
        <w:t>.</w:t>
      </w:r>
    </w:p>
    <w:p w14:paraId="414D9B1A" w14:textId="164229CC" w:rsidR="005746D4" w:rsidRDefault="005746D4" w:rsidP="005746D4">
      <w:r>
        <w:t xml:space="preserve">The details of the relevant licence conditions are available on the Creative Commons website (accessible using the links provided) as is the full legal code for the </w:t>
      </w:r>
      <w:hyperlink r:id="rId16" w:history="1">
        <w:r w:rsidRPr="005746D4">
          <w:rPr>
            <w:rStyle w:val="Hyperlink"/>
          </w:rPr>
          <w:t>CC BY 4.0 International</w:t>
        </w:r>
      </w:hyperlink>
      <w:r>
        <w:t xml:space="preserve"> </w:t>
      </w:r>
    </w:p>
    <w:p w14:paraId="590E54FC" w14:textId="5ABE293B" w:rsidR="005746D4" w:rsidRDefault="005746D4" w:rsidP="004623B1">
      <w:r>
        <w:t>The document must be attributed as the Australian Universities Accord Interim Report.</w:t>
      </w:r>
      <w:r>
        <w:br w:type="page"/>
      </w:r>
    </w:p>
    <w:p w14:paraId="0B60F9AE" w14:textId="13BF05B0" w:rsidR="003462A4" w:rsidRPr="001E7AA4" w:rsidRDefault="004623B1" w:rsidP="004623B1">
      <w:pPr>
        <w:pStyle w:val="TOCHeading"/>
      </w:pPr>
      <w:bookmarkStart w:id="0" w:name="_Toc126923147"/>
      <w:bookmarkStart w:id="1" w:name="_Toc126923158"/>
      <w:bookmarkStart w:id="2" w:name="_Toc126923317"/>
      <w:r>
        <w:lastRenderedPageBreak/>
        <w:t>Contents</w:t>
      </w:r>
    </w:p>
    <w:sdt>
      <w:sdtPr>
        <w:rPr>
          <w:b w:val="0"/>
          <w:bCs w:val="0"/>
          <w:i w:val="0"/>
          <w:iCs w:val="0"/>
          <w:sz w:val="20"/>
          <w:szCs w:val="20"/>
        </w:rPr>
        <w:id w:val="1789957719"/>
        <w:docPartObj>
          <w:docPartGallery w:val="Table of Contents"/>
          <w:docPartUnique/>
        </w:docPartObj>
      </w:sdtPr>
      <w:sdtEndPr>
        <w:rPr>
          <w:b/>
          <w:bCs/>
          <w:i/>
          <w:iCs/>
          <w:sz w:val="24"/>
          <w:szCs w:val="24"/>
        </w:rPr>
      </w:sdtEndPr>
      <w:sdtContent>
        <w:p w14:paraId="0CF0E455" w14:textId="0BF6DFB3" w:rsidR="00A60B24" w:rsidRDefault="00341DFD">
          <w:pPr>
            <w:pStyle w:val="TOC1"/>
            <w:rPr>
              <w:rFonts w:eastAsiaTheme="minorEastAsia" w:cstheme="minorBidi"/>
              <w:b w:val="0"/>
              <w:bCs w:val="0"/>
              <w:i w:val="0"/>
              <w:iCs w:val="0"/>
              <w:noProof/>
              <w:kern w:val="2"/>
              <w:sz w:val="22"/>
              <w:szCs w:val="22"/>
              <w:lang w:eastAsia="en-AU"/>
              <w14:ligatures w14:val="standardContextual"/>
            </w:rPr>
          </w:pPr>
          <w:r w:rsidRPr="001E7AA4">
            <w:fldChar w:fldCharType="begin"/>
          </w:r>
          <w:r w:rsidR="00127346" w:rsidRPr="001E7AA4">
            <w:instrText>TOC \o "1-3" \h \z \u</w:instrText>
          </w:r>
          <w:r w:rsidRPr="001E7AA4">
            <w:fldChar w:fldCharType="separate"/>
          </w:r>
          <w:hyperlink w:anchor="_Toc139028842" w:history="1">
            <w:r w:rsidR="00A60B24" w:rsidRPr="00A708A9">
              <w:rPr>
                <w:rStyle w:val="Hyperlink"/>
                <w:noProof/>
              </w:rPr>
              <w:t>The Review story at a glance…</w:t>
            </w:r>
            <w:r w:rsidR="00A60B24">
              <w:rPr>
                <w:noProof/>
                <w:webHidden/>
              </w:rPr>
              <w:tab/>
            </w:r>
            <w:r w:rsidR="00A60B24">
              <w:rPr>
                <w:noProof/>
                <w:webHidden/>
              </w:rPr>
              <w:fldChar w:fldCharType="begin"/>
            </w:r>
            <w:r w:rsidR="00A60B24">
              <w:rPr>
                <w:noProof/>
                <w:webHidden/>
              </w:rPr>
              <w:instrText xml:space="preserve"> PAGEREF _Toc139028842 \h </w:instrText>
            </w:r>
            <w:r w:rsidR="00A60B24">
              <w:rPr>
                <w:noProof/>
                <w:webHidden/>
              </w:rPr>
            </w:r>
            <w:r w:rsidR="00A60B24">
              <w:rPr>
                <w:noProof/>
                <w:webHidden/>
              </w:rPr>
              <w:fldChar w:fldCharType="separate"/>
            </w:r>
            <w:r w:rsidR="00663203">
              <w:rPr>
                <w:noProof/>
                <w:webHidden/>
              </w:rPr>
              <w:t>6</w:t>
            </w:r>
            <w:r w:rsidR="00A60B24">
              <w:rPr>
                <w:noProof/>
                <w:webHidden/>
              </w:rPr>
              <w:fldChar w:fldCharType="end"/>
            </w:r>
          </w:hyperlink>
        </w:p>
        <w:p w14:paraId="107456DE" w14:textId="5E9E6E1F" w:rsidR="00A60B24" w:rsidRDefault="007C65C8">
          <w:pPr>
            <w:pStyle w:val="TOC1"/>
            <w:rPr>
              <w:rFonts w:eastAsiaTheme="minorEastAsia" w:cstheme="minorBidi"/>
              <w:b w:val="0"/>
              <w:bCs w:val="0"/>
              <w:i w:val="0"/>
              <w:iCs w:val="0"/>
              <w:noProof/>
              <w:kern w:val="2"/>
              <w:sz w:val="22"/>
              <w:szCs w:val="22"/>
              <w:lang w:eastAsia="en-AU"/>
              <w14:ligatures w14:val="standardContextual"/>
            </w:rPr>
          </w:pPr>
          <w:hyperlink w:anchor="_Toc139028843" w:history="1">
            <w:r w:rsidR="00A60B24" w:rsidRPr="00A708A9">
              <w:rPr>
                <w:rStyle w:val="Hyperlink"/>
                <w:noProof/>
              </w:rPr>
              <w:t>Executive Summary</w:t>
            </w:r>
            <w:r w:rsidR="00A60B24">
              <w:rPr>
                <w:noProof/>
                <w:webHidden/>
              </w:rPr>
              <w:tab/>
            </w:r>
            <w:r w:rsidR="00A60B24">
              <w:rPr>
                <w:noProof/>
                <w:webHidden/>
              </w:rPr>
              <w:fldChar w:fldCharType="begin"/>
            </w:r>
            <w:r w:rsidR="00A60B24">
              <w:rPr>
                <w:noProof/>
                <w:webHidden/>
              </w:rPr>
              <w:instrText xml:space="preserve"> PAGEREF _Toc139028843 \h </w:instrText>
            </w:r>
            <w:r w:rsidR="00A60B24">
              <w:rPr>
                <w:noProof/>
                <w:webHidden/>
              </w:rPr>
            </w:r>
            <w:r w:rsidR="00A60B24">
              <w:rPr>
                <w:noProof/>
                <w:webHidden/>
              </w:rPr>
              <w:fldChar w:fldCharType="separate"/>
            </w:r>
            <w:r w:rsidR="00663203">
              <w:rPr>
                <w:noProof/>
                <w:webHidden/>
              </w:rPr>
              <w:t>9</w:t>
            </w:r>
            <w:r w:rsidR="00A60B24">
              <w:rPr>
                <w:noProof/>
                <w:webHidden/>
              </w:rPr>
              <w:fldChar w:fldCharType="end"/>
            </w:r>
          </w:hyperlink>
        </w:p>
        <w:p w14:paraId="5A35344A" w14:textId="5DA96F10" w:rsidR="00A60B24" w:rsidRDefault="007C65C8">
          <w:pPr>
            <w:pStyle w:val="TOC3"/>
            <w:rPr>
              <w:rFonts w:eastAsiaTheme="minorEastAsia" w:cstheme="minorBidi"/>
              <w:noProof/>
              <w:kern w:val="2"/>
              <w:sz w:val="22"/>
              <w:szCs w:val="22"/>
              <w:lang w:eastAsia="en-AU"/>
              <w14:ligatures w14:val="standardContextual"/>
            </w:rPr>
          </w:pPr>
          <w:hyperlink w:anchor="_Toc139028844" w:history="1">
            <w:r w:rsidR="00A60B24" w:rsidRPr="00A708A9">
              <w:rPr>
                <w:rStyle w:val="Hyperlink"/>
                <w:noProof/>
              </w:rPr>
              <w:t>Why this Review?</w:t>
            </w:r>
            <w:r w:rsidR="00A60B24">
              <w:rPr>
                <w:noProof/>
                <w:webHidden/>
              </w:rPr>
              <w:tab/>
            </w:r>
            <w:r w:rsidR="00A60B24">
              <w:rPr>
                <w:noProof/>
                <w:webHidden/>
              </w:rPr>
              <w:fldChar w:fldCharType="begin"/>
            </w:r>
            <w:r w:rsidR="00A60B24">
              <w:rPr>
                <w:noProof/>
                <w:webHidden/>
              </w:rPr>
              <w:instrText xml:space="preserve"> PAGEREF _Toc139028844 \h </w:instrText>
            </w:r>
            <w:r w:rsidR="00A60B24">
              <w:rPr>
                <w:noProof/>
                <w:webHidden/>
              </w:rPr>
            </w:r>
            <w:r w:rsidR="00A60B24">
              <w:rPr>
                <w:noProof/>
                <w:webHidden/>
              </w:rPr>
              <w:fldChar w:fldCharType="separate"/>
            </w:r>
            <w:r w:rsidR="00663203">
              <w:rPr>
                <w:noProof/>
                <w:webHidden/>
              </w:rPr>
              <w:t>9</w:t>
            </w:r>
            <w:r w:rsidR="00A60B24">
              <w:rPr>
                <w:noProof/>
                <w:webHidden/>
              </w:rPr>
              <w:fldChar w:fldCharType="end"/>
            </w:r>
          </w:hyperlink>
        </w:p>
        <w:p w14:paraId="4623CE77" w14:textId="27B6C34E" w:rsidR="00A60B24" w:rsidRDefault="007C65C8">
          <w:pPr>
            <w:pStyle w:val="TOC3"/>
            <w:rPr>
              <w:rFonts w:eastAsiaTheme="minorEastAsia" w:cstheme="minorBidi"/>
              <w:noProof/>
              <w:kern w:val="2"/>
              <w:sz w:val="22"/>
              <w:szCs w:val="22"/>
              <w:lang w:eastAsia="en-AU"/>
              <w14:ligatures w14:val="standardContextual"/>
            </w:rPr>
          </w:pPr>
          <w:hyperlink w:anchor="_Toc139028845" w:history="1">
            <w:r w:rsidR="00A60B24" w:rsidRPr="00A708A9">
              <w:rPr>
                <w:rStyle w:val="Hyperlink"/>
                <w:noProof/>
              </w:rPr>
              <w:t>The scope of the Review</w:t>
            </w:r>
            <w:r w:rsidR="00A60B24">
              <w:rPr>
                <w:noProof/>
                <w:webHidden/>
              </w:rPr>
              <w:tab/>
            </w:r>
            <w:r w:rsidR="00A60B24">
              <w:rPr>
                <w:noProof/>
                <w:webHidden/>
              </w:rPr>
              <w:fldChar w:fldCharType="begin"/>
            </w:r>
            <w:r w:rsidR="00A60B24">
              <w:rPr>
                <w:noProof/>
                <w:webHidden/>
              </w:rPr>
              <w:instrText xml:space="preserve"> PAGEREF _Toc139028845 \h </w:instrText>
            </w:r>
            <w:r w:rsidR="00A60B24">
              <w:rPr>
                <w:noProof/>
                <w:webHidden/>
              </w:rPr>
            </w:r>
            <w:r w:rsidR="00A60B24">
              <w:rPr>
                <w:noProof/>
                <w:webHidden/>
              </w:rPr>
              <w:fldChar w:fldCharType="separate"/>
            </w:r>
            <w:r w:rsidR="00663203">
              <w:rPr>
                <w:noProof/>
                <w:webHidden/>
              </w:rPr>
              <w:t>10</w:t>
            </w:r>
            <w:r w:rsidR="00A60B24">
              <w:rPr>
                <w:noProof/>
                <w:webHidden/>
              </w:rPr>
              <w:fldChar w:fldCharType="end"/>
            </w:r>
          </w:hyperlink>
        </w:p>
        <w:p w14:paraId="66B489A3" w14:textId="2C60C187" w:rsidR="00A60B24" w:rsidRDefault="007C65C8">
          <w:pPr>
            <w:pStyle w:val="TOC3"/>
            <w:rPr>
              <w:rFonts w:eastAsiaTheme="minorEastAsia" w:cstheme="minorBidi"/>
              <w:noProof/>
              <w:kern w:val="2"/>
              <w:sz w:val="22"/>
              <w:szCs w:val="22"/>
              <w:lang w:eastAsia="en-AU"/>
              <w14:ligatures w14:val="standardContextual"/>
            </w:rPr>
          </w:pPr>
          <w:hyperlink w:anchor="_Toc139028846" w:history="1">
            <w:r w:rsidR="00A60B24" w:rsidRPr="00A708A9">
              <w:rPr>
                <w:rStyle w:val="Hyperlink"/>
                <w:noProof/>
              </w:rPr>
              <w:t>The role of the Interim Report</w:t>
            </w:r>
            <w:r w:rsidR="00A60B24">
              <w:rPr>
                <w:noProof/>
                <w:webHidden/>
              </w:rPr>
              <w:tab/>
            </w:r>
            <w:r w:rsidR="00A60B24">
              <w:rPr>
                <w:noProof/>
                <w:webHidden/>
              </w:rPr>
              <w:fldChar w:fldCharType="begin"/>
            </w:r>
            <w:r w:rsidR="00A60B24">
              <w:rPr>
                <w:noProof/>
                <w:webHidden/>
              </w:rPr>
              <w:instrText xml:space="preserve"> PAGEREF _Toc139028846 \h </w:instrText>
            </w:r>
            <w:r w:rsidR="00A60B24">
              <w:rPr>
                <w:noProof/>
                <w:webHidden/>
              </w:rPr>
            </w:r>
            <w:r w:rsidR="00A60B24">
              <w:rPr>
                <w:noProof/>
                <w:webHidden/>
              </w:rPr>
              <w:fldChar w:fldCharType="separate"/>
            </w:r>
            <w:r w:rsidR="00663203">
              <w:rPr>
                <w:noProof/>
                <w:webHidden/>
              </w:rPr>
              <w:t>11</w:t>
            </w:r>
            <w:r w:rsidR="00A60B24">
              <w:rPr>
                <w:noProof/>
                <w:webHidden/>
              </w:rPr>
              <w:fldChar w:fldCharType="end"/>
            </w:r>
          </w:hyperlink>
        </w:p>
        <w:p w14:paraId="37112D53" w14:textId="22551728" w:rsidR="00A60B24" w:rsidRDefault="007C65C8">
          <w:pPr>
            <w:pStyle w:val="TOC3"/>
            <w:rPr>
              <w:rFonts w:eastAsiaTheme="minorEastAsia" w:cstheme="minorBidi"/>
              <w:noProof/>
              <w:kern w:val="2"/>
              <w:sz w:val="22"/>
              <w:szCs w:val="22"/>
              <w:lang w:eastAsia="en-AU"/>
              <w14:ligatures w14:val="standardContextual"/>
            </w:rPr>
          </w:pPr>
          <w:hyperlink w:anchor="_Toc139028847" w:history="1">
            <w:r w:rsidR="00A60B24" w:rsidRPr="00A708A9">
              <w:rPr>
                <w:rStyle w:val="Hyperlink"/>
                <w:noProof/>
              </w:rPr>
              <w:t>Building an enduring Accord</w:t>
            </w:r>
            <w:r w:rsidR="00A60B24">
              <w:rPr>
                <w:noProof/>
                <w:webHidden/>
              </w:rPr>
              <w:tab/>
            </w:r>
            <w:r w:rsidR="00A60B24">
              <w:rPr>
                <w:noProof/>
                <w:webHidden/>
              </w:rPr>
              <w:fldChar w:fldCharType="begin"/>
            </w:r>
            <w:r w:rsidR="00A60B24">
              <w:rPr>
                <w:noProof/>
                <w:webHidden/>
              </w:rPr>
              <w:instrText xml:space="preserve"> PAGEREF _Toc139028847 \h </w:instrText>
            </w:r>
            <w:r w:rsidR="00A60B24">
              <w:rPr>
                <w:noProof/>
                <w:webHidden/>
              </w:rPr>
            </w:r>
            <w:r w:rsidR="00A60B24">
              <w:rPr>
                <w:noProof/>
                <w:webHidden/>
              </w:rPr>
              <w:fldChar w:fldCharType="separate"/>
            </w:r>
            <w:r w:rsidR="00663203">
              <w:rPr>
                <w:noProof/>
                <w:webHidden/>
              </w:rPr>
              <w:t>23</w:t>
            </w:r>
            <w:r w:rsidR="00A60B24">
              <w:rPr>
                <w:noProof/>
                <w:webHidden/>
              </w:rPr>
              <w:fldChar w:fldCharType="end"/>
            </w:r>
          </w:hyperlink>
        </w:p>
        <w:p w14:paraId="29048D57" w14:textId="2C3DDBA7" w:rsidR="00A60B24" w:rsidRDefault="007C65C8">
          <w:pPr>
            <w:pStyle w:val="TOC3"/>
            <w:rPr>
              <w:rFonts w:eastAsiaTheme="minorEastAsia" w:cstheme="minorBidi"/>
              <w:noProof/>
              <w:kern w:val="2"/>
              <w:sz w:val="22"/>
              <w:szCs w:val="22"/>
              <w:lang w:eastAsia="en-AU"/>
              <w14:ligatures w14:val="standardContextual"/>
            </w:rPr>
          </w:pPr>
          <w:hyperlink w:anchor="_Toc139028848" w:history="1">
            <w:r w:rsidR="00A60B24" w:rsidRPr="00A708A9">
              <w:rPr>
                <w:rStyle w:val="Hyperlink"/>
                <w:noProof/>
              </w:rPr>
              <w:t>Next steps and further engagement</w:t>
            </w:r>
            <w:r w:rsidR="00A60B24">
              <w:rPr>
                <w:noProof/>
                <w:webHidden/>
              </w:rPr>
              <w:tab/>
            </w:r>
            <w:r w:rsidR="00A60B24">
              <w:rPr>
                <w:noProof/>
                <w:webHidden/>
              </w:rPr>
              <w:fldChar w:fldCharType="begin"/>
            </w:r>
            <w:r w:rsidR="00A60B24">
              <w:rPr>
                <w:noProof/>
                <w:webHidden/>
              </w:rPr>
              <w:instrText xml:space="preserve"> PAGEREF _Toc139028848 \h </w:instrText>
            </w:r>
            <w:r w:rsidR="00A60B24">
              <w:rPr>
                <w:noProof/>
                <w:webHidden/>
              </w:rPr>
            </w:r>
            <w:r w:rsidR="00A60B24">
              <w:rPr>
                <w:noProof/>
                <w:webHidden/>
              </w:rPr>
              <w:fldChar w:fldCharType="separate"/>
            </w:r>
            <w:r w:rsidR="00663203">
              <w:rPr>
                <w:noProof/>
                <w:webHidden/>
              </w:rPr>
              <w:t>24</w:t>
            </w:r>
            <w:r w:rsidR="00A60B24">
              <w:rPr>
                <w:noProof/>
                <w:webHidden/>
              </w:rPr>
              <w:fldChar w:fldCharType="end"/>
            </w:r>
          </w:hyperlink>
        </w:p>
        <w:p w14:paraId="2EAF0152" w14:textId="5FB3CA51" w:rsidR="00A60B24" w:rsidRDefault="007C65C8">
          <w:pPr>
            <w:pStyle w:val="TOC1"/>
            <w:rPr>
              <w:rFonts w:eastAsiaTheme="minorEastAsia" w:cstheme="minorBidi"/>
              <w:b w:val="0"/>
              <w:bCs w:val="0"/>
              <w:i w:val="0"/>
              <w:iCs w:val="0"/>
              <w:noProof/>
              <w:kern w:val="2"/>
              <w:sz w:val="22"/>
              <w:szCs w:val="22"/>
              <w:lang w:eastAsia="en-AU"/>
              <w14:ligatures w14:val="standardContextual"/>
            </w:rPr>
          </w:pPr>
          <w:hyperlink w:anchor="_Toc139028849" w:history="1">
            <w:r w:rsidR="00A60B24" w:rsidRPr="00A708A9">
              <w:rPr>
                <w:rStyle w:val="Hyperlink"/>
                <w:noProof/>
                <w:lang w:eastAsia="en-AU"/>
              </w:rPr>
              <w:t>A vision for Australia’s future higher education system</w:t>
            </w:r>
            <w:r w:rsidR="00A60B24">
              <w:rPr>
                <w:noProof/>
                <w:webHidden/>
              </w:rPr>
              <w:tab/>
            </w:r>
            <w:r w:rsidR="00A60B24">
              <w:rPr>
                <w:noProof/>
                <w:webHidden/>
              </w:rPr>
              <w:fldChar w:fldCharType="begin"/>
            </w:r>
            <w:r w:rsidR="00A60B24">
              <w:rPr>
                <w:noProof/>
                <w:webHidden/>
              </w:rPr>
              <w:instrText xml:space="preserve"> PAGEREF _Toc139028849 \h </w:instrText>
            </w:r>
            <w:r w:rsidR="00A60B24">
              <w:rPr>
                <w:noProof/>
                <w:webHidden/>
              </w:rPr>
            </w:r>
            <w:r w:rsidR="00A60B24">
              <w:rPr>
                <w:noProof/>
                <w:webHidden/>
              </w:rPr>
              <w:fldChar w:fldCharType="separate"/>
            </w:r>
            <w:r w:rsidR="00663203">
              <w:rPr>
                <w:noProof/>
                <w:webHidden/>
              </w:rPr>
              <w:t>25</w:t>
            </w:r>
            <w:r w:rsidR="00A60B24">
              <w:rPr>
                <w:noProof/>
                <w:webHidden/>
              </w:rPr>
              <w:fldChar w:fldCharType="end"/>
            </w:r>
          </w:hyperlink>
        </w:p>
        <w:p w14:paraId="0AD281E8" w14:textId="404C36A2" w:rsidR="00A60B24" w:rsidRDefault="007C65C8">
          <w:pPr>
            <w:pStyle w:val="TOC1"/>
            <w:rPr>
              <w:rFonts w:eastAsiaTheme="minorEastAsia" w:cstheme="minorBidi"/>
              <w:b w:val="0"/>
              <w:bCs w:val="0"/>
              <w:i w:val="0"/>
              <w:iCs w:val="0"/>
              <w:noProof/>
              <w:kern w:val="2"/>
              <w:sz w:val="22"/>
              <w:szCs w:val="22"/>
              <w:lang w:eastAsia="en-AU"/>
              <w14:ligatures w14:val="standardContextual"/>
            </w:rPr>
          </w:pPr>
          <w:hyperlink w:anchor="_Toc139028850" w:history="1">
            <w:r w:rsidR="00A60B24" w:rsidRPr="00A708A9">
              <w:rPr>
                <w:rStyle w:val="Hyperlink"/>
                <w:noProof/>
              </w:rPr>
              <w:t>Ten possible ‘system shifts’ to improve Australia’s higher education system</w:t>
            </w:r>
            <w:r w:rsidR="00A60B24">
              <w:rPr>
                <w:noProof/>
                <w:webHidden/>
              </w:rPr>
              <w:tab/>
            </w:r>
            <w:r w:rsidR="00A60B24">
              <w:rPr>
                <w:noProof/>
                <w:webHidden/>
              </w:rPr>
              <w:fldChar w:fldCharType="begin"/>
            </w:r>
            <w:r w:rsidR="00A60B24">
              <w:rPr>
                <w:noProof/>
                <w:webHidden/>
              </w:rPr>
              <w:instrText xml:space="preserve"> PAGEREF _Toc139028850 \h </w:instrText>
            </w:r>
            <w:r w:rsidR="00A60B24">
              <w:rPr>
                <w:noProof/>
                <w:webHidden/>
              </w:rPr>
            </w:r>
            <w:r w:rsidR="00A60B24">
              <w:rPr>
                <w:noProof/>
                <w:webHidden/>
              </w:rPr>
              <w:fldChar w:fldCharType="separate"/>
            </w:r>
            <w:r w:rsidR="00663203">
              <w:rPr>
                <w:noProof/>
                <w:webHidden/>
              </w:rPr>
              <w:t>28</w:t>
            </w:r>
            <w:r w:rsidR="00A60B24">
              <w:rPr>
                <w:noProof/>
                <w:webHidden/>
              </w:rPr>
              <w:fldChar w:fldCharType="end"/>
            </w:r>
          </w:hyperlink>
        </w:p>
        <w:p w14:paraId="48CE4FF6" w14:textId="029CEF0C" w:rsidR="00A60B24" w:rsidRDefault="007C65C8">
          <w:pPr>
            <w:pStyle w:val="TOC1"/>
            <w:rPr>
              <w:rFonts w:eastAsiaTheme="minorEastAsia" w:cstheme="minorBidi"/>
              <w:b w:val="0"/>
              <w:bCs w:val="0"/>
              <w:i w:val="0"/>
              <w:iCs w:val="0"/>
              <w:noProof/>
              <w:kern w:val="2"/>
              <w:sz w:val="22"/>
              <w:szCs w:val="22"/>
              <w:lang w:eastAsia="en-AU"/>
              <w14:ligatures w14:val="standardContextual"/>
            </w:rPr>
          </w:pPr>
          <w:hyperlink w:anchor="_Toc139028851" w:history="1">
            <w:r w:rsidR="00A60B24" w:rsidRPr="00A708A9">
              <w:rPr>
                <w:rStyle w:val="Hyperlink"/>
                <w:noProof/>
              </w:rPr>
              <w:t>Part 1</w:t>
            </w:r>
            <w:r w:rsidR="00A60B24">
              <w:rPr>
                <w:noProof/>
                <w:webHidden/>
              </w:rPr>
              <w:tab/>
            </w:r>
            <w:r w:rsidR="00A60B24">
              <w:rPr>
                <w:noProof/>
                <w:webHidden/>
              </w:rPr>
              <w:fldChar w:fldCharType="begin"/>
            </w:r>
            <w:r w:rsidR="00A60B24">
              <w:rPr>
                <w:noProof/>
                <w:webHidden/>
              </w:rPr>
              <w:instrText xml:space="preserve"> PAGEREF _Toc139028851 \h </w:instrText>
            </w:r>
            <w:r w:rsidR="00A60B24">
              <w:rPr>
                <w:noProof/>
                <w:webHidden/>
              </w:rPr>
            </w:r>
            <w:r w:rsidR="00A60B24">
              <w:rPr>
                <w:noProof/>
                <w:webHidden/>
              </w:rPr>
              <w:fldChar w:fldCharType="separate"/>
            </w:r>
            <w:r w:rsidR="00663203">
              <w:rPr>
                <w:noProof/>
                <w:webHidden/>
              </w:rPr>
              <w:t>29</w:t>
            </w:r>
            <w:r w:rsidR="00A60B24">
              <w:rPr>
                <w:noProof/>
                <w:webHidden/>
              </w:rPr>
              <w:fldChar w:fldCharType="end"/>
            </w:r>
          </w:hyperlink>
        </w:p>
        <w:p w14:paraId="2DDE706D" w14:textId="51ECE24B" w:rsidR="00A60B24" w:rsidRDefault="007C65C8">
          <w:pPr>
            <w:pStyle w:val="TOC1"/>
            <w:rPr>
              <w:rFonts w:eastAsiaTheme="minorEastAsia" w:cstheme="minorBidi"/>
              <w:b w:val="0"/>
              <w:bCs w:val="0"/>
              <w:i w:val="0"/>
              <w:iCs w:val="0"/>
              <w:noProof/>
              <w:kern w:val="2"/>
              <w:sz w:val="22"/>
              <w:szCs w:val="22"/>
              <w:lang w:eastAsia="en-AU"/>
              <w14:ligatures w14:val="standardContextual"/>
            </w:rPr>
          </w:pPr>
          <w:hyperlink w:anchor="_Toc139028852" w:history="1">
            <w:r w:rsidR="00A60B24" w:rsidRPr="00A708A9">
              <w:rPr>
                <w:rStyle w:val="Hyperlink"/>
                <w:noProof/>
              </w:rPr>
              <w:t>Chapter 1 Powering Progress: the future of Australian higher education</w:t>
            </w:r>
            <w:r w:rsidR="00A60B24">
              <w:rPr>
                <w:noProof/>
                <w:webHidden/>
              </w:rPr>
              <w:tab/>
            </w:r>
            <w:r w:rsidR="00A60B24">
              <w:rPr>
                <w:noProof/>
                <w:webHidden/>
              </w:rPr>
              <w:fldChar w:fldCharType="begin"/>
            </w:r>
            <w:r w:rsidR="00A60B24">
              <w:rPr>
                <w:noProof/>
                <w:webHidden/>
              </w:rPr>
              <w:instrText xml:space="preserve"> PAGEREF _Toc139028852 \h </w:instrText>
            </w:r>
            <w:r w:rsidR="00A60B24">
              <w:rPr>
                <w:noProof/>
                <w:webHidden/>
              </w:rPr>
            </w:r>
            <w:r w:rsidR="00A60B24">
              <w:rPr>
                <w:noProof/>
                <w:webHidden/>
              </w:rPr>
              <w:fldChar w:fldCharType="separate"/>
            </w:r>
            <w:r w:rsidR="00663203">
              <w:rPr>
                <w:noProof/>
                <w:webHidden/>
              </w:rPr>
              <w:t>29</w:t>
            </w:r>
            <w:r w:rsidR="00A60B24">
              <w:rPr>
                <w:noProof/>
                <w:webHidden/>
              </w:rPr>
              <w:fldChar w:fldCharType="end"/>
            </w:r>
          </w:hyperlink>
        </w:p>
        <w:p w14:paraId="498BDA31" w14:textId="5C147383" w:rsidR="00A60B24" w:rsidRDefault="007C65C8">
          <w:pPr>
            <w:pStyle w:val="TOC3"/>
            <w:rPr>
              <w:rFonts w:eastAsiaTheme="minorEastAsia" w:cstheme="minorBidi"/>
              <w:noProof/>
              <w:kern w:val="2"/>
              <w:sz w:val="22"/>
              <w:szCs w:val="22"/>
              <w:lang w:eastAsia="en-AU"/>
              <w14:ligatures w14:val="standardContextual"/>
            </w:rPr>
          </w:pPr>
          <w:hyperlink w:anchor="_Toc139028853" w:history="1">
            <w:r w:rsidR="00A60B24" w:rsidRPr="00A708A9">
              <w:rPr>
                <w:rStyle w:val="Hyperlink"/>
                <w:noProof/>
                <w:lang w:eastAsia="en-AU"/>
              </w:rPr>
              <w:t>1.1 Introduction</w:t>
            </w:r>
            <w:r w:rsidR="00A60B24">
              <w:rPr>
                <w:noProof/>
                <w:webHidden/>
              </w:rPr>
              <w:tab/>
            </w:r>
            <w:r w:rsidR="00A60B24">
              <w:rPr>
                <w:noProof/>
                <w:webHidden/>
              </w:rPr>
              <w:fldChar w:fldCharType="begin"/>
            </w:r>
            <w:r w:rsidR="00A60B24">
              <w:rPr>
                <w:noProof/>
                <w:webHidden/>
              </w:rPr>
              <w:instrText xml:space="preserve"> PAGEREF _Toc139028853 \h </w:instrText>
            </w:r>
            <w:r w:rsidR="00A60B24">
              <w:rPr>
                <w:noProof/>
                <w:webHidden/>
              </w:rPr>
            </w:r>
            <w:r w:rsidR="00A60B24">
              <w:rPr>
                <w:noProof/>
                <w:webHidden/>
              </w:rPr>
              <w:fldChar w:fldCharType="separate"/>
            </w:r>
            <w:r w:rsidR="00663203">
              <w:rPr>
                <w:noProof/>
                <w:webHidden/>
              </w:rPr>
              <w:t>29</w:t>
            </w:r>
            <w:r w:rsidR="00A60B24">
              <w:rPr>
                <w:noProof/>
                <w:webHidden/>
              </w:rPr>
              <w:fldChar w:fldCharType="end"/>
            </w:r>
          </w:hyperlink>
        </w:p>
        <w:p w14:paraId="153E666A" w14:textId="7E7F7552" w:rsidR="00A60B24" w:rsidRDefault="007C65C8">
          <w:pPr>
            <w:pStyle w:val="TOC3"/>
            <w:rPr>
              <w:rFonts w:eastAsiaTheme="minorEastAsia" w:cstheme="minorBidi"/>
              <w:noProof/>
              <w:kern w:val="2"/>
              <w:sz w:val="22"/>
              <w:szCs w:val="22"/>
              <w:lang w:eastAsia="en-AU"/>
              <w14:ligatures w14:val="standardContextual"/>
            </w:rPr>
          </w:pPr>
          <w:hyperlink w:anchor="_Toc139028854" w:history="1">
            <w:r w:rsidR="00A60B24" w:rsidRPr="00A708A9">
              <w:rPr>
                <w:rStyle w:val="Hyperlink"/>
                <w:noProof/>
                <w:lang w:eastAsia="en-AU"/>
              </w:rPr>
              <w:t>1.2 The education imperative to meet Australia’s future needs</w:t>
            </w:r>
            <w:r w:rsidR="00A60B24">
              <w:rPr>
                <w:noProof/>
                <w:webHidden/>
              </w:rPr>
              <w:tab/>
            </w:r>
            <w:r w:rsidR="00A60B24">
              <w:rPr>
                <w:noProof/>
                <w:webHidden/>
              </w:rPr>
              <w:fldChar w:fldCharType="begin"/>
            </w:r>
            <w:r w:rsidR="00A60B24">
              <w:rPr>
                <w:noProof/>
                <w:webHidden/>
              </w:rPr>
              <w:instrText xml:space="preserve"> PAGEREF _Toc139028854 \h </w:instrText>
            </w:r>
            <w:r w:rsidR="00A60B24">
              <w:rPr>
                <w:noProof/>
                <w:webHidden/>
              </w:rPr>
            </w:r>
            <w:r w:rsidR="00A60B24">
              <w:rPr>
                <w:noProof/>
                <w:webHidden/>
              </w:rPr>
              <w:fldChar w:fldCharType="separate"/>
            </w:r>
            <w:r w:rsidR="00663203">
              <w:rPr>
                <w:noProof/>
                <w:webHidden/>
              </w:rPr>
              <w:t>29</w:t>
            </w:r>
            <w:r w:rsidR="00A60B24">
              <w:rPr>
                <w:noProof/>
                <w:webHidden/>
              </w:rPr>
              <w:fldChar w:fldCharType="end"/>
            </w:r>
          </w:hyperlink>
        </w:p>
        <w:p w14:paraId="15EBB778" w14:textId="6BD456C6" w:rsidR="00A60B24" w:rsidRDefault="007C65C8">
          <w:pPr>
            <w:pStyle w:val="TOC3"/>
            <w:rPr>
              <w:rFonts w:eastAsiaTheme="minorEastAsia" w:cstheme="minorBidi"/>
              <w:noProof/>
              <w:kern w:val="2"/>
              <w:sz w:val="22"/>
              <w:szCs w:val="22"/>
              <w:lang w:eastAsia="en-AU"/>
              <w14:ligatures w14:val="standardContextual"/>
            </w:rPr>
          </w:pPr>
          <w:hyperlink w:anchor="_Toc139028855" w:history="1">
            <w:r w:rsidR="00A60B24" w:rsidRPr="00A708A9">
              <w:rPr>
                <w:rStyle w:val="Hyperlink"/>
                <w:noProof/>
                <w:lang w:eastAsia="en-AU"/>
              </w:rPr>
              <w:t>1.3 Key challenges for the future higher education system</w:t>
            </w:r>
            <w:r w:rsidR="00A60B24">
              <w:rPr>
                <w:noProof/>
                <w:webHidden/>
              </w:rPr>
              <w:tab/>
            </w:r>
            <w:r w:rsidR="00A60B24">
              <w:rPr>
                <w:noProof/>
                <w:webHidden/>
              </w:rPr>
              <w:fldChar w:fldCharType="begin"/>
            </w:r>
            <w:r w:rsidR="00A60B24">
              <w:rPr>
                <w:noProof/>
                <w:webHidden/>
              </w:rPr>
              <w:instrText xml:space="preserve"> PAGEREF _Toc139028855 \h </w:instrText>
            </w:r>
            <w:r w:rsidR="00A60B24">
              <w:rPr>
                <w:noProof/>
                <w:webHidden/>
              </w:rPr>
            </w:r>
            <w:r w:rsidR="00A60B24">
              <w:rPr>
                <w:noProof/>
                <w:webHidden/>
              </w:rPr>
              <w:fldChar w:fldCharType="separate"/>
            </w:r>
            <w:r w:rsidR="00663203">
              <w:rPr>
                <w:noProof/>
                <w:webHidden/>
              </w:rPr>
              <w:t>31</w:t>
            </w:r>
            <w:r w:rsidR="00A60B24">
              <w:rPr>
                <w:noProof/>
                <w:webHidden/>
              </w:rPr>
              <w:fldChar w:fldCharType="end"/>
            </w:r>
          </w:hyperlink>
        </w:p>
        <w:p w14:paraId="0EEA2A99" w14:textId="62399B2C" w:rsidR="00A60B24" w:rsidRDefault="007C65C8">
          <w:pPr>
            <w:pStyle w:val="TOC3"/>
            <w:rPr>
              <w:rFonts w:eastAsiaTheme="minorEastAsia" w:cstheme="minorBidi"/>
              <w:noProof/>
              <w:kern w:val="2"/>
              <w:sz w:val="22"/>
              <w:szCs w:val="22"/>
              <w:lang w:eastAsia="en-AU"/>
              <w14:ligatures w14:val="standardContextual"/>
            </w:rPr>
          </w:pPr>
          <w:hyperlink w:anchor="_Toc139028856" w:history="1">
            <w:r w:rsidR="00A60B24" w:rsidRPr="00A708A9">
              <w:rPr>
                <w:rStyle w:val="Hyperlink"/>
                <w:noProof/>
              </w:rPr>
              <w:t>1.4 First Nations at the heart of Australia’s higher education system</w:t>
            </w:r>
            <w:r w:rsidR="00A60B24">
              <w:rPr>
                <w:noProof/>
                <w:webHidden/>
              </w:rPr>
              <w:tab/>
            </w:r>
            <w:r w:rsidR="00A60B24">
              <w:rPr>
                <w:noProof/>
                <w:webHidden/>
              </w:rPr>
              <w:fldChar w:fldCharType="begin"/>
            </w:r>
            <w:r w:rsidR="00A60B24">
              <w:rPr>
                <w:noProof/>
                <w:webHidden/>
              </w:rPr>
              <w:instrText xml:space="preserve"> PAGEREF _Toc139028856 \h </w:instrText>
            </w:r>
            <w:r w:rsidR="00A60B24">
              <w:rPr>
                <w:noProof/>
                <w:webHidden/>
              </w:rPr>
            </w:r>
            <w:r w:rsidR="00A60B24">
              <w:rPr>
                <w:noProof/>
                <w:webHidden/>
              </w:rPr>
              <w:fldChar w:fldCharType="separate"/>
            </w:r>
            <w:r w:rsidR="00663203">
              <w:rPr>
                <w:noProof/>
                <w:webHidden/>
              </w:rPr>
              <w:t>35</w:t>
            </w:r>
            <w:r w:rsidR="00A60B24">
              <w:rPr>
                <w:noProof/>
                <w:webHidden/>
              </w:rPr>
              <w:fldChar w:fldCharType="end"/>
            </w:r>
          </w:hyperlink>
        </w:p>
        <w:p w14:paraId="4870E54E" w14:textId="213BBE5A" w:rsidR="00A60B24" w:rsidRDefault="007C65C8">
          <w:pPr>
            <w:pStyle w:val="TOC3"/>
            <w:rPr>
              <w:rFonts w:eastAsiaTheme="minorEastAsia" w:cstheme="minorBidi"/>
              <w:noProof/>
              <w:kern w:val="2"/>
              <w:sz w:val="22"/>
              <w:szCs w:val="22"/>
              <w:lang w:eastAsia="en-AU"/>
              <w14:ligatures w14:val="standardContextual"/>
            </w:rPr>
          </w:pPr>
          <w:hyperlink w:anchor="_Toc139028857" w:history="1">
            <w:r w:rsidR="00A60B24" w:rsidRPr="00A708A9">
              <w:rPr>
                <w:rStyle w:val="Hyperlink"/>
                <w:noProof/>
              </w:rPr>
              <w:t>1.5 There are critical first steps to be taken now</w:t>
            </w:r>
            <w:r w:rsidR="00A60B24">
              <w:rPr>
                <w:noProof/>
                <w:webHidden/>
              </w:rPr>
              <w:tab/>
            </w:r>
            <w:r w:rsidR="00A60B24">
              <w:rPr>
                <w:noProof/>
                <w:webHidden/>
              </w:rPr>
              <w:fldChar w:fldCharType="begin"/>
            </w:r>
            <w:r w:rsidR="00A60B24">
              <w:rPr>
                <w:noProof/>
                <w:webHidden/>
              </w:rPr>
              <w:instrText xml:space="preserve"> PAGEREF _Toc139028857 \h </w:instrText>
            </w:r>
            <w:r w:rsidR="00A60B24">
              <w:rPr>
                <w:noProof/>
                <w:webHidden/>
              </w:rPr>
            </w:r>
            <w:r w:rsidR="00A60B24">
              <w:rPr>
                <w:noProof/>
                <w:webHidden/>
              </w:rPr>
              <w:fldChar w:fldCharType="separate"/>
            </w:r>
            <w:r w:rsidR="00663203">
              <w:rPr>
                <w:noProof/>
                <w:webHidden/>
              </w:rPr>
              <w:t>37</w:t>
            </w:r>
            <w:r w:rsidR="00A60B24">
              <w:rPr>
                <w:noProof/>
                <w:webHidden/>
              </w:rPr>
              <w:fldChar w:fldCharType="end"/>
            </w:r>
          </w:hyperlink>
        </w:p>
        <w:p w14:paraId="2E19C43E" w14:textId="4C3863E8" w:rsidR="00A60B24" w:rsidRDefault="007C65C8">
          <w:pPr>
            <w:pStyle w:val="TOC3"/>
            <w:rPr>
              <w:rFonts w:eastAsiaTheme="minorEastAsia" w:cstheme="minorBidi"/>
              <w:noProof/>
              <w:kern w:val="2"/>
              <w:sz w:val="22"/>
              <w:szCs w:val="22"/>
              <w:lang w:eastAsia="en-AU"/>
              <w14:ligatures w14:val="standardContextual"/>
            </w:rPr>
          </w:pPr>
          <w:hyperlink w:anchor="_Toc139028858" w:history="1">
            <w:r w:rsidR="00A60B24" w:rsidRPr="00A708A9">
              <w:rPr>
                <w:rStyle w:val="Hyperlink"/>
                <w:noProof/>
              </w:rPr>
              <w:t>1.6 Consultation, engagement and next steps</w:t>
            </w:r>
            <w:r w:rsidR="00A60B24">
              <w:rPr>
                <w:noProof/>
                <w:webHidden/>
              </w:rPr>
              <w:tab/>
            </w:r>
            <w:r w:rsidR="00A60B24">
              <w:rPr>
                <w:noProof/>
                <w:webHidden/>
              </w:rPr>
              <w:fldChar w:fldCharType="begin"/>
            </w:r>
            <w:r w:rsidR="00A60B24">
              <w:rPr>
                <w:noProof/>
                <w:webHidden/>
              </w:rPr>
              <w:instrText xml:space="preserve"> PAGEREF _Toc139028858 \h </w:instrText>
            </w:r>
            <w:r w:rsidR="00A60B24">
              <w:rPr>
                <w:noProof/>
                <w:webHidden/>
              </w:rPr>
            </w:r>
            <w:r w:rsidR="00A60B24">
              <w:rPr>
                <w:noProof/>
                <w:webHidden/>
              </w:rPr>
              <w:fldChar w:fldCharType="separate"/>
            </w:r>
            <w:r w:rsidR="00663203">
              <w:rPr>
                <w:noProof/>
                <w:webHidden/>
              </w:rPr>
              <w:t>39</w:t>
            </w:r>
            <w:r w:rsidR="00A60B24">
              <w:rPr>
                <w:noProof/>
                <w:webHidden/>
              </w:rPr>
              <w:fldChar w:fldCharType="end"/>
            </w:r>
          </w:hyperlink>
        </w:p>
        <w:p w14:paraId="2D8A4F5F" w14:textId="6273C057" w:rsidR="00A60B24" w:rsidRDefault="007C65C8">
          <w:pPr>
            <w:pStyle w:val="TOC3"/>
            <w:rPr>
              <w:rFonts w:eastAsiaTheme="minorEastAsia" w:cstheme="minorBidi"/>
              <w:noProof/>
              <w:kern w:val="2"/>
              <w:sz w:val="22"/>
              <w:szCs w:val="22"/>
              <w:lang w:eastAsia="en-AU"/>
              <w14:ligatures w14:val="standardContextual"/>
            </w:rPr>
          </w:pPr>
          <w:hyperlink w:anchor="_Toc139028859" w:history="1">
            <w:r w:rsidR="00A60B24" w:rsidRPr="00A708A9">
              <w:rPr>
                <w:rStyle w:val="Hyperlink"/>
                <w:noProof/>
              </w:rPr>
              <w:t>1.7 Building an Accord</w:t>
            </w:r>
            <w:r w:rsidR="00A60B24">
              <w:rPr>
                <w:noProof/>
                <w:webHidden/>
              </w:rPr>
              <w:tab/>
            </w:r>
            <w:r w:rsidR="00A60B24">
              <w:rPr>
                <w:noProof/>
                <w:webHidden/>
              </w:rPr>
              <w:fldChar w:fldCharType="begin"/>
            </w:r>
            <w:r w:rsidR="00A60B24">
              <w:rPr>
                <w:noProof/>
                <w:webHidden/>
              </w:rPr>
              <w:instrText xml:space="preserve"> PAGEREF _Toc139028859 \h </w:instrText>
            </w:r>
            <w:r w:rsidR="00A60B24">
              <w:rPr>
                <w:noProof/>
                <w:webHidden/>
              </w:rPr>
            </w:r>
            <w:r w:rsidR="00A60B24">
              <w:rPr>
                <w:noProof/>
                <w:webHidden/>
              </w:rPr>
              <w:fldChar w:fldCharType="separate"/>
            </w:r>
            <w:r w:rsidR="00663203">
              <w:rPr>
                <w:noProof/>
                <w:webHidden/>
              </w:rPr>
              <w:t>39</w:t>
            </w:r>
            <w:r w:rsidR="00A60B24">
              <w:rPr>
                <w:noProof/>
                <w:webHidden/>
              </w:rPr>
              <w:fldChar w:fldCharType="end"/>
            </w:r>
          </w:hyperlink>
        </w:p>
        <w:p w14:paraId="2E13C8FA" w14:textId="4CAE0006" w:rsidR="00A60B24" w:rsidRDefault="007C65C8">
          <w:pPr>
            <w:pStyle w:val="TOC1"/>
            <w:rPr>
              <w:rFonts w:eastAsiaTheme="minorEastAsia" w:cstheme="minorBidi"/>
              <w:b w:val="0"/>
              <w:bCs w:val="0"/>
              <w:i w:val="0"/>
              <w:iCs w:val="0"/>
              <w:noProof/>
              <w:kern w:val="2"/>
              <w:sz w:val="22"/>
              <w:szCs w:val="22"/>
              <w:lang w:eastAsia="en-AU"/>
              <w14:ligatures w14:val="standardContextual"/>
            </w:rPr>
          </w:pPr>
          <w:hyperlink w:anchor="_Toc139028860" w:history="1">
            <w:r w:rsidR="00A60B24" w:rsidRPr="00A708A9">
              <w:rPr>
                <w:rStyle w:val="Hyperlink"/>
                <w:noProof/>
              </w:rPr>
              <w:t>Part 2</w:t>
            </w:r>
            <w:r w:rsidR="00A60B24">
              <w:rPr>
                <w:noProof/>
                <w:webHidden/>
              </w:rPr>
              <w:tab/>
            </w:r>
            <w:r w:rsidR="00A60B24">
              <w:rPr>
                <w:noProof/>
                <w:webHidden/>
              </w:rPr>
              <w:fldChar w:fldCharType="begin"/>
            </w:r>
            <w:r w:rsidR="00A60B24">
              <w:rPr>
                <w:noProof/>
                <w:webHidden/>
              </w:rPr>
              <w:instrText xml:space="preserve"> PAGEREF _Toc139028860 \h </w:instrText>
            </w:r>
            <w:r w:rsidR="00A60B24">
              <w:rPr>
                <w:noProof/>
                <w:webHidden/>
              </w:rPr>
            </w:r>
            <w:r w:rsidR="00A60B24">
              <w:rPr>
                <w:noProof/>
                <w:webHidden/>
              </w:rPr>
              <w:fldChar w:fldCharType="separate"/>
            </w:r>
            <w:r w:rsidR="00663203">
              <w:rPr>
                <w:noProof/>
                <w:webHidden/>
              </w:rPr>
              <w:t>40</w:t>
            </w:r>
            <w:r w:rsidR="00A60B24">
              <w:rPr>
                <w:noProof/>
                <w:webHidden/>
              </w:rPr>
              <w:fldChar w:fldCharType="end"/>
            </w:r>
          </w:hyperlink>
        </w:p>
        <w:p w14:paraId="4811F403" w14:textId="279CC9C9" w:rsidR="00A60B24" w:rsidRDefault="007C65C8">
          <w:pPr>
            <w:pStyle w:val="TOC1"/>
            <w:rPr>
              <w:rFonts w:eastAsiaTheme="minorEastAsia" w:cstheme="minorBidi"/>
              <w:b w:val="0"/>
              <w:bCs w:val="0"/>
              <w:i w:val="0"/>
              <w:iCs w:val="0"/>
              <w:noProof/>
              <w:kern w:val="2"/>
              <w:sz w:val="22"/>
              <w:szCs w:val="22"/>
              <w:lang w:eastAsia="en-AU"/>
              <w14:ligatures w14:val="standardContextual"/>
            </w:rPr>
          </w:pPr>
          <w:hyperlink w:anchor="_Toc139028861" w:history="1">
            <w:r w:rsidR="00A60B24" w:rsidRPr="00A708A9">
              <w:rPr>
                <w:rStyle w:val="Hyperlink"/>
                <w:noProof/>
              </w:rPr>
              <w:t>Chapter 2 Evolving the mission for higher education</w:t>
            </w:r>
            <w:r w:rsidR="00A60B24">
              <w:rPr>
                <w:noProof/>
                <w:webHidden/>
              </w:rPr>
              <w:tab/>
            </w:r>
            <w:r w:rsidR="00A60B24">
              <w:rPr>
                <w:noProof/>
                <w:webHidden/>
              </w:rPr>
              <w:fldChar w:fldCharType="begin"/>
            </w:r>
            <w:r w:rsidR="00A60B24">
              <w:rPr>
                <w:noProof/>
                <w:webHidden/>
              </w:rPr>
              <w:instrText xml:space="preserve"> PAGEREF _Toc139028861 \h </w:instrText>
            </w:r>
            <w:r w:rsidR="00A60B24">
              <w:rPr>
                <w:noProof/>
                <w:webHidden/>
              </w:rPr>
            </w:r>
            <w:r w:rsidR="00A60B24">
              <w:rPr>
                <w:noProof/>
                <w:webHidden/>
              </w:rPr>
              <w:fldChar w:fldCharType="separate"/>
            </w:r>
            <w:r w:rsidR="00663203">
              <w:rPr>
                <w:noProof/>
                <w:webHidden/>
              </w:rPr>
              <w:t>40</w:t>
            </w:r>
            <w:r w:rsidR="00A60B24">
              <w:rPr>
                <w:noProof/>
                <w:webHidden/>
              </w:rPr>
              <w:fldChar w:fldCharType="end"/>
            </w:r>
          </w:hyperlink>
        </w:p>
        <w:p w14:paraId="73CB0515" w14:textId="2C2711F3" w:rsidR="00A60B24" w:rsidRDefault="007C65C8">
          <w:pPr>
            <w:pStyle w:val="TOC1"/>
            <w:rPr>
              <w:rFonts w:eastAsiaTheme="minorEastAsia" w:cstheme="minorBidi"/>
              <w:b w:val="0"/>
              <w:bCs w:val="0"/>
              <w:i w:val="0"/>
              <w:iCs w:val="0"/>
              <w:noProof/>
              <w:kern w:val="2"/>
              <w:sz w:val="22"/>
              <w:szCs w:val="22"/>
              <w:lang w:eastAsia="en-AU"/>
              <w14:ligatures w14:val="standardContextual"/>
            </w:rPr>
          </w:pPr>
          <w:hyperlink w:anchor="_Toc139028862" w:history="1">
            <w:r w:rsidR="00A60B24" w:rsidRPr="00A708A9">
              <w:rPr>
                <w:rStyle w:val="Hyperlink"/>
                <w:noProof/>
              </w:rPr>
              <w:t>2.1: A larger, fairer system</w:t>
            </w:r>
            <w:r w:rsidR="00A60B24">
              <w:rPr>
                <w:noProof/>
                <w:webHidden/>
              </w:rPr>
              <w:tab/>
            </w:r>
            <w:r w:rsidR="00A60B24">
              <w:rPr>
                <w:noProof/>
                <w:webHidden/>
              </w:rPr>
              <w:fldChar w:fldCharType="begin"/>
            </w:r>
            <w:r w:rsidR="00A60B24">
              <w:rPr>
                <w:noProof/>
                <w:webHidden/>
              </w:rPr>
              <w:instrText xml:space="preserve"> PAGEREF _Toc139028862 \h </w:instrText>
            </w:r>
            <w:r w:rsidR="00A60B24">
              <w:rPr>
                <w:noProof/>
                <w:webHidden/>
              </w:rPr>
            </w:r>
            <w:r w:rsidR="00A60B24">
              <w:rPr>
                <w:noProof/>
                <w:webHidden/>
              </w:rPr>
              <w:fldChar w:fldCharType="separate"/>
            </w:r>
            <w:r w:rsidR="00663203">
              <w:rPr>
                <w:noProof/>
                <w:webHidden/>
              </w:rPr>
              <w:t>41</w:t>
            </w:r>
            <w:r w:rsidR="00A60B24">
              <w:rPr>
                <w:noProof/>
                <w:webHidden/>
              </w:rPr>
              <w:fldChar w:fldCharType="end"/>
            </w:r>
          </w:hyperlink>
        </w:p>
        <w:p w14:paraId="4E8EE958" w14:textId="7A20A1E8" w:rsidR="00A60B24" w:rsidRDefault="007C65C8">
          <w:pPr>
            <w:pStyle w:val="TOC3"/>
            <w:rPr>
              <w:rFonts w:eastAsiaTheme="minorEastAsia" w:cstheme="minorBidi"/>
              <w:noProof/>
              <w:kern w:val="2"/>
              <w:sz w:val="22"/>
              <w:szCs w:val="22"/>
              <w:lang w:eastAsia="en-AU"/>
              <w14:ligatures w14:val="standardContextual"/>
            </w:rPr>
          </w:pPr>
          <w:hyperlink w:anchor="_Toc139028863" w:history="1">
            <w:r w:rsidR="00A60B24" w:rsidRPr="00A708A9">
              <w:rPr>
                <w:rStyle w:val="Hyperlink"/>
                <w:noProof/>
              </w:rPr>
              <w:t>Issues</w:t>
            </w:r>
            <w:r w:rsidR="00A60B24">
              <w:rPr>
                <w:noProof/>
                <w:webHidden/>
              </w:rPr>
              <w:tab/>
            </w:r>
            <w:r w:rsidR="00A60B24">
              <w:rPr>
                <w:noProof/>
                <w:webHidden/>
              </w:rPr>
              <w:fldChar w:fldCharType="begin"/>
            </w:r>
            <w:r w:rsidR="00A60B24">
              <w:rPr>
                <w:noProof/>
                <w:webHidden/>
              </w:rPr>
              <w:instrText xml:space="preserve"> PAGEREF _Toc139028863 \h </w:instrText>
            </w:r>
            <w:r w:rsidR="00A60B24">
              <w:rPr>
                <w:noProof/>
                <w:webHidden/>
              </w:rPr>
            </w:r>
            <w:r w:rsidR="00A60B24">
              <w:rPr>
                <w:noProof/>
                <w:webHidden/>
              </w:rPr>
              <w:fldChar w:fldCharType="separate"/>
            </w:r>
            <w:r w:rsidR="00663203">
              <w:rPr>
                <w:noProof/>
                <w:webHidden/>
              </w:rPr>
              <w:t>41</w:t>
            </w:r>
            <w:r w:rsidR="00A60B24">
              <w:rPr>
                <w:noProof/>
                <w:webHidden/>
              </w:rPr>
              <w:fldChar w:fldCharType="end"/>
            </w:r>
          </w:hyperlink>
        </w:p>
        <w:p w14:paraId="5B9AB267" w14:textId="2D0FB828" w:rsidR="00A60B24" w:rsidRDefault="007C65C8">
          <w:pPr>
            <w:pStyle w:val="TOC3"/>
            <w:rPr>
              <w:rFonts w:eastAsiaTheme="minorEastAsia" w:cstheme="minorBidi"/>
              <w:noProof/>
              <w:kern w:val="2"/>
              <w:sz w:val="22"/>
              <w:szCs w:val="22"/>
              <w:lang w:eastAsia="en-AU"/>
              <w14:ligatures w14:val="standardContextual"/>
            </w:rPr>
          </w:pPr>
          <w:hyperlink w:anchor="_Toc139028864" w:history="1">
            <w:r w:rsidR="00A60B24" w:rsidRPr="00A708A9">
              <w:rPr>
                <w:rStyle w:val="Hyperlink"/>
                <w:noProof/>
              </w:rPr>
              <w:t>2.1.1 New targets to drive action</w:t>
            </w:r>
            <w:r w:rsidR="00A60B24">
              <w:rPr>
                <w:noProof/>
                <w:webHidden/>
              </w:rPr>
              <w:tab/>
            </w:r>
            <w:r w:rsidR="00A60B24">
              <w:rPr>
                <w:noProof/>
                <w:webHidden/>
              </w:rPr>
              <w:fldChar w:fldCharType="begin"/>
            </w:r>
            <w:r w:rsidR="00A60B24">
              <w:rPr>
                <w:noProof/>
                <w:webHidden/>
              </w:rPr>
              <w:instrText xml:space="preserve"> PAGEREF _Toc139028864 \h </w:instrText>
            </w:r>
            <w:r w:rsidR="00A60B24">
              <w:rPr>
                <w:noProof/>
                <w:webHidden/>
              </w:rPr>
            </w:r>
            <w:r w:rsidR="00A60B24">
              <w:rPr>
                <w:noProof/>
                <w:webHidden/>
              </w:rPr>
              <w:fldChar w:fldCharType="separate"/>
            </w:r>
            <w:r w:rsidR="00663203">
              <w:rPr>
                <w:noProof/>
                <w:webHidden/>
              </w:rPr>
              <w:t>41</w:t>
            </w:r>
            <w:r w:rsidR="00A60B24">
              <w:rPr>
                <w:noProof/>
                <w:webHidden/>
              </w:rPr>
              <w:fldChar w:fldCharType="end"/>
            </w:r>
          </w:hyperlink>
        </w:p>
        <w:p w14:paraId="58BB06AA" w14:textId="7E55FF28" w:rsidR="00A60B24" w:rsidRDefault="007C65C8">
          <w:pPr>
            <w:pStyle w:val="TOC3"/>
            <w:rPr>
              <w:rFonts w:eastAsiaTheme="minorEastAsia" w:cstheme="minorBidi"/>
              <w:noProof/>
              <w:kern w:val="2"/>
              <w:sz w:val="22"/>
              <w:szCs w:val="22"/>
              <w:lang w:eastAsia="en-AU"/>
              <w14:ligatures w14:val="standardContextual"/>
            </w:rPr>
          </w:pPr>
          <w:hyperlink w:anchor="_Toc139028865" w:history="1">
            <w:r w:rsidR="00A60B24" w:rsidRPr="00A708A9">
              <w:rPr>
                <w:rStyle w:val="Hyperlink"/>
                <w:noProof/>
              </w:rPr>
              <w:t>2.1.2 Alignment between funding and overall objectives</w:t>
            </w:r>
            <w:r w:rsidR="00A60B24">
              <w:rPr>
                <w:noProof/>
                <w:webHidden/>
              </w:rPr>
              <w:tab/>
            </w:r>
            <w:r w:rsidR="00A60B24">
              <w:rPr>
                <w:noProof/>
                <w:webHidden/>
              </w:rPr>
              <w:fldChar w:fldCharType="begin"/>
            </w:r>
            <w:r w:rsidR="00A60B24">
              <w:rPr>
                <w:noProof/>
                <w:webHidden/>
              </w:rPr>
              <w:instrText xml:space="preserve"> PAGEREF _Toc139028865 \h </w:instrText>
            </w:r>
            <w:r w:rsidR="00A60B24">
              <w:rPr>
                <w:noProof/>
                <w:webHidden/>
              </w:rPr>
            </w:r>
            <w:r w:rsidR="00A60B24">
              <w:rPr>
                <w:noProof/>
                <w:webHidden/>
              </w:rPr>
              <w:fldChar w:fldCharType="separate"/>
            </w:r>
            <w:r w:rsidR="00663203">
              <w:rPr>
                <w:noProof/>
                <w:webHidden/>
              </w:rPr>
              <w:t>46</w:t>
            </w:r>
            <w:r w:rsidR="00A60B24">
              <w:rPr>
                <w:noProof/>
                <w:webHidden/>
              </w:rPr>
              <w:fldChar w:fldCharType="end"/>
            </w:r>
          </w:hyperlink>
        </w:p>
        <w:p w14:paraId="19FB7B28" w14:textId="34BC01E7" w:rsidR="00A60B24" w:rsidRDefault="007C65C8">
          <w:pPr>
            <w:pStyle w:val="TOC3"/>
            <w:rPr>
              <w:rFonts w:eastAsiaTheme="minorEastAsia" w:cstheme="minorBidi"/>
              <w:noProof/>
              <w:kern w:val="2"/>
              <w:sz w:val="22"/>
              <w:szCs w:val="22"/>
              <w:lang w:eastAsia="en-AU"/>
              <w14:ligatures w14:val="standardContextual"/>
            </w:rPr>
          </w:pPr>
          <w:hyperlink w:anchor="_Toc139028866" w:history="1">
            <w:r w:rsidR="00A60B24" w:rsidRPr="00A708A9">
              <w:rPr>
                <w:rStyle w:val="Hyperlink"/>
                <w:noProof/>
              </w:rPr>
              <w:t>2.1.3 Meeting attainment targets requires increased equity cohort participation</w:t>
            </w:r>
            <w:r w:rsidR="00A60B24">
              <w:rPr>
                <w:noProof/>
                <w:webHidden/>
              </w:rPr>
              <w:tab/>
            </w:r>
            <w:r w:rsidR="00A60B24">
              <w:rPr>
                <w:noProof/>
                <w:webHidden/>
              </w:rPr>
              <w:fldChar w:fldCharType="begin"/>
            </w:r>
            <w:r w:rsidR="00A60B24">
              <w:rPr>
                <w:noProof/>
                <w:webHidden/>
              </w:rPr>
              <w:instrText xml:space="preserve"> PAGEREF _Toc139028866 \h </w:instrText>
            </w:r>
            <w:r w:rsidR="00A60B24">
              <w:rPr>
                <w:noProof/>
                <w:webHidden/>
              </w:rPr>
            </w:r>
            <w:r w:rsidR="00A60B24">
              <w:rPr>
                <w:noProof/>
                <w:webHidden/>
              </w:rPr>
              <w:fldChar w:fldCharType="separate"/>
            </w:r>
            <w:r w:rsidR="00663203">
              <w:rPr>
                <w:noProof/>
                <w:webHidden/>
              </w:rPr>
              <w:t>47</w:t>
            </w:r>
            <w:r w:rsidR="00A60B24">
              <w:rPr>
                <w:noProof/>
                <w:webHidden/>
              </w:rPr>
              <w:fldChar w:fldCharType="end"/>
            </w:r>
          </w:hyperlink>
        </w:p>
        <w:p w14:paraId="5FB06760" w14:textId="76FF2F97" w:rsidR="00A60B24" w:rsidRDefault="007C65C8">
          <w:pPr>
            <w:pStyle w:val="TOC3"/>
            <w:rPr>
              <w:rFonts w:eastAsiaTheme="minorEastAsia" w:cstheme="minorBidi"/>
              <w:noProof/>
              <w:kern w:val="2"/>
              <w:sz w:val="22"/>
              <w:szCs w:val="22"/>
              <w:lang w:eastAsia="en-AU"/>
              <w14:ligatures w14:val="standardContextual"/>
            </w:rPr>
          </w:pPr>
          <w:hyperlink w:anchor="_Toc139028867" w:history="1">
            <w:r w:rsidR="00A60B24" w:rsidRPr="00A708A9">
              <w:rPr>
                <w:rStyle w:val="Hyperlink"/>
                <w:noProof/>
              </w:rPr>
              <w:t>2.1.4 A universal learning entitlement to support access to a high-quality tertiary education</w:t>
            </w:r>
            <w:r w:rsidR="00A60B24">
              <w:rPr>
                <w:noProof/>
                <w:webHidden/>
              </w:rPr>
              <w:tab/>
            </w:r>
            <w:r w:rsidR="00A60B24">
              <w:rPr>
                <w:noProof/>
                <w:webHidden/>
              </w:rPr>
              <w:fldChar w:fldCharType="begin"/>
            </w:r>
            <w:r w:rsidR="00A60B24">
              <w:rPr>
                <w:noProof/>
                <w:webHidden/>
              </w:rPr>
              <w:instrText xml:space="preserve"> PAGEREF _Toc139028867 \h </w:instrText>
            </w:r>
            <w:r w:rsidR="00A60B24">
              <w:rPr>
                <w:noProof/>
                <w:webHidden/>
              </w:rPr>
            </w:r>
            <w:r w:rsidR="00A60B24">
              <w:rPr>
                <w:noProof/>
                <w:webHidden/>
              </w:rPr>
              <w:fldChar w:fldCharType="separate"/>
            </w:r>
            <w:r w:rsidR="00663203">
              <w:rPr>
                <w:noProof/>
                <w:webHidden/>
              </w:rPr>
              <w:t>51</w:t>
            </w:r>
            <w:r w:rsidR="00A60B24">
              <w:rPr>
                <w:noProof/>
                <w:webHidden/>
              </w:rPr>
              <w:fldChar w:fldCharType="end"/>
            </w:r>
          </w:hyperlink>
        </w:p>
        <w:p w14:paraId="0D7AB069" w14:textId="2488658C" w:rsidR="00A60B24" w:rsidRDefault="007C65C8">
          <w:pPr>
            <w:pStyle w:val="TOC3"/>
            <w:rPr>
              <w:rFonts w:eastAsiaTheme="minorEastAsia" w:cstheme="minorBidi"/>
              <w:noProof/>
              <w:kern w:val="2"/>
              <w:sz w:val="22"/>
              <w:szCs w:val="22"/>
              <w:lang w:eastAsia="en-AU"/>
              <w14:ligatures w14:val="standardContextual"/>
            </w:rPr>
          </w:pPr>
          <w:hyperlink w:anchor="_Toc139028868" w:history="1">
            <w:r w:rsidR="00A60B24" w:rsidRPr="00A708A9">
              <w:rPr>
                <w:rStyle w:val="Hyperlink"/>
                <w:noProof/>
              </w:rPr>
              <w:t>Considerations for change</w:t>
            </w:r>
            <w:r w:rsidR="00A60B24">
              <w:rPr>
                <w:noProof/>
                <w:webHidden/>
              </w:rPr>
              <w:tab/>
            </w:r>
            <w:r w:rsidR="00A60B24">
              <w:rPr>
                <w:noProof/>
                <w:webHidden/>
              </w:rPr>
              <w:fldChar w:fldCharType="begin"/>
            </w:r>
            <w:r w:rsidR="00A60B24">
              <w:rPr>
                <w:noProof/>
                <w:webHidden/>
              </w:rPr>
              <w:instrText xml:space="preserve"> PAGEREF _Toc139028868 \h </w:instrText>
            </w:r>
            <w:r w:rsidR="00A60B24">
              <w:rPr>
                <w:noProof/>
                <w:webHidden/>
              </w:rPr>
            </w:r>
            <w:r w:rsidR="00A60B24">
              <w:rPr>
                <w:noProof/>
                <w:webHidden/>
              </w:rPr>
              <w:fldChar w:fldCharType="separate"/>
            </w:r>
            <w:r w:rsidR="00663203">
              <w:rPr>
                <w:noProof/>
                <w:webHidden/>
              </w:rPr>
              <w:t>51</w:t>
            </w:r>
            <w:r w:rsidR="00A60B24">
              <w:rPr>
                <w:noProof/>
                <w:webHidden/>
              </w:rPr>
              <w:fldChar w:fldCharType="end"/>
            </w:r>
          </w:hyperlink>
        </w:p>
        <w:p w14:paraId="36CE5A27" w14:textId="3672AE25" w:rsidR="00A60B24" w:rsidRDefault="007C65C8">
          <w:pPr>
            <w:pStyle w:val="TOC1"/>
            <w:rPr>
              <w:rFonts w:eastAsiaTheme="minorEastAsia" w:cstheme="minorBidi"/>
              <w:b w:val="0"/>
              <w:bCs w:val="0"/>
              <w:i w:val="0"/>
              <w:iCs w:val="0"/>
              <w:noProof/>
              <w:kern w:val="2"/>
              <w:sz w:val="22"/>
              <w:szCs w:val="22"/>
              <w:lang w:eastAsia="en-AU"/>
              <w14:ligatures w14:val="standardContextual"/>
            </w:rPr>
          </w:pPr>
          <w:hyperlink w:anchor="_Toc139028869" w:history="1">
            <w:r w:rsidR="00A60B24" w:rsidRPr="00A708A9">
              <w:rPr>
                <w:rStyle w:val="Hyperlink"/>
                <w:noProof/>
              </w:rPr>
              <w:t>2.2: Meeting Australia’s future skills needs</w:t>
            </w:r>
            <w:r w:rsidR="00A60B24">
              <w:rPr>
                <w:noProof/>
                <w:webHidden/>
              </w:rPr>
              <w:tab/>
            </w:r>
            <w:r w:rsidR="00A60B24">
              <w:rPr>
                <w:noProof/>
                <w:webHidden/>
              </w:rPr>
              <w:fldChar w:fldCharType="begin"/>
            </w:r>
            <w:r w:rsidR="00A60B24">
              <w:rPr>
                <w:noProof/>
                <w:webHidden/>
              </w:rPr>
              <w:instrText xml:space="preserve"> PAGEREF _Toc139028869 \h </w:instrText>
            </w:r>
            <w:r w:rsidR="00A60B24">
              <w:rPr>
                <w:noProof/>
                <w:webHidden/>
              </w:rPr>
            </w:r>
            <w:r w:rsidR="00A60B24">
              <w:rPr>
                <w:noProof/>
                <w:webHidden/>
              </w:rPr>
              <w:fldChar w:fldCharType="separate"/>
            </w:r>
            <w:r w:rsidR="00663203">
              <w:rPr>
                <w:noProof/>
                <w:webHidden/>
              </w:rPr>
              <w:t>53</w:t>
            </w:r>
            <w:r w:rsidR="00A60B24">
              <w:rPr>
                <w:noProof/>
                <w:webHidden/>
              </w:rPr>
              <w:fldChar w:fldCharType="end"/>
            </w:r>
          </w:hyperlink>
        </w:p>
        <w:p w14:paraId="256551E0" w14:textId="643179C6" w:rsidR="00A60B24" w:rsidRDefault="007C65C8">
          <w:pPr>
            <w:pStyle w:val="TOC3"/>
            <w:rPr>
              <w:rFonts w:eastAsiaTheme="minorEastAsia" w:cstheme="minorBidi"/>
              <w:noProof/>
              <w:kern w:val="2"/>
              <w:sz w:val="22"/>
              <w:szCs w:val="22"/>
              <w:lang w:eastAsia="en-AU"/>
              <w14:ligatures w14:val="standardContextual"/>
            </w:rPr>
          </w:pPr>
          <w:hyperlink w:anchor="_Toc139028870" w:history="1">
            <w:r w:rsidR="00A60B24" w:rsidRPr="00A708A9">
              <w:rPr>
                <w:rStyle w:val="Hyperlink"/>
                <w:noProof/>
              </w:rPr>
              <w:t>Issues</w:t>
            </w:r>
            <w:r w:rsidR="00A60B24">
              <w:rPr>
                <w:noProof/>
                <w:webHidden/>
              </w:rPr>
              <w:tab/>
            </w:r>
            <w:r w:rsidR="00A60B24">
              <w:rPr>
                <w:noProof/>
                <w:webHidden/>
              </w:rPr>
              <w:fldChar w:fldCharType="begin"/>
            </w:r>
            <w:r w:rsidR="00A60B24">
              <w:rPr>
                <w:noProof/>
                <w:webHidden/>
              </w:rPr>
              <w:instrText xml:space="preserve"> PAGEREF _Toc139028870 \h </w:instrText>
            </w:r>
            <w:r w:rsidR="00A60B24">
              <w:rPr>
                <w:noProof/>
                <w:webHidden/>
              </w:rPr>
            </w:r>
            <w:r w:rsidR="00A60B24">
              <w:rPr>
                <w:noProof/>
                <w:webHidden/>
              </w:rPr>
              <w:fldChar w:fldCharType="separate"/>
            </w:r>
            <w:r w:rsidR="00663203">
              <w:rPr>
                <w:noProof/>
                <w:webHidden/>
              </w:rPr>
              <w:t>53</w:t>
            </w:r>
            <w:r w:rsidR="00A60B24">
              <w:rPr>
                <w:noProof/>
                <w:webHidden/>
              </w:rPr>
              <w:fldChar w:fldCharType="end"/>
            </w:r>
          </w:hyperlink>
        </w:p>
        <w:p w14:paraId="3B02D1B2" w14:textId="416DCA67" w:rsidR="00A60B24" w:rsidRDefault="007C65C8">
          <w:pPr>
            <w:pStyle w:val="TOC3"/>
            <w:rPr>
              <w:rFonts w:eastAsiaTheme="minorEastAsia" w:cstheme="minorBidi"/>
              <w:noProof/>
              <w:kern w:val="2"/>
              <w:sz w:val="22"/>
              <w:szCs w:val="22"/>
              <w:lang w:eastAsia="en-AU"/>
              <w14:ligatures w14:val="standardContextual"/>
            </w:rPr>
          </w:pPr>
          <w:hyperlink w:anchor="_Toc139028871" w:history="1">
            <w:r w:rsidR="00A60B24" w:rsidRPr="00A708A9">
              <w:rPr>
                <w:rStyle w:val="Hyperlink"/>
                <w:noProof/>
              </w:rPr>
              <w:t>2.2.1 Getting the balance of skills right</w:t>
            </w:r>
            <w:r w:rsidR="00A60B24">
              <w:rPr>
                <w:noProof/>
                <w:webHidden/>
              </w:rPr>
              <w:tab/>
            </w:r>
            <w:r w:rsidR="00A60B24">
              <w:rPr>
                <w:noProof/>
                <w:webHidden/>
              </w:rPr>
              <w:fldChar w:fldCharType="begin"/>
            </w:r>
            <w:r w:rsidR="00A60B24">
              <w:rPr>
                <w:noProof/>
                <w:webHidden/>
              </w:rPr>
              <w:instrText xml:space="preserve"> PAGEREF _Toc139028871 \h </w:instrText>
            </w:r>
            <w:r w:rsidR="00A60B24">
              <w:rPr>
                <w:noProof/>
                <w:webHidden/>
              </w:rPr>
            </w:r>
            <w:r w:rsidR="00A60B24">
              <w:rPr>
                <w:noProof/>
                <w:webHidden/>
              </w:rPr>
              <w:fldChar w:fldCharType="separate"/>
            </w:r>
            <w:r w:rsidR="00663203">
              <w:rPr>
                <w:noProof/>
                <w:webHidden/>
              </w:rPr>
              <w:t>54</w:t>
            </w:r>
            <w:r w:rsidR="00A60B24">
              <w:rPr>
                <w:noProof/>
                <w:webHidden/>
              </w:rPr>
              <w:fldChar w:fldCharType="end"/>
            </w:r>
          </w:hyperlink>
        </w:p>
        <w:p w14:paraId="763372E7" w14:textId="4A46B79F" w:rsidR="00A60B24" w:rsidRDefault="007C65C8">
          <w:pPr>
            <w:pStyle w:val="TOC3"/>
            <w:rPr>
              <w:rFonts w:eastAsiaTheme="minorEastAsia" w:cstheme="minorBidi"/>
              <w:noProof/>
              <w:kern w:val="2"/>
              <w:sz w:val="22"/>
              <w:szCs w:val="22"/>
              <w:lang w:eastAsia="en-AU"/>
              <w14:ligatures w14:val="standardContextual"/>
            </w:rPr>
          </w:pPr>
          <w:hyperlink w:anchor="_Toc139028872" w:history="1">
            <w:r w:rsidR="00A60B24" w:rsidRPr="00A708A9">
              <w:rPr>
                <w:rStyle w:val="Hyperlink"/>
                <w:noProof/>
              </w:rPr>
              <w:t>2.2.2 Serving the professions</w:t>
            </w:r>
            <w:r w:rsidR="00A60B24">
              <w:rPr>
                <w:noProof/>
                <w:webHidden/>
              </w:rPr>
              <w:tab/>
            </w:r>
            <w:r w:rsidR="00A60B24">
              <w:rPr>
                <w:noProof/>
                <w:webHidden/>
              </w:rPr>
              <w:fldChar w:fldCharType="begin"/>
            </w:r>
            <w:r w:rsidR="00A60B24">
              <w:rPr>
                <w:noProof/>
                <w:webHidden/>
              </w:rPr>
              <w:instrText xml:space="preserve"> PAGEREF _Toc139028872 \h </w:instrText>
            </w:r>
            <w:r w:rsidR="00A60B24">
              <w:rPr>
                <w:noProof/>
                <w:webHidden/>
              </w:rPr>
            </w:r>
            <w:r w:rsidR="00A60B24">
              <w:rPr>
                <w:noProof/>
                <w:webHidden/>
              </w:rPr>
              <w:fldChar w:fldCharType="separate"/>
            </w:r>
            <w:r w:rsidR="00663203">
              <w:rPr>
                <w:noProof/>
                <w:webHidden/>
              </w:rPr>
              <w:t>54</w:t>
            </w:r>
            <w:r w:rsidR="00A60B24">
              <w:rPr>
                <w:noProof/>
                <w:webHidden/>
              </w:rPr>
              <w:fldChar w:fldCharType="end"/>
            </w:r>
          </w:hyperlink>
        </w:p>
        <w:p w14:paraId="2ECBEE92" w14:textId="7B68EF39" w:rsidR="00A60B24" w:rsidRDefault="007C65C8">
          <w:pPr>
            <w:pStyle w:val="TOC3"/>
            <w:rPr>
              <w:rFonts w:eastAsiaTheme="minorEastAsia" w:cstheme="minorBidi"/>
              <w:noProof/>
              <w:kern w:val="2"/>
              <w:sz w:val="22"/>
              <w:szCs w:val="22"/>
              <w:lang w:eastAsia="en-AU"/>
              <w14:ligatures w14:val="standardContextual"/>
            </w:rPr>
          </w:pPr>
          <w:hyperlink w:anchor="_Toc139028873" w:history="1">
            <w:r w:rsidR="00A60B24" w:rsidRPr="00A708A9">
              <w:rPr>
                <w:rStyle w:val="Hyperlink"/>
                <w:noProof/>
              </w:rPr>
              <w:t>2.2.3 Moving towards an aligned tertiary system</w:t>
            </w:r>
            <w:r w:rsidR="00A60B24">
              <w:rPr>
                <w:noProof/>
                <w:webHidden/>
              </w:rPr>
              <w:tab/>
            </w:r>
            <w:r w:rsidR="00A60B24">
              <w:rPr>
                <w:noProof/>
                <w:webHidden/>
              </w:rPr>
              <w:fldChar w:fldCharType="begin"/>
            </w:r>
            <w:r w:rsidR="00A60B24">
              <w:rPr>
                <w:noProof/>
                <w:webHidden/>
              </w:rPr>
              <w:instrText xml:space="preserve"> PAGEREF _Toc139028873 \h </w:instrText>
            </w:r>
            <w:r w:rsidR="00A60B24">
              <w:rPr>
                <w:noProof/>
                <w:webHidden/>
              </w:rPr>
            </w:r>
            <w:r w:rsidR="00A60B24">
              <w:rPr>
                <w:noProof/>
                <w:webHidden/>
              </w:rPr>
              <w:fldChar w:fldCharType="separate"/>
            </w:r>
            <w:r w:rsidR="00663203">
              <w:rPr>
                <w:noProof/>
                <w:webHidden/>
              </w:rPr>
              <w:t>57</w:t>
            </w:r>
            <w:r w:rsidR="00A60B24">
              <w:rPr>
                <w:noProof/>
                <w:webHidden/>
              </w:rPr>
              <w:fldChar w:fldCharType="end"/>
            </w:r>
          </w:hyperlink>
        </w:p>
        <w:p w14:paraId="608C2B2F" w14:textId="51DCF642" w:rsidR="00A60B24" w:rsidRDefault="007C65C8">
          <w:pPr>
            <w:pStyle w:val="TOC3"/>
            <w:rPr>
              <w:rFonts w:eastAsiaTheme="minorEastAsia" w:cstheme="minorBidi"/>
              <w:noProof/>
              <w:kern w:val="2"/>
              <w:sz w:val="22"/>
              <w:szCs w:val="22"/>
              <w:lang w:eastAsia="en-AU"/>
              <w14:ligatures w14:val="standardContextual"/>
            </w:rPr>
          </w:pPr>
          <w:hyperlink w:anchor="_Toc139028874" w:history="1">
            <w:r w:rsidR="00A60B24" w:rsidRPr="00A708A9">
              <w:rPr>
                <w:rStyle w:val="Hyperlink"/>
                <w:noProof/>
              </w:rPr>
              <w:t>2.2.4 Supporting students to undertake placements</w:t>
            </w:r>
            <w:r w:rsidR="00A60B24">
              <w:rPr>
                <w:noProof/>
                <w:webHidden/>
              </w:rPr>
              <w:tab/>
            </w:r>
            <w:r w:rsidR="00A60B24">
              <w:rPr>
                <w:noProof/>
                <w:webHidden/>
              </w:rPr>
              <w:fldChar w:fldCharType="begin"/>
            </w:r>
            <w:r w:rsidR="00A60B24">
              <w:rPr>
                <w:noProof/>
                <w:webHidden/>
              </w:rPr>
              <w:instrText xml:space="preserve"> PAGEREF _Toc139028874 \h </w:instrText>
            </w:r>
            <w:r w:rsidR="00A60B24">
              <w:rPr>
                <w:noProof/>
                <w:webHidden/>
              </w:rPr>
            </w:r>
            <w:r w:rsidR="00A60B24">
              <w:rPr>
                <w:noProof/>
                <w:webHidden/>
              </w:rPr>
              <w:fldChar w:fldCharType="separate"/>
            </w:r>
            <w:r w:rsidR="00663203">
              <w:rPr>
                <w:noProof/>
                <w:webHidden/>
              </w:rPr>
              <w:t>59</w:t>
            </w:r>
            <w:r w:rsidR="00A60B24">
              <w:rPr>
                <w:noProof/>
                <w:webHidden/>
              </w:rPr>
              <w:fldChar w:fldCharType="end"/>
            </w:r>
          </w:hyperlink>
        </w:p>
        <w:p w14:paraId="7C61833C" w14:textId="44F10E97" w:rsidR="00A60B24" w:rsidRDefault="007C65C8">
          <w:pPr>
            <w:pStyle w:val="TOC3"/>
            <w:rPr>
              <w:rFonts w:eastAsiaTheme="minorEastAsia" w:cstheme="minorBidi"/>
              <w:noProof/>
              <w:kern w:val="2"/>
              <w:sz w:val="22"/>
              <w:szCs w:val="22"/>
              <w:lang w:eastAsia="en-AU"/>
              <w14:ligatures w14:val="standardContextual"/>
            </w:rPr>
          </w:pPr>
          <w:hyperlink w:anchor="_Toc139028875" w:history="1">
            <w:r w:rsidR="00A60B24" w:rsidRPr="00A708A9">
              <w:rPr>
                <w:rStyle w:val="Hyperlink"/>
                <w:noProof/>
              </w:rPr>
              <w:t>2.2.5 Increased industry engagement in learning</w:t>
            </w:r>
            <w:r w:rsidR="00A60B24">
              <w:rPr>
                <w:noProof/>
                <w:webHidden/>
              </w:rPr>
              <w:tab/>
            </w:r>
            <w:r w:rsidR="00A60B24">
              <w:rPr>
                <w:noProof/>
                <w:webHidden/>
              </w:rPr>
              <w:fldChar w:fldCharType="begin"/>
            </w:r>
            <w:r w:rsidR="00A60B24">
              <w:rPr>
                <w:noProof/>
                <w:webHidden/>
              </w:rPr>
              <w:instrText xml:space="preserve"> PAGEREF _Toc139028875 \h </w:instrText>
            </w:r>
            <w:r w:rsidR="00A60B24">
              <w:rPr>
                <w:noProof/>
                <w:webHidden/>
              </w:rPr>
            </w:r>
            <w:r w:rsidR="00A60B24">
              <w:rPr>
                <w:noProof/>
                <w:webHidden/>
              </w:rPr>
              <w:fldChar w:fldCharType="separate"/>
            </w:r>
            <w:r w:rsidR="00663203">
              <w:rPr>
                <w:noProof/>
                <w:webHidden/>
              </w:rPr>
              <w:t>60</w:t>
            </w:r>
            <w:r w:rsidR="00A60B24">
              <w:rPr>
                <w:noProof/>
                <w:webHidden/>
              </w:rPr>
              <w:fldChar w:fldCharType="end"/>
            </w:r>
          </w:hyperlink>
        </w:p>
        <w:p w14:paraId="43F49AD8" w14:textId="43C9C4F8" w:rsidR="00A60B24" w:rsidRDefault="007C65C8">
          <w:pPr>
            <w:pStyle w:val="TOC3"/>
            <w:rPr>
              <w:rFonts w:eastAsiaTheme="minorEastAsia" w:cstheme="minorBidi"/>
              <w:noProof/>
              <w:kern w:val="2"/>
              <w:sz w:val="22"/>
              <w:szCs w:val="22"/>
              <w:lang w:eastAsia="en-AU"/>
              <w14:ligatures w14:val="standardContextual"/>
            </w:rPr>
          </w:pPr>
          <w:hyperlink w:anchor="_Toc139028876" w:history="1">
            <w:r w:rsidR="00A60B24" w:rsidRPr="00A708A9">
              <w:rPr>
                <w:rStyle w:val="Hyperlink"/>
                <w:noProof/>
              </w:rPr>
              <w:t>2.2.6 Fast, stackable and portable skills pathways</w:t>
            </w:r>
            <w:r w:rsidR="00A60B24">
              <w:rPr>
                <w:noProof/>
                <w:webHidden/>
              </w:rPr>
              <w:tab/>
            </w:r>
            <w:r w:rsidR="00A60B24">
              <w:rPr>
                <w:noProof/>
                <w:webHidden/>
              </w:rPr>
              <w:fldChar w:fldCharType="begin"/>
            </w:r>
            <w:r w:rsidR="00A60B24">
              <w:rPr>
                <w:noProof/>
                <w:webHidden/>
              </w:rPr>
              <w:instrText xml:space="preserve"> PAGEREF _Toc139028876 \h </w:instrText>
            </w:r>
            <w:r w:rsidR="00A60B24">
              <w:rPr>
                <w:noProof/>
                <w:webHidden/>
              </w:rPr>
            </w:r>
            <w:r w:rsidR="00A60B24">
              <w:rPr>
                <w:noProof/>
                <w:webHidden/>
              </w:rPr>
              <w:fldChar w:fldCharType="separate"/>
            </w:r>
            <w:r w:rsidR="00663203">
              <w:rPr>
                <w:noProof/>
                <w:webHidden/>
              </w:rPr>
              <w:t>62</w:t>
            </w:r>
            <w:r w:rsidR="00A60B24">
              <w:rPr>
                <w:noProof/>
                <w:webHidden/>
              </w:rPr>
              <w:fldChar w:fldCharType="end"/>
            </w:r>
          </w:hyperlink>
        </w:p>
        <w:p w14:paraId="19E528A9" w14:textId="52B62B76" w:rsidR="00A60B24" w:rsidRDefault="007C65C8">
          <w:pPr>
            <w:pStyle w:val="TOC3"/>
            <w:rPr>
              <w:rFonts w:eastAsiaTheme="minorEastAsia" w:cstheme="minorBidi"/>
              <w:noProof/>
              <w:kern w:val="2"/>
              <w:sz w:val="22"/>
              <w:szCs w:val="22"/>
              <w:lang w:eastAsia="en-AU"/>
              <w14:ligatures w14:val="standardContextual"/>
            </w:rPr>
          </w:pPr>
          <w:hyperlink w:anchor="_Toc139028877" w:history="1">
            <w:r w:rsidR="00A60B24" w:rsidRPr="00A708A9">
              <w:rPr>
                <w:rStyle w:val="Hyperlink"/>
                <w:noProof/>
              </w:rPr>
              <w:t>2.2.7 National skills passport</w:t>
            </w:r>
            <w:r w:rsidR="00A60B24">
              <w:rPr>
                <w:noProof/>
                <w:webHidden/>
              </w:rPr>
              <w:tab/>
            </w:r>
            <w:r w:rsidR="00A60B24">
              <w:rPr>
                <w:noProof/>
                <w:webHidden/>
              </w:rPr>
              <w:fldChar w:fldCharType="begin"/>
            </w:r>
            <w:r w:rsidR="00A60B24">
              <w:rPr>
                <w:noProof/>
                <w:webHidden/>
              </w:rPr>
              <w:instrText xml:space="preserve"> PAGEREF _Toc139028877 \h </w:instrText>
            </w:r>
            <w:r w:rsidR="00A60B24">
              <w:rPr>
                <w:noProof/>
                <w:webHidden/>
              </w:rPr>
            </w:r>
            <w:r w:rsidR="00A60B24">
              <w:rPr>
                <w:noProof/>
                <w:webHidden/>
              </w:rPr>
              <w:fldChar w:fldCharType="separate"/>
            </w:r>
            <w:r w:rsidR="00663203">
              <w:rPr>
                <w:noProof/>
                <w:webHidden/>
              </w:rPr>
              <w:t>64</w:t>
            </w:r>
            <w:r w:rsidR="00A60B24">
              <w:rPr>
                <w:noProof/>
                <w:webHidden/>
              </w:rPr>
              <w:fldChar w:fldCharType="end"/>
            </w:r>
          </w:hyperlink>
        </w:p>
        <w:p w14:paraId="0755AD38" w14:textId="049A3560" w:rsidR="00A60B24" w:rsidRDefault="007C65C8">
          <w:pPr>
            <w:pStyle w:val="TOC3"/>
            <w:rPr>
              <w:rFonts w:eastAsiaTheme="minorEastAsia" w:cstheme="minorBidi"/>
              <w:noProof/>
              <w:kern w:val="2"/>
              <w:sz w:val="22"/>
              <w:szCs w:val="22"/>
              <w:lang w:eastAsia="en-AU"/>
              <w14:ligatures w14:val="standardContextual"/>
            </w:rPr>
          </w:pPr>
          <w:hyperlink w:anchor="_Toc139028878" w:history="1">
            <w:r w:rsidR="00A60B24" w:rsidRPr="00A708A9">
              <w:rPr>
                <w:rStyle w:val="Hyperlink"/>
                <w:noProof/>
              </w:rPr>
              <w:t>2.2.8 Helping students understand and navigate pathways</w:t>
            </w:r>
            <w:r w:rsidR="00A60B24">
              <w:rPr>
                <w:noProof/>
                <w:webHidden/>
              </w:rPr>
              <w:tab/>
            </w:r>
            <w:r w:rsidR="00A60B24">
              <w:rPr>
                <w:noProof/>
                <w:webHidden/>
              </w:rPr>
              <w:fldChar w:fldCharType="begin"/>
            </w:r>
            <w:r w:rsidR="00A60B24">
              <w:rPr>
                <w:noProof/>
                <w:webHidden/>
              </w:rPr>
              <w:instrText xml:space="preserve"> PAGEREF _Toc139028878 \h </w:instrText>
            </w:r>
            <w:r w:rsidR="00A60B24">
              <w:rPr>
                <w:noProof/>
                <w:webHidden/>
              </w:rPr>
            </w:r>
            <w:r w:rsidR="00A60B24">
              <w:rPr>
                <w:noProof/>
                <w:webHidden/>
              </w:rPr>
              <w:fldChar w:fldCharType="separate"/>
            </w:r>
            <w:r w:rsidR="00663203">
              <w:rPr>
                <w:noProof/>
                <w:webHidden/>
              </w:rPr>
              <w:t>65</w:t>
            </w:r>
            <w:r w:rsidR="00A60B24">
              <w:rPr>
                <w:noProof/>
                <w:webHidden/>
              </w:rPr>
              <w:fldChar w:fldCharType="end"/>
            </w:r>
          </w:hyperlink>
        </w:p>
        <w:p w14:paraId="7CE2FE4E" w14:textId="77CF075E" w:rsidR="00A60B24" w:rsidRDefault="007C65C8">
          <w:pPr>
            <w:pStyle w:val="TOC3"/>
            <w:rPr>
              <w:rFonts w:eastAsiaTheme="minorEastAsia" w:cstheme="minorBidi"/>
              <w:noProof/>
              <w:kern w:val="2"/>
              <w:sz w:val="22"/>
              <w:szCs w:val="22"/>
              <w:lang w:eastAsia="en-AU"/>
              <w14:ligatures w14:val="standardContextual"/>
            </w:rPr>
          </w:pPr>
          <w:hyperlink w:anchor="_Toc139028879" w:history="1">
            <w:r w:rsidR="00A60B24" w:rsidRPr="00A708A9">
              <w:rPr>
                <w:rStyle w:val="Hyperlink"/>
                <w:noProof/>
              </w:rPr>
              <w:t>2.2.9 The role of migration in addressing skills needs</w:t>
            </w:r>
            <w:r w:rsidR="00A60B24">
              <w:rPr>
                <w:noProof/>
                <w:webHidden/>
              </w:rPr>
              <w:tab/>
            </w:r>
            <w:r w:rsidR="00A60B24">
              <w:rPr>
                <w:noProof/>
                <w:webHidden/>
              </w:rPr>
              <w:fldChar w:fldCharType="begin"/>
            </w:r>
            <w:r w:rsidR="00A60B24">
              <w:rPr>
                <w:noProof/>
                <w:webHidden/>
              </w:rPr>
              <w:instrText xml:space="preserve"> PAGEREF _Toc139028879 \h </w:instrText>
            </w:r>
            <w:r w:rsidR="00A60B24">
              <w:rPr>
                <w:noProof/>
                <w:webHidden/>
              </w:rPr>
            </w:r>
            <w:r w:rsidR="00A60B24">
              <w:rPr>
                <w:noProof/>
                <w:webHidden/>
              </w:rPr>
              <w:fldChar w:fldCharType="separate"/>
            </w:r>
            <w:r w:rsidR="00663203">
              <w:rPr>
                <w:noProof/>
                <w:webHidden/>
              </w:rPr>
              <w:t>65</w:t>
            </w:r>
            <w:r w:rsidR="00A60B24">
              <w:rPr>
                <w:noProof/>
                <w:webHidden/>
              </w:rPr>
              <w:fldChar w:fldCharType="end"/>
            </w:r>
          </w:hyperlink>
        </w:p>
        <w:p w14:paraId="2B42E2AF" w14:textId="1B689165" w:rsidR="004623B1" w:rsidRDefault="007C65C8">
          <w:pPr>
            <w:pStyle w:val="TOC3"/>
            <w:rPr>
              <w:noProof/>
            </w:rPr>
          </w:pPr>
          <w:hyperlink w:anchor="_Toc139028880" w:history="1">
            <w:r w:rsidR="00A60B24" w:rsidRPr="00A708A9">
              <w:rPr>
                <w:rStyle w:val="Hyperlink"/>
                <w:noProof/>
              </w:rPr>
              <w:t>Considerations for change</w:t>
            </w:r>
            <w:r w:rsidR="00A60B24">
              <w:rPr>
                <w:noProof/>
                <w:webHidden/>
              </w:rPr>
              <w:tab/>
            </w:r>
            <w:r w:rsidR="00A60B24">
              <w:rPr>
                <w:noProof/>
                <w:webHidden/>
              </w:rPr>
              <w:fldChar w:fldCharType="begin"/>
            </w:r>
            <w:r w:rsidR="00A60B24">
              <w:rPr>
                <w:noProof/>
                <w:webHidden/>
              </w:rPr>
              <w:instrText xml:space="preserve"> PAGEREF _Toc139028880 \h </w:instrText>
            </w:r>
            <w:r w:rsidR="00A60B24">
              <w:rPr>
                <w:noProof/>
                <w:webHidden/>
              </w:rPr>
            </w:r>
            <w:r w:rsidR="00A60B24">
              <w:rPr>
                <w:noProof/>
                <w:webHidden/>
              </w:rPr>
              <w:fldChar w:fldCharType="separate"/>
            </w:r>
            <w:r w:rsidR="00663203">
              <w:rPr>
                <w:noProof/>
                <w:webHidden/>
              </w:rPr>
              <w:t>66</w:t>
            </w:r>
            <w:r w:rsidR="00A60B24">
              <w:rPr>
                <w:noProof/>
                <w:webHidden/>
              </w:rPr>
              <w:fldChar w:fldCharType="end"/>
            </w:r>
          </w:hyperlink>
        </w:p>
        <w:p w14:paraId="22126598" w14:textId="77777777" w:rsidR="004623B1" w:rsidRDefault="004623B1">
          <w:pPr>
            <w:spacing w:after="160"/>
            <w:rPr>
              <w:rFonts w:cstheme="minorHAnsi"/>
              <w:noProof/>
              <w:sz w:val="20"/>
              <w:szCs w:val="20"/>
            </w:rPr>
          </w:pPr>
          <w:r>
            <w:rPr>
              <w:noProof/>
            </w:rPr>
            <w:br w:type="page"/>
          </w:r>
        </w:p>
        <w:p w14:paraId="3FFF203A" w14:textId="7DBEB2EB" w:rsidR="00A60B24" w:rsidRDefault="007C65C8">
          <w:pPr>
            <w:pStyle w:val="TOC1"/>
            <w:rPr>
              <w:rFonts w:eastAsiaTheme="minorEastAsia" w:cstheme="minorBidi"/>
              <w:b w:val="0"/>
              <w:bCs w:val="0"/>
              <w:i w:val="0"/>
              <w:iCs w:val="0"/>
              <w:noProof/>
              <w:kern w:val="2"/>
              <w:sz w:val="22"/>
              <w:szCs w:val="22"/>
              <w:lang w:eastAsia="en-AU"/>
              <w14:ligatures w14:val="standardContextual"/>
            </w:rPr>
          </w:pPr>
          <w:hyperlink w:anchor="_Toc139028881" w:history="1">
            <w:r w:rsidR="00A60B24" w:rsidRPr="00A708A9">
              <w:rPr>
                <w:rStyle w:val="Hyperlink"/>
                <w:noProof/>
              </w:rPr>
              <w:t>2.3: Equity in participation, access and opportunity</w:t>
            </w:r>
            <w:r w:rsidR="00A60B24">
              <w:rPr>
                <w:noProof/>
                <w:webHidden/>
              </w:rPr>
              <w:tab/>
            </w:r>
            <w:r w:rsidR="00A60B24">
              <w:rPr>
                <w:noProof/>
                <w:webHidden/>
              </w:rPr>
              <w:fldChar w:fldCharType="begin"/>
            </w:r>
            <w:r w:rsidR="00A60B24">
              <w:rPr>
                <w:noProof/>
                <w:webHidden/>
              </w:rPr>
              <w:instrText xml:space="preserve"> PAGEREF _Toc139028881 \h </w:instrText>
            </w:r>
            <w:r w:rsidR="00A60B24">
              <w:rPr>
                <w:noProof/>
                <w:webHidden/>
              </w:rPr>
            </w:r>
            <w:r w:rsidR="00A60B24">
              <w:rPr>
                <w:noProof/>
                <w:webHidden/>
              </w:rPr>
              <w:fldChar w:fldCharType="separate"/>
            </w:r>
            <w:r w:rsidR="00663203">
              <w:rPr>
                <w:noProof/>
                <w:webHidden/>
              </w:rPr>
              <w:t>69</w:t>
            </w:r>
            <w:r w:rsidR="00A60B24">
              <w:rPr>
                <w:noProof/>
                <w:webHidden/>
              </w:rPr>
              <w:fldChar w:fldCharType="end"/>
            </w:r>
          </w:hyperlink>
        </w:p>
        <w:p w14:paraId="398423F1" w14:textId="752E3F25" w:rsidR="00A60B24" w:rsidRDefault="007C65C8">
          <w:pPr>
            <w:pStyle w:val="TOC3"/>
            <w:rPr>
              <w:rFonts w:eastAsiaTheme="minorEastAsia" w:cstheme="minorBidi"/>
              <w:noProof/>
              <w:kern w:val="2"/>
              <w:sz w:val="22"/>
              <w:szCs w:val="22"/>
              <w:lang w:eastAsia="en-AU"/>
              <w14:ligatures w14:val="standardContextual"/>
            </w:rPr>
          </w:pPr>
          <w:hyperlink w:anchor="_Toc139028882" w:history="1">
            <w:r w:rsidR="00A60B24" w:rsidRPr="00A708A9">
              <w:rPr>
                <w:rStyle w:val="Hyperlink"/>
                <w:noProof/>
              </w:rPr>
              <w:t>Issues</w:t>
            </w:r>
            <w:r w:rsidR="00A60B24">
              <w:rPr>
                <w:noProof/>
                <w:webHidden/>
              </w:rPr>
              <w:tab/>
            </w:r>
            <w:r w:rsidR="00A60B24">
              <w:rPr>
                <w:noProof/>
                <w:webHidden/>
              </w:rPr>
              <w:fldChar w:fldCharType="begin"/>
            </w:r>
            <w:r w:rsidR="00A60B24">
              <w:rPr>
                <w:noProof/>
                <w:webHidden/>
              </w:rPr>
              <w:instrText xml:space="preserve"> PAGEREF _Toc139028882 \h </w:instrText>
            </w:r>
            <w:r w:rsidR="00A60B24">
              <w:rPr>
                <w:noProof/>
                <w:webHidden/>
              </w:rPr>
            </w:r>
            <w:r w:rsidR="00A60B24">
              <w:rPr>
                <w:noProof/>
                <w:webHidden/>
              </w:rPr>
              <w:fldChar w:fldCharType="separate"/>
            </w:r>
            <w:r w:rsidR="00663203">
              <w:rPr>
                <w:noProof/>
                <w:webHidden/>
              </w:rPr>
              <w:t>69</w:t>
            </w:r>
            <w:r w:rsidR="00A60B24">
              <w:rPr>
                <w:noProof/>
                <w:webHidden/>
              </w:rPr>
              <w:fldChar w:fldCharType="end"/>
            </w:r>
          </w:hyperlink>
        </w:p>
        <w:p w14:paraId="1D63AA59" w14:textId="56FAB169" w:rsidR="00A60B24" w:rsidRDefault="007C65C8">
          <w:pPr>
            <w:pStyle w:val="TOC3"/>
            <w:rPr>
              <w:rFonts w:eastAsiaTheme="minorEastAsia" w:cstheme="minorBidi"/>
              <w:noProof/>
              <w:kern w:val="2"/>
              <w:sz w:val="22"/>
              <w:szCs w:val="22"/>
              <w:lang w:eastAsia="en-AU"/>
              <w14:ligatures w14:val="standardContextual"/>
            </w:rPr>
          </w:pPr>
          <w:hyperlink w:anchor="_Toc139028883" w:history="1">
            <w:r w:rsidR="00A60B24" w:rsidRPr="00A708A9">
              <w:rPr>
                <w:rStyle w:val="Hyperlink"/>
                <w:noProof/>
              </w:rPr>
              <w:t>2.3.1 A system-wide approach to increasing access and equity</w:t>
            </w:r>
            <w:r w:rsidR="00A60B24">
              <w:rPr>
                <w:noProof/>
                <w:webHidden/>
              </w:rPr>
              <w:tab/>
            </w:r>
            <w:r w:rsidR="00A60B24">
              <w:rPr>
                <w:noProof/>
                <w:webHidden/>
              </w:rPr>
              <w:fldChar w:fldCharType="begin"/>
            </w:r>
            <w:r w:rsidR="00A60B24">
              <w:rPr>
                <w:noProof/>
                <w:webHidden/>
              </w:rPr>
              <w:instrText xml:space="preserve"> PAGEREF _Toc139028883 \h </w:instrText>
            </w:r>
            <w:r w:rsidR="00A60B24">
              <w:rPr>
                <w:noProof/>
                <w:webHidden/>
              </w:rPr>
            </w:r>
            <w:r w:rsidR="00A60B24">
              <w:rPr>
                <w:noProof/>
                <w:webHidden/>
              </w:rPr>
              <w:fldChar w:fldCharType="separate"/>
            </w:r>
            <w:r w:rsidR="00663203">
              <w:rPr>
                <w:noProof/>
                <w:webHidden/>
              </w:rPr>
              <w:t>69</w:t>
            </w:r>
            <w:r w:rsidR="00A60B24">
              <w:rPr>
                <w:noProof/>
                <w:webHidden/>
              </w:rPr>
              <w:fldChar w:fldCharType="end"/>
            </w:r>
          </w:hyperlink>
        </w:p>
        <w:p w14:paraId="138ACAFD" w14:textId="23373812" w:rsidR="00A60B24" w:rsidRDefault="007C65C8">
          <w:pPr>
            <w:pStyle w:val="TOC3"/>
            <w:rPr>
              <w:rFonts w:eastAsiaTheme="minorEastAsia" w:cstheme="minorBidi"/>
              <w:noProof/>
              <w:kern w:val="2"/>
              <w:sz w:val="22"/>
              <w:szCs w:val="22"/>
              <w:lang w:eastAsia="en-AU"/>
              <w14:ligatures w14:val="standardContextual"/>
            </w:rPr>
          </w:pPr>
          <w:hyperlink w:anchor="_Toc139028884" w:history="1">
            <w:r w:rsidR="00A60B24" w:rsidRPr="00A708A9">
              <w:rPr>
                <w:rStyle w:val="Hyperlink"/>
                <w:noProof/>
              </w:rPr>
              <w:t>2.3.2 Opening the doors of opportunity</w:t>
            </w:r>
            <w:r w:rsidR="00A60B24">
              <w:rPr>
                <w:noProof/>
                <w:webHidden/>
              </w:rPr>
              <w:tab/>
            </w:r>
            <w:r w:rsidR="00A60B24">
              <w:rPr>
                <w:noProof/>
                <w:webHidden/>
              </w:rPr>
              <w:fldChar w:fldCharType="begin"/>
            </w:r>
            <w:r w:rsidR="00A60B24">
              <w:rPr>
                <w:noProof/>
                <w:webHidden/>
              </w:rPr>
              <w:instrText xml:space="preserve"> PAGEREF _Toc139028884 \h </w:instrText>
            </w:r>
            <w:r w:rsidR="00A60B24">
              <w:rPr>
                <w:noProof/>
                <w:webHidden/>
              </w:rPr>
            </w:r>
            <w:r w:rsidR="00A60B24">
              <w:rPr>
                <w:noProof/>
                <w:webHidden/>
              </w:rPr>
              <w:fldChar w:fldCharType="separate"/>
            </w:r>
            <w:r w:rsidR="00663203">
              <w:rPr>
                <w:noProof/>
                <w:webHidden/>
              </w:rPr>
              <w:t>73</w:t>
            </w:r>
            <w:r w:rsidR="00A60B24">
              <w:rPr>
                <w:noProof/>
                <w:webHidden/>
              </w:rPr>
              <w:fldChar w:fldCharType="end"/>
            </w:r>
          </w:hyperlink>
        </w:p>
        <w:p w14:paraId="4E99F74B" w14:textId="6FDA9ED1" w:rsidR="00A60B24" w:rsidRDefault="007C65C8">
          <w:pPr>
            <w:pStyle w:val="TOC3"/>
            <w:rPr>
              <w:rFonts w:eastAsiaTheme="minorEastAsia" w:cstheme="minorBidi"/>
              <w:noProof/>
              <w:kern w:val="2"/>
              <w:sz w:val="22"/>
              <w:szCs w:val="22"/>
              <w:lang w:eastAsia="en-AU"/>
              <w14:ligatures w14:val="standardContextual"/>
            </w:rPr>
          </w:pPr>
          <w:hyperlink w:anchor="_Toc139028885" w:history="1">
            <w:r w:rsidR="00A60B24" w:rsidRPr="00A708A9">
              <w:rPr>
                <w:rStyle w:val="Hyperlink"/>
                <w:noProof/>
              </w:rPr>
              <w:t>2.3.3 Addressing financial barriers to study</w:t>
            </w:r>
            <w:r w:rsidR="00A60B24">
              <w:rPr>
                <w:noProof/>
                <w:webHidden/>
              </w:rPr>
              <w:tab/>
            </w:r>
            <w:r w:rsidR="00A60B24">
              <w:rPr>
                <w:noProof/>
                <w:webHidden/>
              </w:rPr>
              <w:fldChar w:fldCharType="begin"/>
            </w:r>
            <w:r w:rsidR="00A60B24">
              <w:rPr>
                <w:noProof/>
                <w:webHidden/>
              </w:rPr>
              <w:instrText xml:space="preserve"> PAGEREF _Toc139028885 \h </w:instrText>
            </w:r>
            <w:r w:rsidR="00A60B24">
              <w:rPr>
                <w:noProof/>
                <w:webHidden/>
              </w:rPr>
            </w:r>
            <w:r w:rsidR="00A60B24">
              <w:rPr>
                <w:noProof/>
                <w:webHidden/>
              </w:rPr>
              <w:fldChar w:fldCharType="separate"/>
            </w:r>
            <w:r w:rsidR="00663203">
              <w:rPr>
                <w:noProof/>
                <w:webHidden/>
              </w:rPr>
              <w:t>77</w:t>
            </w:r>
            <w:r w:rsidR="00A60B24">
              <w:rPr>
                <w:noProof/>
                <w:webHidden/>
              </w:rPr>
              <w:fldChar w:fldCharType="end"/>
            </w:r>
          </w:hyperlink>
        </w:p>
        <w:p w14:paraId="03B0D89C" w14:textId="250BF0B5" w:rsidR="00A60B24" w:rsidRDefault="007C65C8">
          <w:pPr>
            <w:pStyle w:val="TOC3"/>
            <w:rPr>
              <w:rFonts w:eastAsiaTheme="minorEastAsia" w:cstheme="minorBidi"/>
              <w:noProof/>
              <w:kern w:val="2"/>
              <w:sz w:val="22"/>
              <w:szCs w:val="22"/>
              <w:lang w:eastAsia="en-AU"/>
              <w14:ligatures w14:val="standardContextual"/>
            </w:rPr>
          </w:pPr>
          <w:hyperlink w:anchor="_Toc139028886" w:history="1">
            <w:r w:rsidR="00A60B24" w:rsidRPr="00A708A9">
              <w:rPr>
                <w:rStyle w:val="Hyperlink"/>
                <w:noProof/>
              </w:rPr>
              <w:t>Considerations for change</w:t>
            </w:r>
            <w:r w:rsidR="00A60B24">
              <w:rPr>
                <w:noProof/>
                <w:webHidden/>
              </w:rPr>
              <w:tab/>
            </w:r>
            <w:r w:rsidR="00A60B24">
              <w:rPr>
                <w:noProof/>
                <w:webHidden/>
              </w:rPr>
              <w:fldChar w:fldCharType="begin"/>
            </w:r>
            <w:r w:rsidR="00A60B24">
              <w:rPr>
                <w:noProof/>
                <w:webHidden/>
              </w:rPr>
              <w:instrText xml:space="preserve"> PAGEREF _Toc139028886 \h </w:instrText>
            </w:r>
            <w:r w:rsidR="00A60B24">
              <w:rPr>
                <w:noProof/>
                <w:webHidden/>
              </w:rPr>
            </w:r>
            <w:r w:rsidR="00A60B24">
              <w:rPr>
                <w:noProof/>
                <w:webHidden/>
              </w:rPr>
              <w:fldChar w:fldCharType="separate"/>
            </w:r>
            <w:r w:rsidR="00663203">
              <w:rPr>
                <w:noProof/>
                <w:webHidden/>
              </w:rPr>
              <w:t>79</w:t>
            </w:r>
            <w:r w:rsidR="00A60B24">
              <w:rPr>
                <w:noProof/>
                <w:webHidden/>
              </w:rPr>
              <w:fldChar w:fldCharType="end"/>
            </w:r>
          </w:hyperlink>
        </w:p>
        <w:p w14:paraId="32727C6A" w14:textId="5A154D18" w:rsidR="00A60B24" w:rsidRDefault="007C65C8">
          <w:pPr>
            <w:pStyle w:val="TOC1"/>
            <w:rPr>
              <w:rFonts w:eastAsiaTheme="minorEastAsia" w:cstheme="minorBidi"/>
              <w:b w:val="0"/>
              <w:bCs w:val="0"/>
              <w:i w:val="0"/>
              <w:iCs w:val="0"/>
              <w:noProof/>
              <w:kern w:val="2"/>
              <w:sz w:val="22"/>
              <w:szCs w:val="22"/>
              <w:lang w:eastAsia="en-AU"/>
              <w14:ligatures w14:val="standardContextual"/>
            </w:rPr>
          </w:pPr>
          <w:hyperlink w:anchor="_Toc139028887" w:history="1">
            <w:r w:rsidR="00A60B24" w:rsidRPr="00A708A9">
              <w:rPr>
                <w:rStyle w:val="Hyperlink"/>
                <w:noProof/>
              </w:rPr>
              <w:t>2.4: Excellence in learning, teaching and student experience</w:t>
            </w:r>
            <w:r w:rsidR="00A60B24">
              <w:rPr>
                <w:noProof/>
                <w:webHidden/>
              </w:rPr>
              <w:tab/>
            </w:r>
            <w:r w:rsidR="00A60B24">
              <w:rPr>
                <w:noProof/>
                <w:webHidden/>
              </w:rPr>
              <w:fldChar w:fldCharType="begin"/>
            </w:r>
            <w:r w:rsidR="00A60B24">
              <w:rPr>
                <w:noProof/>
                <w:webHidden/>
              </w:rPr>
              <w:instrText xml:space="preserve"> PAGEREF _Toc139028887 \h </w:instrText>
            </w:r>
            <w:r w:rsidR="00A60B24">
              <w:rPr>
                <w:noProof/>
                <w:webHidden/>
              </w:rPr>
            </w:r>
            <w:r w:rsidR="00A60B24">
              <w:rPr>
                <w:noProof/>
                <w:webHidden/>
              </w:rPr>
              <w:fldChar w:fldCharType="separate"/>
            </w:r>
            <w:r w:rsidR="00663203">
              <w:rPr>
                <w:noProof/>
                <w:webHidden/>
              </w:rPr>
              <w:t>81</w:t>
            </w:r>
            <w:r w:rsidR="00A60B24">
              <w:rPr>
                <w:noProof/>
                <w:webHidden/>
              </w:rPr>
              <w:fldChar w:fldCharType="end"/>
            </w:r>
          </w:hyperlink>
        </w:p>
        <w:p w14:paraId="6D1BBAA2" w14:textId="49BC718F" w:rsidR="00A60B24" w:rsidRDefault="007C65C8">
          <w:pPr>
            <w:pStyle w:val="TOC3"/>
            <w:rPr>
              <w:rFonts w:eastAsiaTheme="minorEastAsia" w:cstheme="minorBidi"/>
              <w:noProof/>
              <w:kern w:val="2"/>
              <w:sz w:val="22"/>
              <w:szCs w:val="22"/>
              <w:lang w:eastAsia="en-AU"/>
              <w14:ligatures w14:val="standardContextual"/>
            </w:rPr>
          </w:pPr>
          <w:hyperlink w:anchor="_Toc139028888" w:history="1">
            <w:r w:rsidR="00A60B24" w:rsidRPr="00A708A9">
              <w:rPr>
                <w:rStyle w:val="Hyperlink"/>
                <w:noProof/>
                <w:lang w:eastAsia="en-AU"/>
              </w:rPr>
              <w:t>Issues</w:t>
            </w:r>
            <w:r w:rsidR="00A60B24">
              <w:rPr>
                <w:noProof/>
                <w:webHidden/>
              </w:rPr>
              <w:tab/>
            </w:r>
            <w:r w:rsidR="00A60B24">
              <w:rPr>
                <w:noProof/>
                <w:webHidden/>
              </w:rPr>
              <w:fldChar w:fldCharType="begin"/>
            </w:r>
            <w:r w:rsidR="00A60B24">
              <w:rPr>
                <w:noProof/>
                <w:webHidden/>
              </w:rPr>
              <w:instrText xml:space="preserve"> PAGEREF _Toc139028888 \h </w:instrText>
            </w:r>
            <w:r w:rsidR="00A60B24">
              <w:rPr>
                <w:noProof/>
                <w:webHidden/>
              </w:rPr>
            </w:r>
            <w:r w:rsidR="00A60B24">
              <w:rPr>
                <w:noProof/>
                <w:webHidden/>
              </w:rPr>
              <w:fldChar w:fldCharType="separate"/>
            </w:r>
            <w:r w:rsidR="00663203">
              <w:rPr>
                <w:noProof/>
                <w:webHidden/>
              </w:rPr>
              <w:t>81</w:t>
            </w:r>
            <w:r w:rsidR="00A60B24">
              <w:rPr>
                <w:noProof/>
                <w:webHidden/>
              </w:rPr>
              <w:fldChar w:fldCharType="end"/>
            </w:r>
          </w:hyperlink>
        </w:p>
        <w:p w14:paraId="5BD3C7AB" w14:textId="615991BE" w:rsidR="00A60B24" w:rsidRDefault="007C65C8">
          <w:pPr>
            <w:pStyle w:val="TOC3"/>
            <w:rPr>
              <w:rFonts w:eastAsiaTheme="minorEastAsia" w:cstheme="minorBidi"/>
              <w:noProof/>
              <w:kern w:val="2"/>
              <w:sz w:val="22"/>
              <w:szCs w:val="22"/>
              <w:lang w:eastAsia="en-AU"/>
              <w14:ligatures w14:val="standardContextual"/>
            </w:rPr>
          </w:pPr>
          <w:hyperlink w:anchor="_Toc139028889" w:history="1">
            <w:r w:rsidR="00A60B24" w:rsidRPr="00A708A9">
              <w:rPr>
                <w:rStyle w:val="Hyperlink"/>
                <w:noProof/>
              </w:rPr>
              <w:t>2.4.1 Learning and teaching that is personalised and scalable</w:t>
            </w:r>
            <w:r w:rsidR="00A60B24">
              <w:rPr>
                <w:noProof/>
                <w:webHidden/>
              </w:rPr>
              <w:tab/>
            </w:r>
            <w:r w:rsidR="00A60B24">
              <w:rPr>
                <w:noProof/>
                <w:webHidden/>
              </w:rPr>
              <w:fldChar w:fldCharType="begin"/>
            </w:r>
            <w:r w:rsidR="00A60B24">
              <w:rPr>
                <w:noProof/>
                <w:webHidden/>
              </w:rPr>
              <w:instrText xml:space="preserve"> PAGEREF _Toc139028889 \h </w:instrText>
            </w:r>
            <w:r w:rsidR="00A60B24">
              <w:rPr>
                <w:noProof/>
                <w:webHidden/>
              </w:rPr>
            </w:r>
            <w:r w:rsidR="00A60B24">
              <w:rPr>
                <w:noProof/>
                <w:webHidden/>
              </w:rPr>
              <w:fldChar w:fldCharType="separate"/>
            </w:r>
            <w:r w:rsidR="00663203">
              <w:rPr>
                <w:noProof/>
                <w:webHidden/>
              </w:rPr>
              <w:t>81</w:t>
            </w:r>
            <w:r w:rsidR="00A60B24">
              <w:rPr>
                <w:noProof/>
                <w:webHidden/>
              </w:rPr>
              <w:fldChar w:fldCharType="end"/>
            </w:r>
          </w:hyperlink>
        </w:p>
        <w:p w14:paraId="669FDDD6" w14:textId="5B324225" w:rsidR="00A60B24" w:rsidRDefault="007C65C8">
          <w:pPr>
            <w:pStyle w:val="TOC3"/>
            <w:rPr>
              <w:rFonts w:eastAsiaTheme="minorEastAsia" w:cstheme="minorBidi"/>
              <w:noProof/>
              <w:kern w:val="2"/>
              <w:sz w:val="22"/>
              <w:szCs w:val="22"/>
              <w:lang w:eastAsia="en-AU"/>
              <w14:ligatures w14:val="standardContextual"/>
            </w:rPr>
          </w:pPr>
          <w:hyperlink w:anchor="_Toc139028890" w:history="1">
            <w:r w:rsidR="00A60B24" w:rsidRPr="00A708A9">
              <w:rPr>
                <w:rStyle w:val="Hyperlink"/>
                <w:noProof/>
              </w:rPr>
              <w:t>2.4.2 Inclusive and high-quality teaching that embraces technological advancements</w:t>
            </w:r>
            <w:r w:rsidR="00A60B24">
              <w:rPr>
                <w:noProof/>
                <w:webHidden/>
              </w:rPr>
              <w:tab/>
            </w:r>
            <w:r w:rsidR="00A60B24">
              <w:rPr>
                <w:noProof/>
                <w:webHidden/>
              </w:rPr>
              <w:fldChar w:fldCharType="begin"/>
            </w:r>
            <w:r w:rsidR="00A60B24">
              <w:rPr>
                <w:noProof/>
                <w:webHidden/>
              </w:rPr>
              <w:instrText xml:space="preserve"> PAGEREF _Toc139028890 \h </w:instrText>
            </w:r>
            <w:r w:rsidR="00A60B24">
              <w:rPr>
                <w:noProof/>
                <w:webHidden/>
              </w:rPr>
            </w:r>
            <w:r w:rsidR="00A60B24">
              <w:rPr>
                <w:noProof/>
                <w:webHidden/>
              </w:rPr>
              <w:fldChar w:fldCharType="separate"/>
            </w:r>
            <w:r w:rsidR="00663203">
              <w:rPr>
                <w:noProof/>
                <w:webHidden/>
              </w:rPr>
              <w:t>82</w:t>
            </w:r>
            <w:r w:rsidR="00A60B24">
              <w:rPr>
                <w:noProof/>
                <w:webHidden/>
              </w:rPr>
              <w:fldChar w:fldCharType="end"/>
            </w:r>
          </w:hyperlink>
        </w:p>
        <w:p w14:paraId="1E0E381B" w14:textId="1F169D47" w:rsidR="00A60B24" w:rsidRDefault="007C65C8">
          <w:pPr>
            <w:pStyle w:val="TOC3"/>
            <w:rPr>
              <w:rFonts w:eastAsiaTheme="minorEastAsia" w:cstheme="minorBidi"/>
              <w:noProof/>
              <w:kern w:val="2"/>
              <w:sz w:val="22"/>
              <w:szCs w:val="22"/>
              <w:lang w:eastAsia="en-AU"/>
              <w14:ligatures w14:val="standardContextual"/>
            </w:rPr>
          </w:pPr>
          <w:hyperlink w:anchor="_Toc139028891" w:history="1">
            <w:r w:rsidR="00A60B24" w:rsidRPr="00A708A9">
              <w:rPr>
                <w:rStyle w:val="Hyperlink"/>
                <w:noProof/>
              </w:rPr>
              <w:t>2.4.3 Curriculum design and delivery that is responsive and collaborative</w:t>
            </w:r>
            <w:r w:rsidR="00A60B24">
              <w:rPr>
                <w:noProof/>
                <w:webHidden/>
              </w:rPr>
              <w:tab/>
            </w:r>
            <w:r w:rsidR="00A60B24">
              <w:rPr>
                <w:noProof/>
                <w:webHidden/>
              </w:rPr>
              <w:fldChar w:fldCharType="begin"/>
            </w:r>
            <w:r w:rsidR="00A60B24">
              <w:rPr>
                <w:noProof/>
                <w:webHidden/>
              </w:rPr>
              <w:instrText xml:space="preserve"> PAGEREF _Toc139028891 \h </w:instrText>
            </w:r>
            <w:r w:rsidR="00A60B24">
              <w:rPr>
                <w:noProof/>
                <w:webHidden/>
              </w:rPr>
            </w:r>
            <w:r w:rsidR="00A60B24">
              <w:rPr>
                <w:noProof/>
                <w:webHidden/>
              </w:rPr>
              <w:fldChar w:fldCharType="separate"/>
            </w:r>
            <w:r w:rsidR="00663203">
              <w:rPr>
                <w:noProof/>
                <w:webHidden/>
              </w:rPr>
              <w:t>84</w:t>
            </w:r>
            <w:r w:rsidR="00A60B24">
              <w:rPr>
                <w:noProof/>
                <w:webHidden/>
              </w:rPr>
              <w:fldChar w:fldCharType="end"/>
            </w:r>
          </w:hyperlink>
        </w:p>
        <w:p w14:paraId="228B23B9" w14:textId="2B2B1A71" w:rsidR="00A60B24" w:rsidRDefault="007C65C8">
          <w:pPr>
            <w:pStyle w:val="TOC3"/>
            <w:rPr>
              <w:rFonts w:eastAsiaTheme="minorEastAsia" w:cstheme="minorBidi"/>
              <w:noProof/>
              <w:kern w:val="2"/>
              <w:sz w:val="22"/>
              <w:szCs w:val="22"/>
              <w:lang w:eastAsia="en-AU"/>
              <w14:ligatures w14:val="standardContextual"/>
            </w:rPr>
          </w:pPr>
          <w:hyperlink w:anchor="_Toc139028892" w:history="1">
            <w:r w:rsidR="00A60B24" w:rsidRPr="00A708A9">
              <w:rPr>
                <w:rStyle w:val="Hyperlink"/>
                <w:noProof/>
              </w:rPr>
              <w:t>2.4.4 Committing to teaching excellence and collaboration</w:t>
            </w:r>
            <w:r w:rsidR="00A60B24">
              <w:rPr>
                <w:noProof/>
                <w:webHidden/>
              </w:rPr>
              <w:tab/>
            </w:r>
            <w:r w:rsidR="00A60B24">
              <w:rPr>
                <w:noProof/>
                <w:webHidden/>
              </w:rPr>
              <w:fldChar w:fldCharType="begin"/>
            </w:r>
            <w:r w:rsidR="00A60B24">
              <w:rPr>
                <w:noProof/>
                <w:webHidden/>
              </w:rPr>
              <w:instrText xml:space="preserve"> PAGEREF _Toc139028892 \h </w:instrText>
            </w:r>
            <w:r w:rsidR="00A60B24">
              <w:rPr>
                <w:noProof/>
                <w:webHidden/>
              </w:rPr>
            </w:r>
            <w:r w:rsidR="00A60B24">
              <w:rPr>
                <w:noProof/>
                <w:webHidden/>
              </w:rPr>
              <w:fldChar w:fldCharType="separate"/>
            </w:r>
            <w:r w:rsidR="00663203">
              <w:rPr>
                <w:noProof/>
                <w:webHidden/>
              </w:rPr>
              <w:t>86</w:t>
            </w:r>
            <w:r w:rsidR="00A60B24">
              <w:rPr>
                <w:noProof/>
                <w:webHidden/>
              </w:rPr>
              <w:fldChar w:fldCharType="end"/>
            </w:r>
          </w:hyperlink>
        </w:p>
        <w:p w14:paraId="4EE647B9" w14:textId="7B082D89" w:rsidR="00A60B24" w:rsidRDefault="007C65C8">
          <w:pPr>
            <w:pStyle w:val="TOC3"/>
            <w:rPr>
              <w:rFonts w:eastAsiaTheme="minorEastAsia" w:cstheme="minorBidi"/>
              <w:noProof/>
              <w:kern w:val="2"/>
              <w:sz w:val="22"/>
              <w:szCs w:val="22"/>
              <w:lang w:eastAsia="en-AU"/>
              <w14:ligatures w14:val="standardContextual"/>
            </w:rPr>
          </w:pPr>
          <w:hyperlink w:anchor="_Toc139028893" w:history="1">
            <w:r w:rsidR="00A60B24" w:rsidRPr="00A708A9">
              <w:rPr>
                <w:rStyle w:val="Hyperlink"/>
                <w:noProof/>
              </w:rPr>
              <w:t>Considerations for change</w:t>
            </w:r>
            <w:r w:rsidR="00A60B24">
              <w:rPr>
                <w:noProof/>
                <w:webHidden/>
              </w:rPr>
              <w:tab/>
            </w:r>
            <w:r w:rsidR="00A60B24">
              <w:rPr>
                <w:noProof/>
                <w:webHidden/>
              </w:rPr>
              <w:fldChar w:fldCharType="begin"/>
            </w:r>
            <w:r w:rsidR="00A60B24">
              <w:rPr>
                <w:noProof/>
                <w:webHidden/>
              </w:rPr>
              <w:instrText xml:space="preserve"> PAGEREF _Toc139028893 \h </w:instrText>
            </w:r>
            <w:r w:rsidR="00A60B24">
              <w:rPr>
                <w:noProof/>
                <w:webHidden/>
              </w:rPr>
            </w:r>
            <w:r w:rsidR="00A60B24">
              <w:rPr>
                <w:noProof/>
                <w:webHidden/>
              </w:rPr>
              <w:fldChar w:fldCharType="separate"/>
            </w:r>
            <w:r w:rsidR="00663203">
              <w:rPr>
                <w:noProof/>
                <w:webHidden/>
              </w:rPr>
              <w:t>89</w:t>
            </w:r>
            <w:r w:rsidR="00A60B24">
              <w:rPr>
                <w:noProof/>
                <w:webHidden/>
              </w:rPr>
              <w:fldChar w:fldCharType="end"/>
            </w:r>
          </w:hyperlink>
        </w:p>
        <w:p w14:paraId="735A640A" w14:textId="24BB5177" w:rsidR="00A60B24" w:rsidRDefault="007C65C8">
          <w:pPr>
            <w:pStyle w:val="TOC1"/>
            <w:rPr>
              <w:rFonts w:eastAsiaTheme="minorEastAsia" w:cstheme="minorBidi"/>
              <w:b w:val="0"/>
              <w:bCs w:val="0"/>
              <w:i w:val="0"/>
              <w:iCs w:val="0"/>
              <w:noProof/>
              <w:kern w:val="2"/>
              <w:sz w:val="22"/>
              <w:szCs w:val="22"/>
              <w:lang w:eastAsia="en-AU"/>
              <w14:ligatures w14:val="standardContextual"/>
            </w:rPr>
          </w:pPr>
          <w:hyperlink w:anchor="_Toc139028894" w:history="1">
            <w:r w:rsidR="00A60B24" w:rsidRPr="00A708A9">
              <w:rPr>
                <w:rStyle w:val="Hyperlink"/>
                <w:noProof/>
              </w:rPr>
              <w:t>2.5: Fostering international engagement</w:t>
            </w:r>
            <w:r w:rsidR="00A60B24">
              <w:rPr>
                <w:noProof/>
                <w:webHidden/>
              </w:rPr>
              <w:tab/>
            </w:r>
            <w:r w:rsidR="00A60B24">
              <w:rPr>
                <w:noProof/>
                <w:webHidden/>
              </w:rPr>
              <w:fldChar w:fldCharType="begin"/>
            </w:r>
            <w:r w:rsidR="00A60B24">
              <w:rPr>
                <w:noProof/>
                <w:webHidden/>
              </w:rPr>
              <w:instrText xml:space="preserve"> PAGEREF _Toc139028894 \h </w:instrText>
            </w:r>
            <w:r w:rsidR="00A60B24">
              <w:rPr>
                <w:noProof/>
                <w:webHidden/>
              </w:rPr>
            </w:r>
            <w:r w:rsidR="00A60B24">
              <w:rPr>
                <w:noProof/>
                <w:webHidden/>
              </w:rPr>
              <w:fldChar w:fldCharType="separate"/>
            </w:r>
            <w:r w:rsidR="00663203">
              <w:rPr>
                <w:noProof/>
                <w:webHidden/>
              </w:rPr>
              <w:t>91</w:t>
            </w:r>
            <w:r w:rsidR="00A60B24">
              <w:rPr>
                <w:noProof/>
                <w:webHidden/>
              </w:rPr>
              <w:fldChar w:fldCharType="end"/>
            </w:r>
          </w:hyperlink>
        </w:p>
        <w:p w14:paraId="6DBCB9AF" w14:textId="132B9A6E" w:rsidR="00A60B24" w:rsidRDefault="007C65C8">
          <w:pPr>
            <w:pStyle w:val="TOC3"/>
            <w:rPr>
              <w:rFonts w:eastAsiaTheme="minorEastAsia" w:cstheme="minorBidi"/>
              <w:noProof/>
              <w:kern w:val="2"/>
              <w:sz w:val="22"/>
              <w:szCs w:val="22"/>
              <w:lang w:eastAsia="en-AU"/>
              <w14:ligatures w14:val="standardContextual"/>
            </w:rPr>
          </w:pPr>
          <w:hyperlink w:anchor="_Toc139028895" w:history="1">
            <w:r w:rsidR="00A60B24" w:rsidRPr="00A708A9">
              <w:rPr>
                <w:rStyle w:val="Hyperlink"/>
                <w:noProof/>
              </w:rPr>
              <w:t>Issues</w:t>
            </w:r>
            <w:r w:rsidR="00A60B24">
              <w:rPr>
                <w:noProof/>
                <w:webHidden/>
              </w:rPr>
              <w:tab/>
            </w:r>
            <w:r w:rsidR="00A60B24">
              <w:rPr>
                <w:noProof/>
                <w:webHidden/>
              </w:rPr>
              <w:fldChar w:fldCharType="begin"/>
            </w:r>
            <w:r w:rsidR="00A60B24">
              <w:rPr>
                <w:noProof/>
                <w:webHidden/>
              </w:rPr>
              <w:instrText xml:space="preserve"> PAGEREF _Toc139028895 \h </w:instrText>
            </w:r>
            <w:r w:rsidR="00A60B24">
              <w:rPr>
                <w:noProof/>
                <w:webHidden/>
              </w:rPr>
            </w:r>
            <w:r w:rsidR="00A60B24">
              <w:rPr>
                <w:noProof/>
                <w:webHidden/>
              </w:rPr>
              <w:fldChar w:fldCharType="separate"/>
            </w:r>
            <w:r w:rsidR="00663203">
              <w:rPr>
                <w:noProof/>
                <w:webHidden/>
              </w:rPr>
              <w:t>91</w:t>
            </w:r>
            <w:r w:rsidR="00A60B24">
              <w:rPr>
                <w:noProof/>
                <w:webHidden/>
              </w:rPr>
              <w:fldChar w:fldCharType="end"/>
            </w:r>
          </w:hyperlink>
        </w:p>
        <w:p w14:paraId="7C2C57B2" w14:textId="705A17EE" w:rsidR="00A60B24" w:rsidRDefault="007C65C8">
          <w:pPr>
            <w:pStyle w:val="TOC3"/>
            <w:rPr>
              <w:rFonts w:eastAsiaTheme="minorEastAsia" w:cstheme="minorBidi"/>
              <w:noProof/>
              <w:kern w:val="2"/>
              <w:sz w:val="22"/>
              <w:szCs w:val="22"/>
              <w:lang w:eastAsia="en-AU"/>
              <w14:ligatures w14:val="standardContextual"/>
            </w:rPr>
          </w:pPr>
          <w:hyperlink w:anchor="_Toc139028896" w:history="1">
            <w:r w:rsidR="00A60B24" w:rsidRPr="00A708A9">
              <w:rPr>
                <w:rStyle w:val="Hyperlink"/>
                <w:noProof/>
              </w:rPr>
              <w:t>2.5.1 Promoting global connectivity</w:t>
            </w:r>
            <w:r w:rsidR="00A60B24">
              <w:rPr>
                <w:noProof/>
                <w:webHidden/>
              </w:rPr>
              <w:tab/>
            </w:r>
            <w:r w:rsidR="00A60B24">
              <w:rPr>
                <w:noProof/>
                <w:webHidden/>
              </w:rPr>
              <w:fldChar w:fldCharType="begin"/>
            </w:r>
            <w:r w:rsidR="00A60B24">
              <w:rPr>
                <w:noProof/>
                <w:webHidden/>
              </w:rPr>
              <w:instrText xml:space="preserve"> PAGEREF _Toc139028896 \h </w:instrText>
            </w:r>
            <w:r w:rsidR="00A60B24">
              <w:rPr>
                <w:noProof/>
                <w:webHidden/>
              </w:rPr>
            </w:r>
            <w:r w:rsidR="00A60B24">
              <w:rPr>
                <w:noProof/>
                <w:webHidden/>
              </w:rPr>
              <w:fldChar w:fldCharType="separate"/>
            </w:r>
            <w:r w:rsidR="00663203">
              <w:rPr>
                <w:noProof/>
                <w:webHidden/>
              </w:rPr>
              <w:t>91</w:t>
            </w:r>
            <w:r w:rsidR="00A60B24">
              <w:rPr>
                <w:noProof/>
                <w:webHidden/>
              </w:rPr>
              <w:fldChar w:fldCharType="end"/>
            </w:r>
          </w:hyperlink>
        </w:p>
        <w:p w14:paraId="4C2D41DF" w14:textId="171D8410" w:rsidR="00A60B24" w:rsidRDefault="007C65C8">
          <w:pPr>
            <w:pStyle w:val="TOC3"/>
            <w:rPr>
              <w:rFonts w:eastAsiaTheme="minorEastAsia" w:cstheme="minorBidi"/>
              <w:noProof/>
              <w:kern w:val="2"/>
              <w:sz w:val="22"/>
              <w:szCs w:val="22"/>
              <w:lang w:eastAsia="en-AU"/>
              <w14:ligatures w14:val="standardContextual"/>
            </w:rPr>
          </w:pPr>
          <w:hyperlink w:anchor="_Toc139028897" w:history="1">
            <w:r w:rsidR="00A60B24" w:rsidRPr="00A708A9">
              <w:rPr>
                <w:rStyle w:val="Hyperlink"/>
                <w:noProof/>
              </w:rPr>
              <w:t>2.5.2 Optimising use of Australian research expertise</w:t>
            </w:r>
            <w:r w:rsidR="00A60B24">
              <w:rPr>
                <w:noProof/>
                <w:webHidden/>
              </w:rPr>
              <w:tab/>
            </w:r>
            <w:r w:rsidR="00A60B24">
              <w:rPr>
                <w:noProof/>
                <w:webHidden/>
              </w:rPr>
              <w:fldChar w:fldCharType="begin"/>
            </w:r>
            <w:r w:rsidR="00A60B24">
              <w:rPr>
                <w:noProof/>
                <w:webHidden/>
              </w:rPr>
              <w:instrText xml:space="preserve"> PAGEREF _Toc139028897 \h </w:instrText>
            </w:r>
            <w:r w:rsidR="00A60B24">
              <w:rPr>
                <w:noProof/>
                <w:webHidden/>
              </w:rPr>
            </w:r>
            <w:r w:rsidR="00A60B24">
              <w:rPr>
                <w:noProof/>
                <w:webHidden/>
              </w:rPr>
              <w:fldChar w:fldCharType="separate"/>
            </w:r>
            <w:r w:rsidR="00663203">
              <w:rPr>
                <w:noProof/>
                <w:webHidden/>
              </w:rPr>
              <w:t>94</w:t>
            </w:r>
            <w:r w:rsidR="00A60B24">
              <w:rPr>
                <w:noProof/>
                <w:webHidden/>
              </w:rPr>
              <w:fldChar w:fldCharType="end"/>
            </w:r>
          </w:hyperlink>
        </w:p>
        <w:p w14:paraId="7F44EBBD" w14:textId="1BCAABF6" w:rsidR="00A60B24" w:rsidRDefault="007C65C8">
          <w:pPr>
            <w:pStyle w:val="TOC3"/>
            <w:rPr>
              <w:rFonts w:eastAsiaTheme="minorEastAsia" w:cstheme="minorBidi"/>
              <w:noProof/>
              <w:kern w:val="2"/>
              <w:sz w:val="22"/>
              <w:szCs w:val="22"/>
              <w:lang w:eastAsia="en-AU"/>
              <w14:ligatures w14:val="standardContextual"/>
            </w:rPr>
          </w:pPr>
          <w:hyperlink w:anchor="_Toc139028898" w:history="1">
            <w:r w:rsidR="00A60B24" w:rsidRPr="00A708A9">
              <w:rPr>
                <w:rStyle w:val="Hyperlink"/>
                <w:noProof/>
              </w:rPr>
              <w:t>2.5.3 Leveraging research and international education to advance Australia’s interests</w:t>
            </w:r>
            <w:r w:rsidR="00A60B24">
              <w:rPr>
                <w:noProof/>
                <w:webHidden/>
              </w:rPr>
              <w:tab/>
            </w:r>
            <w:r w:rsidR="00A60B24">
              <w:rPr>
                <w:noProof/>
                <w:webHidden/>
              </w:rPr>
              <w:fldChar w:fldCharType="begin"/>
            </w:r>
            <w:r w:rsidR="00A60B24">
              <w:rPr>
                <w:noProof/>
                <w:webHidden/>
              </w:rPr>
              <w:instrText xml:space="preserve"> PAGEREF _Toc139028898 \h </w:instrText>
            </w:r>
            <w:r w:rsidR="00A60B24">
              <w:rPr>
                <w:noProof/>
                <w:webHidden/>
              </w:rPr>
            </w:r>
            <w:r w:rsidR="00A60B24">
              <w:rPr>
                <w:noProof/>
                <w:webHidden/>
              </w:rPr>
              <w:fldChar w:fldCharType="separate"/>
            </w:r>
            <w:r w:rsidR="00663203">
              <w:rPr>
                <w:noProof/>
                <w:webHidden/>
              </w:rPr>
              <w:t>95</w:t>
            </w:r>
            <w:r w:rsidR="00A60B24">
              <w:rPr>
                <w:noProof/>
                <w:webHidden/>
              </w:rPr>
              <w:fldChar w:fldCharType="end"/>
            </w:r>
          </w:hyperlink>
        </w:p>
        <w:p w14:paraId="1214A8CD" w14:textId="5F359FE8" w:rsidR="00A60B24" w:rsidRDefault="007C65C8">
          <w:pPr>
            <w:pStyle w:val="TOC3"/>
            <w:rPr>
              <w:rFonts w:eastAsiaTheme="minorEastAsia" w:cstheme="minorBidi"/>
              <w:noProof/>
              <w:kern w:val="2"/>
              <w:sz w:val="22"/>
              <w:szCs w:val="22"/>
              <w:lang w:eastAsia="en-AU"/>
              <w14:ligatures w14:val="standardContextual"/>
            </w:rPr>
          </w:pPr>
          <w:hyperlink w:anchor="_Toc139028899" w:history="1">
            <w:r w:rsidR="00A60B24" w:rsidRPr="00A708A9">
              <w:rPr>
                <w:rStyle w:val="Hyperlink"/>
                <w:bCs/>
                <w:noProof/>
              </w:rPr>
              <w:t>Considerations for change</w:t>
            </w:r>
            <w:r w:rsidR="00A60B24">
              <w:rPr>
                <w:noProof/>
                <w:webHidden/>
              </w:rPr>
              <w:tab/>
            </w:r>
            <w:r w:rsidR="00A60B24">
              <w:rPr>
                <w:noProof/>
                <w:webHidden/>
              </w:rPr>
              <w:fldChar w:fldCharType="begin"/>
            </w:r>
            <w:r w:rsidR="00A60B24">
              <w:rPr>
                <w:noProof/>
                <w:webHidden/>
              </w:rPr>
              <w:instrText xml:space="preserve"> PAGEREF _Toc139028899 \h </w:instrText>
            </w:r>
            <w:r w:rsidR="00A60B24">
              <w:rPr>
                <w:noProof/>
                <w:webHidden/>
              </w:rPr>
            </w:r>
            <w:r w:rsidR="00A60B24">
              <w:rPr>
                <w:noProof/>
                <w:webHidden/>
              </w:rPr>
              <w:fldChar w:fldCharType="separate"/>
            </w:r>
            <w:r w:rsidR="00663203">
              <w:rPr>
                <w:noProof/>
                <w:webHidden/>
              </w:rPr>
              <w:t>95</w:t>
            </w:r>
            <w:r w:rsidR="00A60B24">
              <w:rPr>
                <w:noProof/>
                <w:webHidden/>
              </w:rPr>
              <w:fldChar w:fldCharType="end"/>
            </w:r>
          </w:hyperlink>
        </w:p>
        <w:p w14:paraId="3D9C6CC1" w14:textId="070C3FE4" w:rsidR="00A60B24" w:rsidRDefault="007C65C8">
          <w:pPr>
            <w:pStyle w:val="TOC1"/>
            <w:rPr>
              <w:rFonts w:eastAsiaTheme="minorEastAsia" w:cstheme="minorBidi"/>
              <w:b w:val="0"/>
              <w:bCs w:val="0"/>
              <w:i w:val="0"/>
              <w:iCs w:val="0"/>
              <w:noProof/>
              <w:kern w:val="2"/>
              <w:sz w:val="22"/>
              <w:szCs w:val="22"/>
              <w:lang w:eastAsia="en-AU"/>
              <w14:ligatures w14:val="standardContextual"/>
            </w:rPr>
          </w:pPr>
          <w:hyperlink w:anchor="_Toc139028900" w:history="1">
            <w:r w:rsidR="00A60B24" w:rsidRPr="00A708A9">
              <w:rPr>
                <w:rStyle w:val="Hyperlink"/>
                <w:noProof/>
              </w:rPr>
              <w:t>2.6: Serving our communities</w:t>
            </w:r>
            <w:r w:rsidR="00A60B24">
              <w:rPr>
                <w:noProof/>
                <w:webHidden/>
              </w:rPr>
              <w:tab/>
            </w:r>
            <w:r w:rsidR="00A60B24">
              <w:rPr>
                <w:noProof/>
                <w:webHidden/>
              </w:rPr>
              <w:fldChar w:fldCharType="begin"/>
            </w:r>
            <w:r w:rsidR="00A60B24">
              <w:rPr>
                <w:noProof/>
                <w:webHidden/>
              </w:rPr>
              <w:instrText xml:space="preserve"> PAGEREF _Toc139028900 \h </w:instrText>
            </w:r>
            <w:r w:rsidR="00A60B24">
              <w:rPr>
                <w:noProof/>
                <w:webHidden/>
              </w:rPr>
            </w:r>
            <w:r w:rsidR="00A60B24">
              <w:rPr>
                <w:noProof/>
                <w:webHidden/>
              </w:rPr>
              <w:fldChar w:fldCharType="separate"/>
            </w:r>
            <w:r w:rsidR="00663203">
              <w:rPr>
                <w:noProof/>
                <w:webHidden/>
              </w:rPr>
              <w:t>97</w:t>
            </w:r>
            <w:r w:rsidR="00A60B24">
              <w:rPr>
                <w:noProof/>
                <w:webHidden/>
              </w:rPr>
              <w:fldChar w:fldCharType="end"/>
            </w:r>
          </w:hyperlink>
        </w:p>
        <w:p w14:paraId="35050F5E" w14:textId="0624E8A3" w:rsidR="00A60B24" w:rsidRDefault="007C65C8">
          <w:pPr>
            <w:pStyle w:val="TOC3"/>
            <w:rPr>
              <w:rFonts w:eastAsiaTheme="minorEastAsia" w:cstheme="minorBidi"/>
              <w:noProof/>
              <w:kern w:val="2"/>
              <w:sz w:val="22"/>
              <w:szCs w:val="22"/>
              <w:lang w:eastAsia="en-AU"/>
              <w14:ligatures w14:val="standardContextual"/>
            </w:rPr>
          </w:pPr>
          <w:hyperlink w:anchor="_Toc139028901" w:history="1">
            <w:r w:rsidR="00A60B24" w:rsidRPr="00A708A9">
              <w:rPr>
                <w:rStyle w:val="Hyperlink"/>
                <w:noProof/>
              </w:rPr>
              <w:t>Issues</w:t>
            </w:r>
            <w:r w:rsidR="00A60B24">
              <w:rPr>
                <w:noProof/>
                <w:webHidden/>
              </w:rPr>
              <w:tab/>
            </w:r>
            <w:r w:rsidR="00A60B24">
              <w:rPr>
                <w:noProof/>
                <w:webHidden/>
              </w:rPr>
              <w:fldChar w:fldCharType="begin"/>
            </w:r>
            <w:r w:rsidR="00A60B24">
              <w:rPr>
                <w:noProof/>
                <w:webHidden/>
              </w:rPr>
              <w:instrText xml:space="preserve"> PAGEREF _Toc139028901 \h </w:instrText>
            </w:r>
            <w:r w:rsidR="00A60B24">
              <w:rPr>
                <w:noProof/>
                <w:webHidden/>
              </w:rPr>
            </w:r>
            <w:r w:rsidR="00A60B24">
              <w:rPr>
                <w:noProof/>
                <w:webHidden/>
              </w:rPr>
              <w:fldChar w:fldCharType="separate"/>
            </w:r>
            <w:r w:rsidR="00663203">
              <w:rPr>
                <w:noProof/>
                <w:webHidden/>
              </w:rPr>
              <w:t>97</w:t>
            </w:r>
            <w:r w:rsidR="00A60B24">
              <w:rPr>
                <w:noProof/>
                <w:webHidden/>
              </w:rPr>
              <w:fldChar w:fldCharType="end"/>
            </w:r>
          </w:hyperlink>
        </w:p>
        <w:p w14:paraId="1E2B482A" w14:textId="26FC0513" w:rsidR="00A60B24" w:rsidRDefault="007C65C8">
          <w:pPr>
            <w:pStyle w:val="TOC3"/>
            <w:rPr>
              <w:rFonts w:eastAsiaTheme="minorEastAsia" w:cstheme="minorBidi"/>
              <w:noProof/>
              <w:kern w:val="2"/>
              <w:sz w:val="22"/>
              <w:szCs w:val="22"/>
              <w:lang w:eastAsia="en-AU"/>
              <w14:ligatures w14:val="standardContextual"/>
            </w:rPr>
          </w:pPr>
          <w:hyperlink w:anchor="_Toc139028902" w:history="1">
            <w:r w:rsidR="00A60B24" w:rsidRPr="00A708A9">
              <w:rPr>
                <w:rStyle w:val="Hyperlink"/>
                <w:noProof/>
              </w:rPr>
              <w:t>2.6.1 Keystone institutions across local, regional and national communities</w:t>
            </w:r>
            <w:r w:rsidR="00A60B24">
              <w:rPr>
                <w:noProof/>
                <w:webHidden/>
              </w:rPr>
              <w:tab/>
            </w:r>
            <w:r w:rsidR="00A60B24">
              <w:rPr>
                <w:noProof/>
                <w:webHidden/>
              </w:rPr>
              <w:fldChar w:fldCharType="begin"/>
            </w:r>
            <w:r w:rsidR="00A60B24">
              <w:rPr>
                <w:noProof/>
                <w:webHidden/>
              </w:rPr>
              <w:instrText xml:space="preserve"> PAGEREF _Toc139028902 \h </w:instrText>
            </w:r>
            <w:r w:rsidR="00A60B24">
              <w:rPr>
                <w:noProof/>
                <w:webHidden/>
              </w:rPr>
            </w:r>
            <w:r w:rsidR="00A60B24">
              <w:rPr>
                <w:noProof/>
                <w:webHidden/>
              </w:rPr>
              <w:fldChar w:fldCharType="separate"/>
            </w:r>
            <w:r w:rsidR="00663203">
              <w:rPr>
                <w:noProof/>
                <w:webHidden/>
              </w:rPr>
              <w:t>97</w:t>
            </w:r>
            <w:r w:rsidR="00A60B24">
              <w:rPr>
                <w:noProof/>
                <w:webHidden/>
              </w:rPr>
              <w:fldChar w:fldCharType="end"/>
            </w:r>
          </w:hyperlink>
        </w:p>
        <w:p w14:paraId="7D7C43E1" w14:textId="28CEB93C" w:rsidR="00A60B24" w:rsidRDefault="007C65C8">
          <w:pPr>
            <w:pStyle w:val="TOC3"/>
            <w:rPr>
              <w:rFonts w:eastAsiaTheme="minorEastAsia" w:cstheme="minorBidi"/>
              <w:noProof/>
              <w:kern w:val="2"/>
              <w:sz w:val="22"/>
              <w:szCs w:val="22"/>
              <w:lang w:eastAsia="en-AU"/>
              <w14:ligatures w14:val="standardContextual"/>
            </w:rPr>
          </w:pPr>
          <w:hyperlink w:anchor="_Toc139028903" w:history="1">
            <w:r w:rsidR="00A60B24" w:rsidRPr="00A708A9">
              <w:rPr>
                <w:rStyle w:val="Hyperlink"/>
                <w:noProof/>
              </w:rPr>
              <w:t>2.6.2 Community-led research</w:t>
            </w:r>
            <w:r w:rsidR="00A60B24">
              <w:rPr>
                <w:noProof/>
                <w:webHidden/>
              </w:rPr>
              <w:tab/>
            </w:r>
            <w:r w:rsidR="00A60B24">
              <w:rPr>
                <w:noProof/>
                <w:webHidden/>
              </w:rPr>
              <w:fldChar w:fldCharType="begin"/>
            </w:r>
            <w:r w:rsidR="00A60B24">
              <w:rPr>
                <w:noProof/>
                <w:webHidden/>
              </w:rPr>
              <w:instrText xml:space="preserve"> PAGEREF _Toc139028903 \h </w:instrText>
            </w:r>
            <w:r w:rsidR="00A60B24">
              <w:rPr>
                <w:noProof/>
                <w:webHidden/>
              </w:rPr>
            </w:r>
            <w:r w:rsidR="00A60B24">
              <w:rPr>
                <w:noProof/>
                <w:webHidden/>
              </w:rPr>
              <w:fldChar w:fldCharType="separate"/>
            </w:r>
            <w:r w:rsidR="00663203">
              <w:rPr>
                <w:noProof/>
                <w:webHidden/>
              </w:rPr>
              <w:t>101</w:t>
            </w:r>
            <w:r w:rsidR="00A60B24">
              <w:rPr>
                <w:noProof/>
                <w:webHidden/>
              </w:rPr>
              <w:fldChar w:fldCharType="end"/>
            </w:r>
          </w:hyperlink>
        </w:p>
        <w:p w14:paraId="2344F9AA" w14:textId="5D3C3968" w:rsidR="00A60B24" w:rsidRDefault="007C65C8">
          <w:pPr>
            <w:pStyle w:val="TOC3"/>
            <w:rPr>
              <w:rFonts w:eastAsiaTheme="minorEastAsia" w:cstheme="minorBidi"/>
              <w:noProof/>
              <w:kern w:val="2"/>
              <w:sz w:val="22"/>
              <w:szCs w:val="22"/>
              <w:lang w:eastAsia="en-AU"/>
              <w14:ligatures w14:val="standardContextual"/>
            </w:rPr>
          </w:pPr>
          <w:hyperlink w:anchor="_Toc139028904" w:history="1">
            <w:r w:rsidR="00A60B24" w:rsidRPr="00A708A9">
              <w:rPr>
                <w:rStyle w:val="Hyperlink"/>
                <w:noProof/>
              </w:rPr>
              <w:t>2.6.3 The importance of alumni</w:t>
            </w:r>
            <w:r w:rsidR="00A60B24">
              <w:rPr>
                <w:noProof/>
                <w:webHidden/>
              </w:rPr>
              <w:tab/>
            </w:r>
            <w:r w:rsidR="00A60B24">
              <w:rPr>
                <w:noProof/>
                <w:webHidden/>
              </w:rPr>
              <w:fldChar w:fldCharType="begin"/>
            </w:r>
            <w:r w:rsidR="00A60B24">
              <w:rPr>
                <w:noProof/>
                <w:webHidden/>
              </w:rPr>
              <w:instrText xml:space="preserve"> PAGEREF _Toc139028904 \h </w:instrText>
            </w:r>
            <w:r w:rsidR="00A60B24">
              <w:rPr>
                <w:noProof/>
                <w:webHidden/>
              </w:rPr>
            </w:r>
            <w:r w:rsidR="00A60B24">
              <w:rPr>
                <w:noProof/>
                <w:webHidden/>
              </w:rPr>
              <w:fldChar w:fldCharType="separate"/>
            </w:r>
            <w:r w:rsidR="00663203">
              <w:rPr>
                <w:noProof/>
                <w:webHidden/>
              </w:rPr>
              <w:t>103</w:t>
            </w:r>
            <w:r w:rsidR="00A60B24">
              <w:rPr>
                <w:noProof/>
                <w:webHidden/>
              </w:rPr>
              <w:fldChar w:fldCharType="end"/>
            </w:r>
          </w:hyperlink>
        </w:p>
        <w:p w14:paraId="282AAA07" w14:textId="6044E2EE" w:rsidR="00A60B24" w:rsidRDefault="007C65C8">
          <w:pPr>
            <w:pStyle w:val="TOC3"/>
            <w:rPr>
              <w:rFonts w:eastAsiaTheme="minorEastAsia" w:cstheme="minorBidi"/>
              <w:noProof/>
              <w:kern w:val="2"/>
              <w:sz w:val="22"/>
              <w:szCs w:val="22"/>
              <w:lang w:eastAsia="en-AU"/>
              <w14:ligatures w14:val="standardContextual"/>
            </w:rPr>
          </w:pPr>
          <w:hyperlink w:anchor="_Toc139028905" w:history="1">
            <w:r w:rsidR="00A60B24" w:rsidRPr="00A708A9">
              <w:rPr>
                <w:rStyle w:val="Hyperlink"/>
                <w:noProof/>
              </w:rPr>
              <w:t>2.6.4 A stronger civic agenda</w:t>
            </w:r>
            <w:r w:rsidR="00A60B24">
              <w:rPr>
                <w:noProof/>
                <w:webHidden/>
              </w:rPr>
              <w:tab/>
            </w:r>
            <w:r w:rsidR="00A60B24">
              <w:rPr>
                <w:noProof/>
                <w:webHidden/>
              </w:rPr>
              <w:fldChar w:fldCharType="begin"/>
            </w:r>
            <w:r w:rsidR="00A60B24">
              <w:rPr>
                <w:noProof/>
                <w:webHidden/>
              </w:rPr>
              <w:instrText xml:space="preserve"> PAGEREF _Toc139028905 \h </w:instrText>
            </w:r>
            <w:r w:rsidR="00A60B24">
              <w:rPr>
                <w:noProof/>
                <w:webHidden/>
              </w:rPr>
            </w:r>
            <w:r w:rsidR="00A60B24">
              <w:rPr>
                <w:noProof/>
                <w:webHidden/>
              </w:rPr>
              <w:fldChar w:fldCharType="separate"/>
            </w:r>
            <w:r w:rsidR="00663203">
              <w:rPr>
                <w:noProof/>
                <w:webHidden/>
              </w:rPr>
              <w:t>103</w:t>
            </w:r>
            <w:r w:rsidR="00A60B24">
              <w:rPr>
                <w:noProof/>
                <w:webHidden/>
              </w:rPr>
              <w:fldChar w:fldCharType="end"/>
            </w:r>
          </w:hyperlink>
        </w:p>
        <w:p w14:paraId="07C99C06" w14:textId="3FF4ADFD" w:rsidR="00A60B24" w:rsidRDefault="007C65C8">
          <w:pPr>
            <w:pStyle w:val="TOC3"/>
            <w:rPr>
              <w:rFonts w:eastAsiaTheme="minorEastAsia" w:cstheme="minorBidi"/>
              <w:noProof/>
              <w:kern w:val="2"/>
              <w:sz w:val="22"/>
              <w:szCs w:val="22"/>
              <w:lang w:eastAsia="en-AU"/>
              <w14:ligatures w14:val="standardContextual"/>
            </w:rPr>
          </w:pPr>
          <w:hyperlink w:anchor="_Toc139028906" w:history="1">
            <w:r w:rsidR="00A60B24" w:rsidRPr="00A708A9">
              <w:rPr>
                <w:rStyle w:val="Hyperlink"/>
                <w:noProof/>
              </w:rPr>
              <w:t>Considerations for change</w:t>
            </w:r>
            <w:r w:rsidR="00A60B24">
              <w:rPr>
                <w:noProof/>
                <w:webHidden/>
              </w:rPr>
              <w:tab/>
            </w:r>
            <w:r w:rsidR="00A60B24">
              <w:rPr>
                <w:noProof/>
                <w:webHidden/>
              </w:rPr>
              <w:fldChar w:fldCharType="begin"/>
            </w:r>
            <w:r w:rsidR="00A60B24">
              <w:rPr>
                <w:noProof/>
                <w:webHidden/>
              </w:rPr>
              <w:instrText xml:space="preserve"> PAGEREF _Toc139028906 \h </w:instrText>
            </w:r>
            <w:r w:rsidR="00A60B24">
              <w:rPr>
                <w:noProof/>
                <w:webHidden/>
              </w:rPr>
            </w:r>
            <w:r w:rsidR="00A60B24">
              <w:rPr>
                <w:noProof/>
                <w:webHidden/>
              </w:rPr>
              <w:fldChar w:fldCharType="separate"/>
            </w:r>
            <w:r w:rsidR="00663203">
              <w:rPr>
                <w:noProof/>
                <w:webHidden/>
              </w:rPr>
              <w:t>104</w:t>
            </w:r>
            <w:r w:rsidR="00A60B24">
              <w:rPr>
                <w:noProof/>
                <w:webHidden/>
              </w:rPr>
              <w:fldChar w:fldCharType="end"/>
            </w:r>
          </w:hyperlink>
        </w:p>
        <w:p w14:paraId="5C733E9C" w14:textId="716D19EC" w:rsidR="00A60B24" w:rsidRDefault="007C65C8">
          <w:pPr>
            <w:pStyle w:val="TOC1"/>
            <w:rPr>
              <w:rFonts w:eastAsiaTheme="minorEastAsia" w:cstheme="minorBidi"/>
              <w:b w:val="0"/>
              <w:bCs w:val="0"/>
              <w:i w:val="0"/>
              <w:iCs w:val="0"/>
              <w:noProof/>
              <w:kern w:val="2"/>
              <w:sz w:val="22"/>
              <w:szCs w:val="22"/>
              <w:lang w:eastAsia="en-AU"/>
              <w14:ligatures w14:val="standardContextual"/>
            </w:rPr>
          </w:pPr>
          <w:hyperlink w:anchor="_Toc139028907" w:history="1">
            <w:r w:rsidR="00A60B24" w:rsidRPr="00A708A9">
              <w:rPr>
                <w:rStyle w:val="Hyperlink"/>
                <w:noProof/>
              </w:rPr>
              <w:t>2.7: Research, innovation and research training</w:t>
            </w:r>
            <w:r w:rsidR="00A60B24">
              <w:rPr>
                <w:noProof/>
                <w:webHidden/>
              </w:rPr>
              <w:tab/>
            </w:r>
            <w:r w:rsidR="00A60B24">
              <w:rPr>
                <w:noProof/>
                <w:webHidden/>
              </w:rPr>
              <w:fldChar w:fldCharType="begin"/>
            </w:r>
            <w:r w:rsidR="00A60B24">
              <w:rPr>
                <w:noProof/>
                <w:webHidden/>
              </w:rPr>
              <w:instrText xml:space="preserve"> PAGEREF _Toc139028907 \h </w:instrText>
            </w:r>
            <w:r w:rsidR="00A60B24">
              <w:rPr>
                <w:noProof/>
                <w:webHidden/>
              </w:rPr>
            </w:r>
            <w:r w:rsidR="00A60B24">
              <w:rPr>
                <w:noProof/>
                <w:webHidden/>
              </w:rPr>
              <w:fldChar w:fldCharType="separate"/>
            </w:r>
            <w:r w:rsidR="00663203">
              <w:rPr>
                <w:noProof/>
                <w:webHidden/>
              </w:rPr>
              <w:t>105</w:t>
            </w:r>
            <w:r w:rsidR="00A60B24">
              <w:rPr>
                <w:noProof/>
                <w:webHidden/>
              </w:rPr>
              <w:fldChar w:fldCharType="end"/>
            </w:r>
          </w:hyperlink>
        </w:p>
        <w:p w14:paraId="4C35DBDC" w14:textId="68D6C824" w:rsidR="00A60B24" w:rsidRDefault="007C65C8">
          <w:pPr>
            <w:pStyle w:val="TOC3"/>
            <w:rPr>
              <w:rFonts w:eastAsiaTheme="minorEastAsia" w:cstheme="minorBidi"/>
              <w:noProof/>
              <w:kern w:val="2"/>
              <w:sz w:val="22"/>
              <w:szCs w:val="22"/>
              <w:lang w:eastAsia="en-AU"/>
              <w14:ligatures w14:val="standardContextual"/>
            </w:rPr>
          </w:pPr>
          <w:hyperlink w:anchor="_Toc139028908" w:history="1">
            <w:r w:rsidR="00A60B24" w:rsidRPr="00A708A9">
              <w:rPr>
                <w:rStyle w:val="Hyperlink"/>
                <w:noProof/>
              </w:rPr>
              <w:t>Issues</w:t>
            </w:r>
            <w:r w:rsidR="00A60B24">
              <w:rPr>
                <w:noProof/>
                <w:webHidden/>
              </w:rPr>
              <w:tab/>
            </w:r>
            <w:r w:rsidR="00A60B24">
              <w:rPr>
                <w:noProof/>
                <w:webHidden/>
              </w:rPr>
              <w:fldChar w:fldCharType="begin"/>
            </w:r>
            <w:r w:rsidR="00A60B24">
              <w:rPr>
                <w:noProof/>
                <w:webHidden/>
              </w:rPr>
              <w:instrText xml:space="preserve"> PAGEREF _Toc139028908 \h </w:instrText>
            </w:r>
            <w:r w:rsidR="00A60B24">
              <w:rPr>
                <w:noProof/>
                <w:webHidden/>
              </w:rPr>
            </w:r>
            <w:r w:rsidR="00A60B24">
              <w:rPr>
                <w:noProof/>
                <w:webHidden/>
              </w:rPr>
              <w:fldChar w:fldCharType="separate"/>
            </w:r>
            <w:r w:rsidR="00663203">
              <w:rPr>
                <w:noProof/>
                <w:webHidden/>
              </w:rPr>
              <w:t>105</w:t>
            </w:r>
            <w:r w:rsidR="00A60B24">
              <w:rPr>
                <w:noProof/>
                <w:webHidden/>
              </w:rPr>
              <w:fldChar w:fldCharType="end"/>
            </w:r>
          </w:hyperlink>
        </w:p>
        <w:p w14:paraId="4940640F" w14:textId="44D60E63" w:rsidR="00A60B24" w:rsidRDefault="007C65C8">
          <w:pPr>
            <w:pStyle w:val="TOC3"/>
            <w:rPr>
              <w:rFonts w:eastAsiaTheme="minorEastAsia" w:cstheme="minorBidi"/>
              <w:noProof/>
              <w:kern w:val="2"/>
              <w:sz w:val="22"/>
              <w:szCs w:val="22"/>
              <w:lang w:eastAsia="en-AU"/>
              <w14:ligatures w14:val="standardContextual"/>
            </w:rPr>
          </w:pPr>
          <w:hyperlink w:anchor="_Toc139028909" w:history="1">
            <w:r w:rsidR="00A60B24" w:rsidRPr="00A708A9">
              <w:rPr>
                <w:rStyle w:val="Hyperlink"/>
                <w:noProof/>
              </w:rPr>
              <w:t>2.7.1 Getting the foundations right and protecting the basics</w:t>
            </w:r>
            <w:r w:rsidR="00A60B24">
              <w:rPr>
                <w:noProof/>
                <w:webHidden/>
              </w:rPr>
              <w:tab/>
            </w:r>
            <w:r w:rsidR="00A60B24">
              <w:rPr>
                <w:noProof/>
                <w:webHidden/>
              </w:rPr>
              <w:fldChar w:fldCharType="begin"/>
            </w:r>
            <w:r w:rsidR="00A60B24">
              <w:rPr>
                <w:noProof/>
                <w:webHidden/>
              </w:rPr>
              <w:instrText xml:space="preserve"> PAGEREF _Toc139028909 \h </w:instrText>
            </w:r>
            <w:r w:rsidR="00A60B24">
              <w:rPr>
                <w:noProof/>
                <w:webHidden/>
              </w:rPr>
            </w:r>
            <w:r w:rsidR="00A60B24">
              <w:rPr>
                <w:noProof/>
                <w:webHidden/>
              </w:rPr>
              <w:fldChar w:fldCharType="separate"/>
            </w:r>
            <w:r w:rsidR="00663203">
              <w:rPr>
                <w:noProof/>
                <w:webHidden/>
              </w:rPr>
              <w:t>106</w:t>
            </w:r>
            <w:r w:rsidR="00A60B24">
              <w:rPr>
                <w:noProof/>
                <w:webHidden/>
              </w:rPr>
              <w:fldChar w:fldCharType="end"/>
            </w:r>
          </w:hyperlink>
        </w:p>
        <w:p w14:paraId="464B64D2" w14:textId="1969E12E" w:rsidR="00A60B24" w:rsidRDefault="007C65C8">
          <w:pPr>
            <w:pStyle w:val="TOC3"/>
            <w:rPr>
              <w:rFonts w:eastAsiaTheme="minorEastAsia" w:cstheme="minorBidi"/>
              <w:noProof/>
              <w:kern w:val="2"/>
              <w:sz w:val="22"/>
              <w:szCs w:val="22"/>
              <w:lang w:eastAsia="en-AU"/>
              <w14:ligatures w14:val="standardContextual"/>
            </w:rPr>
          </w:pPr>
          <w:hyperlink w:anchor="_Toc139028910" w:history="1">
            <w:r w:rsidR="00A60B24" w:rsidRPr="00A708A9">
              <w:rPr>
                <w:rStyle w:val="Hyperlink"/>
                <w:noProof/>
              </w:rPr>
              <w:t>2.7.2 Sharing and translating university research</w:t>
            </w:r>
            <w:r w:rsidR="00A60B24">
              <w:rPr>
                <w:noProof/>
                <w:webHidden/>
              </w:rPr>
              <w:tab/>
            </w:r>
            <w:r w:rsidR="00A60B24">
              <w:rPr>
                <w:noProof/>
                <w:webHidden/>
              </w:rPr>
              <w:fldChar w:fldCharType="begin"/>
            </w:r>
            <w:r w:rsidR="00A60B24">
              <w:rPr>
                <w:noProof/>
                <w:webHidden/>
              </w:rPr>
              <w:instrText xml:space="preserve"> PAGEREF _Toc139028910 \h </w:instrText>
            </w:r>
            <w:r w:rsidR="00A60B24">
              <w:rPr>
                <w:noProof/>
                <w:webHidden/>
              </w:rPr>
            </w:r>
            <w:r w:rsidR="00A60B24">
              <w:rPr>
                <w:noProof/>
                <w:webHidden/>
              </w:rPr>
              <w:fldChar w:fldCharType="separate"/>
            </w:r>
            <w:r w:rsidR="00663203">
              <w:rPr>
                <w:noProof/>
                <w:webHidden/>
              </w:rPr>
              <w:t>110</w:t>
            </w:r>
            <w:r w:rsidR="00A60B24">
              <w:rPr>
                <w:noProof/>
                <w:webHidden/>
              </w:rPr>
              <w:fldChar w:fldCharType="end"/>
            </w:r>
          </w:hyperlink>
        </w:p>
        <w:p w14:paraId="5567B02B" w14:textId="58C45B50" w:rsidR="00A60B24" w:rsidRDefault="007C65C8">
          <w:pPr>
            <w:pStyle w:val="TOC3"/>
            <w:rPr>
              <w:rFonts w:eastAsiaTheme="minorEastAsia" w:cstheme="minorBidi"/>
              <w:noProof/>
              <w:kern w:val="2"/>
              <w:sz w:val="22"/>
              <w:szCs w:val="22"/>
              <w:lang w:eastAsia="en-AU"/>
              <w14:ligatures w14:val="standardContextual"/>
            </w:rPr>
          </w:pPr>
          <w:hyperlink w:anchor="_Toc139028911" w:history="1">
            <w:r w:rsidR="00A60B24" w:rsidRPr="00A708A9">
              <w:rPr>
                <w:rStyle w:val="Hyperlink"/>
                <w:noProof/>
              </w:rPr>
              <w:t>Considerations for change</w:t>
            </w:r>
            <w:r w:rsidR="00A60B24">
              <w:rPr>
                <w:noProof/>
                <w:webHidden/>
              </w:rPr>
              <w:tab/>
            </w:r>
            <w:r w:rsidR="00A60B24">
              <w:rPr>
                <w:noProof/>
                <w:webHidden/>
              </w:rPr>
              <w:fldChar w:fldCharType="begin"/>
            </w:r>
            <w:r w:rsidR="00A60B24">
              <w:rPr>
                <w:noProof/>
                <w:webHidden/>
              </w:rPr>
              <w:instrText xml:space="preserve"> PAGEREF _Toc139028911 \h </w:instrText>
            </w:r>
            <w:r w:rsidR="00A60B24">
              <w:rPr>
                <w:noProof/>
                <w:webHidden/>
              </w:rPr>
            </w:r>
            <w:r w:rsidR="00A60B24">
              <w:rPr>
                <w:noProof/>
                <w:webHidden/>
              </w:rPr>
              <w:fldChar w:fldCharType="separate"/>
            </w:r>
            <w:r w:rsidR="00663203">
              <w:rPr>
                <w:noProof/>
                <w:webHidden/>
              </w:rPr>
              <w:t>113</w:t>
            </w:r>
            <w:r w:rsidR="00A60B24">
              <w:rPr>
                <w:noProof/>
                <w:webHidden/>
              </w:rPr>
              <w:fldChar w:fldCharType="end"/>
            </w:r>
          </w:hyperlink>
        </w:p>
        <w:p w14:paraId="05DE4056" w14:textId="3541B354" w:rsidR="00A60B24" w:rsidRDefault="007C65C8">
          <w:pPr>
            <w:pStyle w:val="TOC1"/>
            <w:rPr>
              <w:rFonts w:eastAsiaTheme="minorEastAsia" w:cstheme="minorBidi"/>
              <w:b w:val="0"/>
              <w:bCs w:val="0"/>
              <w:i w:val="0"/>
              <w:iCs w:val="0"/>
              <w:noProof/>
              <w:kern w:val="2"/>
              <w:sz w:val="22"/>
              <w:szCs w:val="22"/>
              <w:lang w:eastAsia="en-AU"/>
              <w14:ligatures w14:val="standardContextual"/>
            </w:rPr>
          </w:pPr>
          <w:hyperlink w:anchor="_Toc139028912" w:history="1">
            <w:r w:rsidR="00A60B24" w:rsidRPr="00A708A9">
              <w:rPr>
                <w:rStyle w:val="Hyperlink"/>
                <w:noProof/>
              </w:rPr>
              <w:t>Chapter 3 Foundations of a high functioning national system</w:t>
            </w:r>
            <w:r w:rsidR="00A60B24">
              <w:rPr>
                <w:noProof/>
                <w:webHidden/>
              </w:rPr>
              <w:tab/>
            </w:r>
            <w:r w:rsidR="00A60B24">
              <w:rPr>
                <w:noProof/>
                <w:webHidden/>
              </w:rPr>
              <w:fldChar w:fldCharType="begin"/>
            </w:r>
            <w:r w:rsidR="00A60B24">
              <w:rPr>
                <w:noProof/>
                <w:webHidden/>
              </w:rPr>
              <w:instrText xml:space="preserve"> PAGEREF _Toc139028912 \h </w:instrText>
            </w:r>
            <w:r w:rsidR="00A60B24">
              <w:rPr>
                <w:noProof/>
                <w:webHidden/>
              </w:rPr>
            </w:r>
            <w:r w:rsidR="00A60B24">
              <w:rPr>
                <w:noProof/>
                <w:webHidden/>
              </w:rPr>
              <w:fldChar w:fldCharType="separate"/>
            </w:r>
            <w:r w:rsidR="00663203">
              <w:rPr>
                <w:noProof/>
                <w:webHidden/>
              </w:rPr>
              <w:t>116</w:t>
            </w:r>
            <w:r w:rsidR="00A60B24">
              <w:rPr>
                <w:noProof/>
                <w:webHidden/>
              </w:rPr>
              <w:fldChar w:fldCharType="end"/>
            </w:r>
          </w:hyperlink>
        </w:p>
        <w:p w14:paraId="3A56C722" w14:textId="1533D815" w:rsidR="00A60B24" w:rsidRDefault="007C65C8">
          <w:pPr>
            <w:pStyle w:val="TOC1"/>
            <w:rPr>
              <w:rFonts w:eastAsiaTheme="minorEastAsia" w:cstheme="minorBidi"/>
              <w:b w:val="0"/>
              <w:bCs w:val="0"/>
              <w:i w:val="0"/>
              <w:iCs w:val="0"/>
              <w:noProof/>
              <w:kern w:val="2"/>
              <w:sz w:val="22"/>
              <w:szCs w:val="22"/>
              <w:lang w:eastAsia="en-AU"/>
              <w14:ligatures w14:val="standardContextual"/>
            </w:rPr>
          </w:pPr>
          <w:hyperlink w:anchor="_Toc139028913" w:history="1">
            <w:r w:rsidR="00A60B24" w:rsidRPr="00A708A9">
              <w:rPr>
                <w:rStyle w:val="Hyperlink"/>
                <w:noProof/>
              </w:rPr>
              <w:t>3.1: National governance: towards a coherent tertiary system</w:t>
            </w:r>
            <w:r w:rsidR="00A60B24">
              <w:rPr>
                <w:noProof/>
                <w:webHidden/>
              </w:rPr>
              <w:tab/>
            </w:r>
            <w:r w:rsidR="00A60B24">
              <w:rPr>
                <w:noProof/>
                <w:webHidden/>
              </w:rPr>
              <w:fldChar w:fldCharType="begin"/>
            </w:r>
            <w:r w:rsidR="00A60B24">
              <w:rPr>
                <w:noProof/>
                <w:webHidden/>
              </w:rPr>
              <w:instrText xml:space="preserve"> PAGEREF _Toc139028913 \h </w:instrText>
            </w:r>
            <w:r w:rsidR="00A60B24">
              <w:rPr>
                <w:noProof/>
                <w:webHidden/>
              </w:rPr>
            </w:r>
            <w:r w:rsidR="00A60B24">
              <w:rPr>
                <w:noProof/>
                <w:webHidden/>
              </w:rPr>
              <w:fldChar w:fldCharType="separate"/>
            </w:r>
            <w:r w:rsidR="00663203">
              <w:rPr>
                <w:noProof/>
                <w:webHidden/>
              </w:rPr>
              <w:t>117</w:t>
            </w:r>
            <w:r w:rsidR="00A60B24">
              <w:rPr>
                <w:noProof/>
                <w:webHidden/>
              </w:rPr>
              <w:fldChar w:fldCharType="end"/>
            </w:r>
          </w:hyperlink>
        </w:p>
        <w:p w14:paraId="2E223D6B" w14:textId="611AE91D" w:rsidR="00A60B24" w:rsidRDefault="007C65C8">
          <w:pPr>
            <w:pStyle w:val="TOC3"/>
            <w:rPr>
              <w:rFonts w:eastAsiaTheme="minorEastAsia" w:cstheme="minorBidi"/>
              <w:noProof/>
              <w:kern w:val="2"/>
              <w:sz w:val="22"/>
              <w:szCs w:val="22"/>
              <w:lang w:eastAsia="en-AU"/>
              <w14:ligatures w14:val="standardContextual"/>
            </w:rPr>
          </w:pPr>
          <w:hyperlink w:anchor="_Toc139028914" w:history="1">
            <w:r w:rsidR="00A60B24" w:rsidRPr="00A708A9">
              <w:rPr>
                <w:rStyle w:val="Hyperlink"/>
                <w:noProof/>
              </w:rPr>
              <w:t>Issues</w:t>
            </w:r>
            <w:r w:rsidR="00A60B24">
              <w:rPr>
                <w:noProof/>
                <w:webHidden/>
              </w:rPr>
              <w:tab/>
            </w:r>
            <w:r w:rsidR="00A60B24">
              <w:rPr>
                <w:noProof/>
                <w:webHidden/>
              </w:rPr>
              <w:fldChar w:fldCharType="begin"/>
            </w:r>
            <w:r w:rsidR="00A60B24">
              <w:rPr>
                <w:noProof/>
                <w:webHidden/>
              </w:rPr>
              <w:instrText xml:space="preserve"> PAGEREF _Toc139028914 \h </w:instrText>
            </w:r>
            <w:r w:rsidR="00A60B24">
              <w:rPr>
                <w:noProof/>
                <w:webHidden/>
              </w:rPr>
            </w:r>
            <w:r w:rsidR="00A60B24">
              <w:rPr>
                <w:noProof/>
                <w:webHidden/>
              </w:rPr>
              <w:fldChar w:fldCharType="separate"/>
            </w:r>
            <w:r w:rsidR="00663203">
              <w:rPr>
                <w:noProof/>
                <w:webHidden/>
              </w:rPr>
              <w:t>117</w:t>
            </w:r>
            <w:r w:rsidR="00A60B24">
              <w:rPr>
                <w:noProof/>
                <w:webHidden/>
              </w:rPr>
              <w:fldChar w:fldCharType="end"/>
            </w:r>
          </w:hyperlink>
        </w:p>
        <w:p w14:paraId="729AF215" w14:textId="727EC8E7" w:rsidR="00A60B24" w:rsidRDefault="007C65C8">
          <w:pPr>
            <w:pStyle w:val="TOC3"/>
            <w:rPr>
              <w:rFonts w:eastAsiaTheme="minorEastAsia" w:cstheme="minorBidi"/>
              <w:noProof/>
              <w:kern w:val="2"/>
              <w:sz w:val="22"/>
              <w:szCs w:val="22"/>
              <w:lang w:eastAsia="en-AU"/>
              <w14:ligatures w14:val="standardContextual"/>
            </w:rPr>
          </w:pPr>
          <w:hyperlink w:anchor="_Toc139028915" w:history="1">
            <w:r w:rsidR="00A60B24" w:rsidRPr="00A708A9">
              <w:rPr>
                <w:rStyle w:val="Hyperlink"/>
                <w:noProof/>
              </w:rPr>
              <w:t>3.1.1 Dynamic and responsive institutions</w:t>
            </w:r>
            <w:r w:rsidR="00A60B24">
              <w:rPr>
                <w:noProof/>
                <w:webHidden/>
              </w:rPr>
              <w:tab/>
            </w:r>
            <w:r w:rsidR="00A60B24">
              <w:rPr>
                <w:noProof/>
                <w:webHidden/>
              </w:rPr>
              <w:fldChar w:fldCharType="begin"/>
            </w:r>
            <w:r w:rsidR="00A60B24">
              <w:rPr>
                <w:noProof/>
                <w:webHidden/>
              </w:rPr>
              <w:instrText xml:space="preserve"> PAGEREF _Toc139028915 \h </w:instrText>
            </w:r>
            <w:r w:rsidR="00A60B24">
              <w:rPr>
                <w:noProof/>
                <w:webHidden/>
              </w:rPr>
            </w:r>
            <w:r w:rsidR="00A60B24">
              <w:rPr>
                <w:noProof/>
                <w:webHidden/>
              </w:rPr>
              <w:fldChar w:fldCharType="separate"/>
            </w:r>
            <w:r w:rsidR="00663203">
              <w:rPr>
                <w:noProof/>
                <w:webHidden/>
              </w:rPr>
              <w:t>117</w:t>
            </w:r>
            <w:r w:rsidR="00A60B24">
              <w:rPr>
                <w:noProof/>
                <w:webHidden/>
              </w:rPr>
              <w:fldChar w:fldCharType="end"/>
            </w:r>
          </w:hyperlink>
        </w:p>
        <w:p w14:paraId="3D460305" w14:textId="42869649" w:rsidR="00A60B24" w:rsidRDefault="007C65C8">
          <w:pPr>
            <w:pStyle w:val="TOC3"/>
            <w:rPr>
              <w:rFonts w:eastAsiaTheme="minorEastAsia" w:cstheme="minorBidi"/>
              <w:noProof/>
              <w:kern w:val="2"/>
              <w:sz w:val="22"/>
              <w:szCs w:val="22"/>
              <w:lang w:eastAsia="en-AU"/>
              <w14:ligatures w14:val="standardContextual"/>
            </w:rPr>
          </w:pPr>
          <w:hyperlink w:anchor="_Toc139028916" w:history="1">
            <w:r w:rsidR="00A60B24" w:rsidRPr="00A708A9">
              <w:rPr>
                <w:rStyle w:val="Hyperlink"/>
                <w:noProof/>
              </w:rPr>
              <w:t>3.1.2 An aligned tertiary system</w:t>
            </w:r>
            <w:r w:rsidR="00A60B24">
              <w:rPr>
                <w:noProof/>
                <w:webHidden/>
              </w:rPr>
              <w:tab/>
            </w:r>
            <w:r w:rsidR="00A60B24">
              <w:rPr>
                <w:noProof/>
                <w:webHidden/>
              </w:rPr>
              <w:fldChar w:fldCharType="begin"/>
            </w:r>
            <w:r w:rsidR="00A60B24">
              <w:rPr>
                <w:noProof/>
                <w:webHidden/>
              </w:rPr>
              <w:instrText xml:space="preserve"> PAGEREF _Toc139028916 \h </w:instrText>
            </w:r>
            <w:r w:rsidR="00A60B24">
              <w:rPr>
                <w:noProof/>
                <w:webHidden/>
              </w:rPr>
            </w:r>
            <w:r w:rsidR="00A60B24">
              <w:rPr>
                <w:noProof/>
                <w:webHidden/>
              </w:rPr>
              <w:fldChar w:fldCharType="separate"/>
            </w:r>
            <w:r w:rsidR="00663203">
              <w:rPr>
                <w:noProof/>
                <w:webHidden/>
              </w:rPr>
              <w:t>121</w:t>
            </w:r>
            <w:r w:rsidR="00A60B24">
              <w:rPr>
                <w:noProof/>
                <w:webHidden/>
              </w:rPr>
              <w:fldChar w:fldCharType="end"/>
            </w:r>
          </w:hyperlink>
        </w:p>
        <w:p w14:paraId="41EEA62A" w14:textId="7B10FB04" w:rsidR="00A60B24" w:rsidRDefault="007C65C8">
          <w:pPr>
            <w:pStyle w:val="TOC3"/>
            <w:rPr>
              <w:rFonts w:eastAsiaTheme="minorEastAsia" w:cstheme="minorBidi"/>
              <w:noProof/>
              <w:kern w:val="2"/>
              <w:sz w:val="22"/>
              <w:szCs w:val="22"/>
              <w:lang w:eastAsia="en-AU"/>
              <w14:ligatures w14:val="standardContextual"/>
            </w:rPr>
          </w:pPr>
          <w:hyperlink w:anchor="_Toc139028917" w:history="1">
            <w:r w:rsidR="00A60B24" w:rsidRPr="00A708A9">
              <w:rPr>
                <w:rStyle w:val="Hyperlink"/>
                <w:noProof/>
              </w:rPr>
              <w:t>3.1.3 A modern approach to regulation</w:t>
            </w:r>
            <w:r w:rsidR="00A60B24">
              <w:rPr>
                <w:noProof/>
                <w:webHidden/>
              </w:rPr>
              <w:tab/>
            </w:r>
            <w:r w:rsidR="00A60B24">
              <w:rPr>
                <w:noProof/>
                <w:webHidden/>
              </w:rPr>
              <w:fldChar w:fldCharType="begin"/>
            </w:r>
            <w:r w:rsidR="00A60B24">
              <w:rPr>
                <w:noProof/>
                <w:webHidden/>
              </w:rPr>
              <w:instrText xml:space="preserve"> PAGEREF _Toc139028917 \h </w:instrText>
            </w:r>
            <w:r w:rsidR="00A60B24">
              <w:rPr>
                <w:noProof/>
                <w:webHidden/>
              </w:rPr>
            </w:r>
            <w:r w:rsidR="00A60B24">
              <w:rPr>
                <w:noProof/>
                <w:webHidden/>
              </w:rPr>
              <w:fldChar w:fldCharType="separate"/>
            </w:r>
            <w:r w:rsidR="00663203">
              <w:rPr>
                <w:noProof/>
                <w:webHidden/>
              </w:rPr>
              <w:t>123</w:t>
            </w:r>
            <w:r w:rsidR="00A60B24">
              <w:rPr>
                <w:noProof/>
                <w:webHidden/>
              </w:rPr>
              <w:fldChar w:fldCharType="end"/>
            </w:r>
          </w:hyperlink>
        </w:p>
        <w:p w14:paraId="7B6980CE" w14:textId="61A48FE2" w:rsidR="00A60B24" w:rsidRDefault="007C65C8">
          <w:pPr>
            <w:pStyle w:val="TOC3"/>
            <w:rPr>
              <w:rFonts w:eastAsiaTheme="minorEastAsia" w:cstheme="minorBidi"/>
              <w:noProof/>
              <w:kern w:val="2"/>
              <w:sz w:val="22"/>
              <w:szCs w:val="22"/>
              <w:lang w:eastAsia="en-AU"/>
              <w14:ligatures w14:val="standardContextual"/>
            </w:rPr>
          </w:pPr>
          <w:hyperlink w:anchor="_Toc139028918" w:history="1">
            <w:r w:rsidR="00A60B24" w:rsidRPr="00A708A9">
              <w:rPr>
                <w:rStyle w:val="Hyperlink"/>
                <w:noProof/>
              </w:rPr>
              <w:t>3.1.4 National leadership for a new system</w:t>
            </w:r>
            <w:r w:rsidR="00A60B24">
              <w:rPr>
                <w:noProof/>
                <w:webHidden/>
              </w:rPr>
              <w:tab/>
            </w:r>
            <w:r w:rsidR="00A60B24">
              <w:rPr>
                <w:noProof/>
                <w:webHidden/>
              </w:rPr>
              <w:fldChar w:fldCharType="begin"/>
            </w:r>
            <w:r w:rsidR="00A60B24">
              <w:rPr>
                <w:noProof/>
                <w:webHidden/>
              </w:rPr>
              <w:instrText xml:space="preserve"> PAGEREF _Toc139028918 \h </w:instrText>
            </w:r>
            <w:r w:rsidR="00A60B24">
              <w:rPr>
                <w:noProof/>
                <w:webHidden/>
              </w:rPr>
            </w:r>
            <w:r w:rsidR="00A60B24">
              <w:rPr>
                <w:noProof/>
                <w:webHidden/>
              </w:rPr>
              <w:fldChar w:fldCharType="separate"/>
            </w:r>
            <w:r w:rsidR="00663203">
              <w:rPr>
                <w:noProof/>
                <w:webHidden/>
              </w:rPr>
              <w:t>124</w:t>
            </w:r>
            <w:r w:rsidR="00A60B24">
              <w:rPr>
                <w:noProof/>
                <w:webHidden/>
              </w:rPr>
              <w:fldChar w:fldCharType="end"/>
            </w:r>
          </w:hyperlink>
        </w:p>
        <w:p w14:paraId="197F6017" w14:textId="46A4287C" w:rsidR="00A60B24" w:rsidRDefault="007C65C8">
          <w:pPr>
            <w:pStyle w:val="TOC3"/>
            <w:rPr>
              <w:rFonts w:eastAsiaTheme="minorEastAsia" w:cstheme="minorBidi"/>
              <w:noProof/>
              <w:kern w:val="2"/>
              <w:sz w:val="22"/>
              <w:szCs w:val="22"/>
              <w:lang w:eastAsia="en-AU"/>
              <w14:ligatures w14:val="standardContextual"/>
            </w:rPr>
          </w:pPr>
          <w:hyperlink w:anchor="_Toc139028919" w:history="1">
            <w:r w:rsidR="00A60B24" w:rsidRPr="00A708A9">
              <w:rPr>
                <w:rStyle w:val="Hyperlink"/>
                <w:noProof/>
              </w:rPr>
              <w:t>Considerations for change</w:t>
            </w:r>
            <w:r w:rsidR="00A60B24">
              <w:rPr>
                <w:noProof/>
                <w:webHidden/>
              </w:rPr>
              <w:tab/>
            </w:r>
            <w:r w:rsidR="00A60B24">
              <w:rPr>
                <w:noProof/>
                <w:webHidden/>
              </w:rPr>
              <w:fldChar w:fldCharType="begin"/>
            </w:r>
            <w:r w:rsidR="00A60B24">
              <w:rPr>
                <w:noProof/>
                <w:webHidden/>
              </w:rPr>
              <w:instrText xml:space="preserve"> PAGEREF _Toc139028919 \h </w:instrText>
            </w:r>
            <w:r w:rsidR="00A60B24">
              <w:rPr>
                <w:noProof/>
                <w:webHidden/>
              </w:rPr>
            </w:r>
            <w:r w:rsidR="00A60B24">
              <w:rPr>
                <w:noProof/>
                <w:webHidden/>
              </w:rPr>
              <w:fldChar w:fldCharType="separate"/>
            </w:r>
            <w:r w:rsidR="00663203">
              <w:rPr>
                <w:noProof/>
                <w:webHidden/>
              </w:rPr>
              <w:t>127</w:t>
            </w:r>
            <w:r w:rsidR="00A60B24">
              <w:rPr>
                <w:noProof/>
                <w:webHidden/>
              </w:rPr>
              <w:fldChar w:fldCharType="end"/>
            </w:r>
          </w:hyperlink>
        </w:p>
        <w:p w14:paraId="46961292" w14:textId="213695A5" w:rsidR="00A60B24" w:rsidRDefault="007C65C8">
          <w:pPr>
            <w:pStyle w:val="TOC1"/>
            <w:rPr>
              <w:rFonts w:eastAsiaTheme="minorEastAsia" w:cstheme="minorBidi"/>
              <w:b w:val="0"/>
              <w:bCs w:val="0"/>
              <w:i w:val="0"/>
              <w:iCs w:val="0"/>
              <w:noProof/>
              <w:kern w:val="2"/>
              <w:sz w:val="22"/>
              <w:szCs w:val="22"/>
              <w:lang w:eastAsia="en-AU"/>
              <w14:ligatures w14:val="standardContextual"/>
            </w:rPr>
          </w:pPr>
          <w:hyperlink w:anchor="_Toc139028920" w:history="1">
            <w:r w:rsidR="00A60B24" w:rsidRPr="00A708A9">
              <w:rPr>
                <w:rStyle w:val="Hyperlink"/>
                <w:noProof/>
              </w:rPr>
              <w:t>3.2: Institutional and collaborative governance</w:t>
            </w:r>
            <w:r w:rsidR="00A60B24">
              <w:rPr>
                <w:noProof/>
                <w:webHidden/>
              </w:rPr>
              <w:tab/>
            </w:r>
            <w:r w:rsidR="00A60B24">
              <w:rPr>
                <w:noProof/>
                <w:webHidden/>
              </w:rPr>
              <w:fldChar w:fldCharType="begin"/>
            </w:r>
            <w:r w:rsidR="00A60B24">
              <w:rPr>
                <w:noProof/>
                <w:webHidden/>
              </w:rPr>
              <w:instrText xml:space="preserve"> PAGEREF _Toc139028920 \h </w:instrText>
            </w:r>
            <w:r w:rsidR="00A60B24">
              <w:rPr>
                <w:noProof/>
                <w:webHidden/>
              </w:rPr>
            </w:r>
            <w:r w:rsidR="00A60B24">
              <w:rPr>
                <w:noProof/>
                <w:webHidden/>
              </w:rPr>
              <w:fldChar w:fldCharType="separate"/>
            </w:r>
            <w:r w:rsidR="00663203">
              <w:rPr>
                <w:noProof/>
                <w:webHidden/>
              </w:rPr>
              <w:t>129</w:t>
            </w:r>
            <w:r w:rsidR="00A60B24">
              <w:rPr>
                <w:noProof/>
                <w:webHidden/>
              </w:rPr>
              <w:fldChar w:fldCharType="end"/>
            </w:r>
          </w:hyperlink>
        </w:p>
        <w:p w14:paraId="06533812" w14:textId="13AACEEC" w:rsidR="00A60B24" w:rsidRDefault="007C65C8">
          <w:pPr>
            <w:pStyle w:val="TOC3"/>
            <w:rPr>
              <w:rFonts w:eastAsiaTheme="minorEastAsia" w:cstheme="minorBidi"/>
              <w:noProof/>
              <w:kern w:val="2"/>
              <w:sz w:val="22"/>
              <w:szCs w:val="22"/>
              <w:lang w:eastAsia="en-AU"/>
              <w14:ligatures w14:val="standardContextual"/>
            </w:rPr>
          </w:pPr>
          <w:hyperlink w:anchor="_Toc139028921" w:history="1">
            <w:r w:rsidR="00A60B24" w:rsidRPr="00A708A9">
              <w:rPr>
                <w:rStyle w:val="Hyperlink"/>
                <w:noProof/>
                <w:lang w:val="en-GB" w:eastAsia="en-AU"/>
              </w:rPr>
              <w:t>Issues</w:t>
            </w:r>
            <w:r w:rsidR="00A60B24">
              <w:rPr>
                <w:noProof/>
                <w:webHidden/>
              </w:rPr>
              <w:tab/>
            </w:r>
            <w:r w:rsidR="00A60B24">
              <w:rPr>
                <w:noProof/>
                <w:webHidden/>
              </w:rPr>
              <w:fldChar w:fldCharType="begin"/>
            </w:r>
            <w:r w:rsidR="00A60B24">
              <w:rPr>
                <w:noProof/>
                <w:webHidden/>
              </w:rPr>
              <w:instrText xml:space="preserve"> PAGEREF _Toc139028921 \h </w:instrText>
            </w:r>
            <w:r w:rsidR="00A60B24">
              <w:rPr>
                <w:noProof/>
                <w:webHidden/>
              </w:rPr>
            </w:r>
            <w:r w:rsidR="00A60B24">
              <w:rPr>
                <w:noProof/>
                <w:webHidden/>
              </w:rPr>
              <w:fldChar w:fldCharType="separate"/>
            </w:r>
            <w:r w:rsidR="00663203">
              <w:rPr>
                <w:noProof/>
                <w:webHidden/>
              </w:rPr>
              <w:t>129</w:t>
            </w:r>
            <w:r w:rsidR="00A60B24">
              <w:rPr>
                <w:noProof/>
                <w:webHidden/>
              </w:rPr>
              <w:fldChar w:fldCharType="end"/>
            </w:r>
          </w:hyperlink>
        </w:p>
        <w:p w14:paraId="419AB386" w14:textId="5B991068" w:rsidR="00A60B24" w:rsidRDefault="007C65C8">
          <w:pPr>
            <w:pStyle w:val="TOC3"/>
            <w:rPr>
              <w:rFonts w:eastAsiaTheme="minorEastAsia" w:cstheme="minorBidi"/>
              <w:noProof/>
              <w:kern w:val="2"/>
              <w:sz w:val="22"/>
              <w:szCs w:val="22"/>
              <w:lang w:eastAsia="en-AU"/>
              <w14:ligatures w14:val="standardContextual"/>
            </w:rPr>
          </w:pPr>
          <w:hyperlink w:anchor="_Toc139028922" w:history="1">
            <w:r w:rsidR="00A60B24" w:rsidRPr="00A708A9">
              <w:rPr>
                <w:rStyle w:val="Hyperlink"/>
                <w:noProof/>
              </w:rPr>
              <w:t>3.2.1 Strengthening institutional governance structures</w:t>
            </w:r>
            <w:r w:rsidR="00A60B24">
              <w:rPr>
                <w:noProof/>
                <w:webHidden/>
              </w:rPr>
              <w:tab/>
            </w:r>
            <w:r w:rsidR="00A60B24">
              <w:rPr>
                <w:noProof/>
                <w:webHidden/>
              </w:rPr>
              <w:fldChar w:fldCharType="begin"/>
            </w:r>
            <w:r w:rsidR="00A60B24">
              <w:rPr>
                <w:noProof/>
                <w:webHidden/>
              </w:rPr>
              <w:instrText xml:space="preserve"> PAGEREF _Toc139028922 \h </w:instrText>
            </w:r>
            <w:r w:rsidR="00A60B24">
              <w:rPr>
                <w:noProof/>
                <w:webHidden/>
              </w:rPr>
            </w:r>
            <w:r w:rsidR="00A60B24">
              <w:rPr>
                <w:noProof/>
                <w:webHidden/>
              </w:rPr>
              <w:fldChar w:fldCharType="separate"/>
            </w:r>
            <w:r w:rsidR="00663203">
              <w:rPr>
                <w:noProof/>
                <w:webHidden/>
              </w:rPr>
              <w:t>129</w:t>
            </w:r>
            <w:r w:rsidR="00A60B24">
              <w:rPr>
                <w:noProof/>
                <w:webHidden/>
              </w:rPr>
              <w:fldChar w:fldCharType="end"/>
            </w:r>
          </w:hyperlink>
        </w:p>
        <w:p w14:paraId="66E6033B" w14:textId="0D5755BE" w:rsidR="00A60B24" w:rsidRDefault="007C65C8">
          <w:pPr>
            <w:pStyle w:val="TOC3"/>
            <w:rPr>
              <w:rFonts w:eastAsiaTheme="minorEastAsia" w:cstheme="minorBidi"/>
              <w:noProof/>
              <w:kern w:val="2"/>
              <w:sz w:val="22"/>
              <w:szCs w:val="22"/>
              <w:lang w:eastAsia="en-AU"/>
              <w14:ligatures w14:val="standardContextual"/>
            </w:rPr>
          </w:pPr>
          <w:hyperlink w:anchor="_Toc139028923" w:history="1">
            <w:r w:rsidR="00A60B24" w:rsidRPr="00A708A9">
              <w:rPr>
                <w:rStyle w:val="Hyperlink"/>
                <w:noProof/>
              </w:rPr>
              <w:t>3.2.2 Universities as good employers</w:t>
            </w:r>
            <w:r w:rsidR="00A60B24">
              <w:rPr>
                <w:noProof/>
                <w:webHidden/>
              </w:rPr>
              <w:tab/>
            </w:r>
            <w:r w:rsidR="00A60B24">
              <w:rPr>
                <w:noProof/>
                <w:webHidden/>
              </w:rPr>
              <w:fldChar w:fldCharType="begin"/>
            </w:r>
            <w:r w:rsidR="00A60B24">
              <w:rPr>
                <w:noProof/>
                <w:webHidden/>
              </w:rPr>
              <w:instrText xml:space="preserve"> PAGEREF _Toc139028923 \h </w:instrText>
            </w:r>
            <w:r w:rsidR="00A60B24">
              <w:rPr>
                <w:noProof/>
                <w:webHidden/>
              </w:rPr>
            </w:r>
            <w:r w:rsidR="00A60B24">
              <w:rPr>
                <w:noProof/>
                <w:webHidden/>
              </w:rPr>
              <w:fldChar w:fldCharType="separate"/>
            </w:r>
            <w:r w:rsidR="00663203">
              <w:rPr>
                <w:noProof/>
                <w:webHidden/>
              </w:rPr>
              <w:t>130</w:t>
            </w:r>
            <w:r w:rsidR="00A60B24">
              <w:rPr>
                <w:noProof/>
                <w:webHidden/>
              </w:rPr>
              <w:fldChar w:fldCharType="end"/>
            </w:r>
          </w:hyperlink>
        </w:p>
        <w:p w14:paraId="2116C953" w14:textId="733D8130" w:rsidR="00A60B24" w:rsidRDefault="007C65C8">
          <w:pPr>
            <w:pStyle w:val="TOC3"/>
            <w:rPr>
              <w:rFonts w:eastAsiaTheme="minorEastAsia" w:cstheme="minorBidi"/>
              <w:noProof/>
              <w:kern w:val="2"/>
              <w:sz w:val="22"/>
              <w:szCs w:val="22"/>
              <w:lang w:eastAsia="en-AU"/>
              <w14:ligatures w14:val="standardContextual"/>
            </w:rPr>
          </w:pPr>
          <w:hyperlink w:anchor="_Toc139028924" w:history="1">
            <w:r w:rsidR="00A60B24" w:rsidRPr="00A708A9">
              <w:rPr>
                <w:rStyle w:val="Hyperlink"/>
                <w:noProof/>
              </w:rPr>
              <w:t>3.2.3 Institutions have duty of care to students</w:t>
            </w:r>
            <w:r w:rsidR="00A60B24">
              <w:rPr>
                <w:noProof/>
                <w:webHidden/>
              </w:rPr>
              <w:tab/>
            </w:r>
            <w:r w:rsidR="00A60B24">
              <w:rPr>
                <w:noProof/>
                <w:webHidden/>
              </w:rPr>
              <w:fldChar w:fldCharType="begin"/>
            </w:r>
            <w:r w:rsidR="00A60B24">
              <w:rPr>
                <w:noProof/>
                <w:webHidden/>
              </w:rPr>
              <w:instrText xml:space="preserve"> PAGEREF _Toc139028924 \h </w:instrText>
            </w:r>
            <w:r w:rsidR="00A60B24">
              <w:rPr>
                <w:noProof/>
                <w:webHidden/>
              </w:rPr>
            </w:r>
            <w:r w:rsidR="00A60B24">
              <w:rPr>
                <w:noProof/>
                <w:webHidden/>
              </w:rPr>
              <w:fldChar w:fldCharType="separate"/>
            </w:r>
            <w:r w:rsidR="00663203">
              <w:rPr>
                <w:noProof/>
                <w:webHidden/>
              </w:rPr>
              <w:t>132</w:t>
            </w:r>
            <w:r w:rsidR="00A60B24">
              <w:rPr>
                <w:noProof/>
                <w:webHidden/>
              </w:rPr>
              <w:fldChar w:fldCharType="end"/>
            </w:r>
          </w:hyperlink>
        </w:p>
        <w:p w14:paraId="0236354C" w14:textId="1143129B" w:rsidR="00A60B24" w:rsidRDefault="007C65C8">
          <w:pPr>
            <w:pStyle w:val="TOC3"/>
            <w:rPr>
              <w:rFonts w:eastAsiaTheme="minorEastAsia" w:cstheme="minorBidi"/>
              <w:noProof/>
              <w:kern w:val="2"/>
              <w:sz w:val="22"/>
              <w:szCs w:val="22"/>
              <w:lang w:eastAsia="en-AU"/>
              <w14:ligatures w14:val="standardContextual"/>
            </w:rPr>
          </w:pPr>
          <w:hyperlink w:anchor="_Toc139028925" w:history="1">
            <w:r w:rsidR="00A60B24" w:rsidRPr="00A708A9">
              <w:rPr>
                <w:rStyle w:val="Hyperlink"/>
                <w:noProof/>
              </w:rPr>
              <w:t>3.2.4 Enhancing and empowering the student voice</w:t>
            </w:r>
            <w:r w:rsidR="00A60B24">
              <w:rPr>
                <w:noProof/>
                <w:webHidden/>
              </w:rPr>
              <w:tab/>
            </w:r>
            <w:r w:rsidR="00A60B24">
              <w:rPr>
                <w:noProof/>
                <w:webHidden/>
              </w:rPr>
              <w:fldChar w:fldCharType="begin"/>
            </w:r>
            <w:r w:rsidR="00A60B24">
              <w:rPr>
                <w:noProof/>
                <w:webHidden/>
              </w:rPr>
              <w:instrText xml:space="preserve"> PAGEREF _Toc139028925 \h </w:instrText>
            </w:r>
            <w:r w:rsidR="00A60B24">
              <w:rPr>
                <w:noProof/>
                <w:webHidden/>
              </w:rPr>
            </w:r>
            <w:r w:rsidR="00A60B24">
              <w:rPr>
                <w:noProof/>
                <w:webHidden/>
              </w:rPr>
              <w:fldChar w:fldCharType="separate"/>
            </w:r>
            <w:r w:rsidR="00663203">
              <w:rPr>
                <w:noProof/>
                <w:webHidden/>
              </w:rPr>
              <w:t>136</w:t>
            </w:r>
            <w:r w:rsidR="00A60B24">
              <w:rPr>
                <w:noProof/>
                <w:webHidden/>
              </w:rPr>
              <w:fldChar w:fldCharType="end"/>
            </w:r>
          </w:hyperlink>
        </w:p>
        <w:p w14:paraId="74A7444D" w14:textId="4F41AA32" w:rsidR="004623B1" w:rsidRDefault="007C65C8">
          <w:pPr>
            <w:pStyle w:val="TOC3"/>
            <w:rPr>
              <w:noProof/>
            </w:rPr>
          </w:pPr>
          <w:hyperlink w:anchor="_Toc139028926" w:history="1">
            <w:r w:rsidR="00A60B24" w:rsidRPr="00A708A9">
              <w:rPr>
                <w:rStyle w:val="Hyperlink"/>
                <w:noProof/>
              </w:rPr>
              <w:t>Considerations for change</w:t>
            </w:r>
            <w:r w:rsidR="00A60B24">
              <w:rPr>
                <w:noProof/>
                <w:webHidden/>
              </w:rPr>
              <w:tab/>
            </w:r>
            <w:r w:rsidR="00A60B24">
              <w:rPr>
                <w:noProof/>
                <w:webHidden/>
              </w:rPr>
              <w:fldChar w:fldCharType="begin"/>
            </w:r>
            <w:r w:rsidR="00A60B24">
              <w:rPr>
                <w:noProof/>
                <w:webHidden/>
              </w:rPr>
              <w:instrText xml:space="preserve"> PAGEREF _Toc139028926 \h </w:instrText>
            </w:r>
            <w:r w:rsidR="00A60B24">
              <w:rPr>
                <w:noProof/>
                <w:webHidden/>
              </w:rPr>
            </w:r>
            <w:r w:rsidR="00A60B24">
              <w:rPr>
                <w:noProof/>
                <w:webHidden/>
              </w:rPr>
              <w:fldChar w:fldCharType="separate"/>
            </w:r>
            <w:r w:rsidR="00663203">
              <w:rPr>
                <w:noProof/>
                <w:webHidden/>
              </w:rPr>
              <w:t>137</w:t>
            </w:r>
            <w:r w:rsidR="00A60B24">
              <w:rPr>
                <w:noProof/>
                <w:webHidden/>
              </w:rPr>
              <w:fldChar w:fldCharType="end"/>
            </w:r>
          </w:hyperlink>
        </w:p>
        <w:p w14:paraId="19454842" w14:textId="77777777" w:rsidR="004623B1" w:rsidRDefault="004623B1">
          <w:pPr>
            <w:spacing w:after="160"/>
            <w:rPr>
              <w:rFonts w:cstheme="minorHAnsi"/>
              <w:noProof/>
              <w:sz w:val="20"/>
              <w:szCs w:val="20"/>
            </w:rPr>
          </w:pPr>
          <w:r>
            <w:rPr>
              <w:noProof/>
            </w:rPr>
            <w:br w:type="page"/>
          </w:r>
        </w:p>
        <w:p w14:paraId="4FF437CF" w14:textId="0285BF0C" w:rsidR="00A60B24" w:rsidRDefault="007C65C8">
          <w:pPr>
            <w:pStyle w:val="TOC1"/>
            <w:rPr>
              <w:rFonts w:eastAsiaTheme="minorEastAsia" w:cstheme="minorBidi"/>
              <w:b w:val="0"/>
              <w:bCs w:val="0"/>
              <w:i w:val="0"/>
              <w:iCs w:val="0"/>
              <w:noProof/>
              <w:kern w:val="2"/>
              <w:sz w:val="22"/>
              <w:szCs w:val="22"/>
              <w:lang w:eastAsia="en-AU"/>
              <w14:ligatures w14:val="standardContextual"/>
            </w:rPr>
          </w:pPr>
          <w:hyperlink w:anchor="_Toc139028927" w:history="1">
            <w:r w:rsidR="00A60B24" w:rsidRPr="00A708A9">
              <w:rPr>
                <w:rStyle w:val="Hyperlink"/>
                <w:noProof/>
              </w:rPr>
              <w:t>3.3: Sustainable funding and financing</w:t>
            </w:r>
            <w:r w:rsidR="00A60B24">
              <w:rPr>
                <w:noProof/>
                <w:webHidden/>
              </w:rPr>
              <w:tab/>
            </w:r>
            <w:r w:rsidR="00A60B24">
              <w:rPr>
                <w:noProof/>
                <w:webHidden/>
              </w:rPr>
              <w:fldChar w:fldCharType="begin"/>
            </w:r>
            <w:r w:rsidR="00A60B24">
              <w:rPr>
                <w:noProof/>
                <w:webHidden/>
              </w:rPr>
              <w:instrText xml:space="preserve"> PAGEREF _Toc139028927 \h </w:instrText>
            </w:r>
            <w:r w:rsidR="00A60B24">
              <w:rPr>
                <w:noProof/>
                <w:webHidden/>
              </w:rPr>
            </w:r>
            <w:r w:rsidR="00A60B24">
              <w:rPr>
                <w:noProof/>
                <w:webHidden/>
              </w:rPr>
              <w:fldChar w:fldCharType="separate"/>
            </w:r>
            <w:r w:rsidR="00663203">
              <w:rPr>
                <w:noProof/>
                <w:webHidden/>
              </w:rPr>
              <w:t>139</w:t>
            </w:r>
            <w:r w:rsidR="00A60B24">
              <w:rPr>
                <w:noProof/>
                <w:webHidden/>
              </w:rPr>
              <w:fldChar w:fldCharType="end"/>
            </w:r>
          </w:hyperlink>
        </w:p>
        <w:p w14:paraId="670DD817" w14:textId="4F7F26DB" w:rsidR="00A60B24" w:rsidRDefault="007C65C8">
          <w:pPr>
            <w:pStyle w:val="TOC3"/>
            <w:rPr>
              <w:rFonts w:eastAsiaTheme="minorEastAsia" w:cstheme="minorBidi"/>
              <w:noProof/>
              <w:kern w:val="2"/>
              <w:sz w:val="22"/>
              <w:szCs w:val="22"/>
              <w:lang w:eastAsia="en-AU"/>
              <w14:ligatures w14:val="standardContextual"/>
            </w:rPr>
          </w:pPr>
          <w:hyperlink w:anchor="_Toc139028928" w:history="1">
            <w:r w:rsidR="00A60B24" w:rsidRPr="00A708A9">
              <w:rPr>
                <w:rStyle w:val="Hyperlink"/>
                <w:noProof/>
              </w:rPr>
              <w:t>Issues</w:t>
            </w:r>
            <w:r w:rsidR="00A60B24">
              <w:rPr>
                <w:noProof/>
                <w:webHidden/>
              </w:rPr>
              <w:tab/>
            </w:r>
            <w:r w:rsidR="00A60B24">
              <w:rPr>
                <w:noProof/>
                <w:webHidden/>
              </w:rPr>
              <w:fldChar w:fldCharType="begin"/>
            </w:r>
            <w:r w:rsidR="00A60B24">
              <w:rPr>
                <w:noProof/>
                <w:webHidden/>
              </w:rPr>
              <w:instrText xml:space="preserve"> PAGEREF _Toc139028928 \h </w:instrText>
            </w:r>
            <w:r w:rsidR="00A60B24">
              <w:rPr>
                <w:noProof/>
                <w:webHidden/>
              </w:rPr>
            </w:r>
            <w:r w:rsidR="00A60B24">
              <w:rPr>
                <w:noProof/>
                <w:webHidden/>
              </w:rPr>
              <w:fldChar w:fldCharType="separate"/>
            </w:r>
            <w:r w:rsidR="00663203">
              <w:rPr>
                <w:noProof/>
                <w:webHidden/>
              </w:rPr>
              <w:t>139</w:t>
            </w:r>
            <w:r w:rsidR="00A60B24">
              <w:rPr>
                <w:noProof/>
                <w:webHidden/>
              </w:rPr>
              <w:fldChar w:fldCharType="end"/>
            </w:r>
          </w:hyperlink>
        </w:p>
        <w:p w14:paraId="1927C6AB" w14:textId="68707346" w:rsidR="00A60B24" w:rsidRDefault="007C65C8">
          <w:pPr>
            <w:pStyle w:val="TOC3"/>
            <w:rPr>
              <w:rFonts w:eastAsiaTheme="minorEastAsia" w:cstheme="minorBidi"/>
              <w:noProof/>
              <w:kern w:val="2"/>
              <w:sz w:val="22"/>
              <w:szCs w:val="22"/>
              <w:lang w:eastAsia="en-AU"/>
              <w14:ligatures w14:val="standardContextual"/>
            </w:rPr>
          </w:pPr>
          <w:hyperlink w:anchor="_Toc139028929" w:history="1">
            <w:r w:rsidR="00A60B24" w:rsidRPr="00A708A9">
              <w:rPr>
                <w:rStyle w:val="Hyperlink"/>
                <w:noProof/>
              </w:rPr>
              <w:t>3.3.1 Guiding principles for a new funding model</w:t>
            </w:r>
            <w:r w:rsidR="00A60B24">
              <w:rPr>
                <w:noProof/>
                <w:webHidden/>
              </w:rPr>
              <w:tab/>
            </w:r>
            <w:r w:rsidR="00A60B24">
              <w:rPr>
                <w:noProof/>
                <w:webHidden/>
              </w:rPr>
              <w:fldChar w:fldCharType="begin"/>
            </w:r>
            <w:r w:rsidR="00A60B24">
              <w:rPr>
                <w:noProof/>
                <w:webHidden/>
              </w:rPr>
              <w:instrText xml:space="preserve"> PAGEREF _Toc139028929 \h </w:instrText>
            </w:r>
            <w:r w:rsidR="00A60B24">
              <w:rPr>
                <w:noProof/>
                <w:webHidden/>
              </w:rPr>
            </w:r>
            <w:r w:rsidR="00A60B24">
              <w:rPr>
                <w:noProof/>
                <w:webHidden/>
              </w:rPr>
              <w:fldChar w:fldCharType="separate"/>
            </w:r>
            <w:r w:rsidR="00663203">
              <w:rPr>
                <w:noProof/>
                <w:webHidden/>
              </w:rPr>
              <w:t>139</w:t>
            </w:r>
            <w:r w:rsidR="00A60B24">
              <w:rPr>
                <w:noProof/>
                <w:webHidden/>
              </w:rPr>
              <w:fldChar w:fldCharType="end"/>
            </w:r>
          </w:hyperlink>
        </w:p>
        <w:p w14:paraId="25FD5F92" w14:textId="3DB83734" w:rsidR="00A60B24" w:rsidRDefault="007C65C8">
          <w:pPr>
            <w:pStyle w:val="TOC3"/>
            <w:rPr>
              <w:rFonts w:eastAsiaTheme="minorEastAsia" w:cstheme="minorBidi"/>
              <w:noProof/>
              <w:kern w:val="2"/>
              <w:sz w:val="22"/>
              <w:szCs w:val="22"/>
              <w:lang w:eastAsia="en-AU"/>
              <w14:ligatures w14:val="standardContextual"/>
            </w:rPr>
          </w:pPr>
          <w:hyperlink w:anchor="_Toc139028930" w:history="1">
            <w:r w:rsidR="00A60B24" w:rsidRPr="00A708A9">
              <w:rPr>
                <w:rStyle w:val="Hyperlink"/>
                <w:noProof/>
              </w:rPr>
              <w:t>3.3.2 University sector revenue</w:t>
            </w:r>
            <w:r w:rsidR="00A60B24">
              <w:rPr>
                <w:noProof/>
                <w:webHidden/>
              </w:rPr>
              <w:tab/>
            </w:r>
            <w:r w:rsidR="00A60B24">
              <w:rPr>
                <w:noProof/>
                <w:webHidden/>
              </w:rPr>
              <w:fldChar w:fldCharType="begin"/>
            </w:r>
            <w:r w:rsidR="00A60B24">
              <w:rPr>
                <w:noProof/>
                <w:webHidden/>
              </w:rPr>
              <w:instrText xml:space="preserve"> PAGEREF _Toc139028930 \h </w:instrText>
            </w:r>
            <w:r w:rsidR="00A60B24">
              <w:rPr>
                <w:noProof/>
                <w:webHidden/>
              </w:rPr>
            </w:r>
            <w:r w:rsidR="00A60B24">
              <w:rPr>
                <w:noProof/>
                <w:webHidden/>
              </w:rPr>
              <w:fldChar w:fldCharType="separate"/>
            </w:r>
            <w:r w:rsidR="00663203">
              <w:rPr>
                <w:noProof/>
                <w:webHidden/>
              </w:rPr>
              <w:t>140</w:t>
            </w:r>
            <w:r w:rsidR="00A60B24">
              <w:rPr>
                <w:noProof/>
                <w:webHidden/>
              </w:rPr>
              <w:fldChar w:fldCharType="end"/>
            </w:r>
          </w:hyperlink>
        </w:p>
        <w:p w14:paraId="04482887" w14:textId="7E02BFD9" w:rsidR="00A60B24" w:rsidRDefault="007C65C8">
          <w:pPr>
            <w:pStyle w:val="TOC3"/>
            <w:rPr>
              <w:rFonts w:eastAsiaTheme="minorEastAsia" w:cstheme="minorBidi"/>
              <w:noProof/>
              <w:kern w:val="2"/>
              <w:sz w:val="22"/>
              <w:szCs w:val="22"/>
              <w:lang w:eastAsia="en-AU"/>
              <w14:ligatures w14:val="standardContextual"/>
            </w:rPr>
          </w:pPr>
          <w:hyperlink w:anchor="_Toc139028931" w:history="1">
            <w:r w:rsidR="00A60B24" w:rsidRPr="00A708A9">
              <w:rPr>
                <w:rStyle w:val="Hyperlink"/>
                <w:noProof/>
              </w:rPr>
              <w:t>3.3.3 The Job-ready Graduates (JRG) package</w:t>
            </w:r>
            <w:r w:rsidR="00A60B24">
              <w:rPr>
                <w:noProof/>
                <w:webHidden/>
              </w:rPr>
              <w:tab/>
            </w:r>
            <w:r w:rsidR="00A60B24">
              <w:rPr>
                <w:noProof/>
                <w:webHidden/>
              </w:rPr>
              <w:fldChar w:fldCharType="begin"/>
            </w:r>
            <w:r w:rsidR="00A60B24">
              <w:rPr>
                <w:noProof/>
                <w:webHidden/>
              </w:rPr>
              <w:instrText xml:space="preserve"> PAGEREF _Toc139028931 \h </w:instrText>
            </w:r>
            <w:r w:rsidR="00A60B24">
              <w:rPr>
                <w:noProof/>
                <w:webHidden/>
              </w:rPr>
            </w:r>
            <w:r w:rsidR="00A60B24">
              <w:rPr>
                <w:noProof/>
                <w:webHidden/>
              </w:rPr>
              <w:fldChar w:fldCharType="separate"/>
            </w:r>
            <w:r w:rsidR="00663203">
              <w:rPr>
                <w:noProof/>
                <w:webHidden/>
              </w:rPr>
              <w:t>143</w:t>
            </w:r>
            <w:r w:rsidR="00A60B24">
              <w:rPr>
                <w:noProof/>
                <w:webHidden/>
              </w:rPr>
              <w:fldChar w:fldCharType="end"/>
            </w:r>
          </w:hyperlink>
        </w:p>
        <w:p w14:paraId="5F477744" w14:textId="341337EF" w:rsidR="00A60B24" w:rsidRDefault="007C65C8">
          <w:pPr>
            <w:pStyle w:val="TOC3"/>
            <w:rPr>
              <w:rFonts w:eastAsiaTheme="minorEastAsia" w:cstheme="minorBidi"/>
              <w:noProof/>
              <w:kern w:val="2"/>
              <w:sz w:val="22"/>
              <w:szCs w:val="22"/>
              <w:lang w:eastAsia="en-AU"/>
              <w14:ligatures w14:val="standardContextual"/>
            </w:rPr>
          </w:pPr>
          <w:hyperlink w:anchor="_Toc139028932" w:history="1">
            <w:r w:rsidR="00A60B24" w:rsidRPr="00A708A9">
              <w:rPr>
                <w:rStyle w:val="Hyperlink"/>
                <w:noProof/>
              </w:rPr>
              <w:t>3.3.4 A student-centred, needs-based funding model</w:t>
            </w:r>
            <w:r w:rsidR="00A60B24">
              <w:rPr>
                <w:noProof/>
                <w:webHidden/>
              </w:rPr>
              <w:tab/>
            </w:r>
            <w:r w:rsidR="00A60B24">
              <w:rPr>
                <w:noProof/>
                <w:webHidden/>
              </w:rPr>
              <w:fldChar w:fldCharType="begin"/>
            </w:r>
            <w:r w:rsidR="00A60B24">
              <w:rPr>
                <w:noProof/>
                <w:webHidden/>
              </w:rPr>
              <w:instrText xml:space="preserve"> PAGEREF _Toc139028932 \h </w:instrText>
            </w:r>
            <w:r w:rsidR="00A60B24">
              <w:rPr>
                <w:noProof/>
                <w:webHidden/>
              </w:rPr>
            </w:r>
            <w:r w:rsidR="00A60B24">
              <w:rPr>
                <w:noProof/>
                <w:webHidden/>
              </w:rPr>
              <w:fldChar w:fldCharType="separate"/>
            </w:r>
            <w:r w:rsidR="00663203">
              <w:rPr>
                <w:noProof/>
                <w:webHidden/>
              </w:rPr>
              <w:t>147</w:t>
            </w:r>
            <w:r w:rsidR="00A60B24">
              <w:rPr>
                <w:noProof/>
                <w:webHidden/>
              </w:rPr>
              <w:fldChar w:fldCharType="end"/>
            </w:r>
          </w:hyperlink>
        </w:p>
        <w:p w14:paraId="53B75CB2" w14:textId="4C744DF6" w:rsidR="00A60B24" w:rsidRDefault="007C65C8">
          <w:pPr>
            <w:pStyle w:val="TOC3"/>
            <w:rPr>
              <w:rFonts w:eastAsiaTheme="minorEastAsia" w:cstheme="minorBidi"/>
              <w:noProof/>
              <w:kern w:val="2"/>
              <w:sz w:val="22"/>
              <w:szCs w:val="22"/>
              <w:lang w:eastAsia="en-AU"/>
              <w14:ligatures w14:val="standardContextual"/>
            </w:rPr>
          </w:pPr>
          <w:hyperlink w:anchor="_Toc139028933" w:history="1">
            <w:r w:rsidR="00A60B24" w:rsidRPr="00A708A9">
              <w:rPr>
                <w:rStyle w:val="Hyperlink"/>
                <w:noProof/>
              </w:rPr>
              <w:t>3.3.5 Improving affordability for students</w:t>
            </w:r>
            <w:r w:rsidR="00A60B24">
              <w:rPr>
                <w:noProof/>
                <w:webHidden/>
              </w:rPr>
              <w:tab/>
            </w:r>
            <w:r w:rsidR="00A60B24">
              <w:rPr>
                <w:noProof/>
                <w:webHidden/>
              </w:rPr>
              <w:fldChar w:fldCharType="begin"/>
            </w:r>
            <w:r w:rsidR="00A60B24">
              <w:rPr>
                <w:noProof/>
                <w:webHidden/>
              </w:rPr>
              <w:instrText xml:space="preserve"> PAGEREF _Toc139028933 \h </w:instrText>
            </w:r>
            <w:r w:rsidR="00A60B24">
              <w:rPr>
                <w:noProof/>
                <w:webHidden/>
              </w:rPr>
            </w:r>
            <w:r w:rsidR="00A60B24">
              <w:rPr>
                <w:noProof/>
                <w:webHidden/>
              </w:rPr>
              <w:fldChar w:fldCharType="separate"/>
            </w:r>
            <w:r w:rsidR="00663203">
              <w:rPr>
                <w:noProof/>
                <w:webHidden/>
              </w:rPr>
              <w:t>150</w:t>
            </w:r>
            <w:r w:rsidR="00A60B24">
              <w:rPr>
                <w:noProof/>
                <w:webHidden/>
              </w:rPr>
              <w:fldChar w:fldCharType="end"/>
            </w:r>
          </w:hyperlink>
        </w:p>
        <w:p w14:paraId="3C6BEF35" w14:textId="35384A43" w:rsidR="00A60B24" w:rsidRDefault="007C65C8">
          <w:pPr>
            <w:pStyle w:val="TOC3"/>
            <w:rPr>
              <w:rFonts w:eastAsiaTheme="minorEastAsia" w:cstheme="minorBidi"/>
              <w:noProof/>
              <w:kern w:val="2"/>
              <w:sz w:val="22"/>
              <w:szCs w:val="22"/>
              <w:lang w:eastAsia="en-AU"/>
              <w14:ligatures w14:val="standardContextual"/>
            </w:rPr>
          </w:pPr>
          <w:hyperlink w:anchor="_Toc139028934" w:history="1">
            <w:r w:rsidR="00A60B24" w:rsidRPr="00A708A9">
              <w:rPr>
                <w:rStyle w:val="Hyperlink"/>
                <w:noProof/>
              </w:rPr>
              <w:t>Considerations for change</w:t>
            </w:r>
            <w:r w:rsidR="00A60B24">
              <w:rPr>
                <w:noProof/>
                <w:webHidden/>
              </w:rPr>
              <w:tab/>
            </w:r>
            <w:r w:rsidR="00A60B24">
              <w:rPr>
                <w:noProof/>
                <w:webHidden/>
              </w:rPr>
              <w:fldChar w:fldCharType="begin"/>
            </w:r>
            <w:r w:rsidR="00A60B24">
              <w:rPr>
                <w:noProof/>
                <w:webHidden/>
              </w:rPr>
              <w:instrText xml:space="preserve"> PAGEREF _Toc139028934 \h </w:instrText>
            </w:r>
            <w:r w:rsidR="00A60B24">
              <w:rPr>
                <w:noProof/>
                <w:webHidden/>
              </w:rPr>
            </w:r>
            <w:r w:rsidR="00A60B24">
              <w:rPr>
                <w:noProof/>
                <w:webHidden/>
              </w:rPr>
              <w:fldChar w:fldCharType="separate"/>
            </w:r>
            <w:r w:rsidR="00663203">
              <w:rPr>
                <w:noProof/>
                <w:webHidden/>
              </w:rPr>
              <w:t>155</w:t>
            </w:r>
            <w:r w:rsidR="00A60B24">
              <w:rPr>
                <w:noProof/>
                <w:webHidden/>
              </w:rPr>
              <w:fldChar w:fldCharType="end"/>
            </w:r>
          </w:hyperlink>
        </w:p>
        <w:p w14:paraId="13C4963A" w14:textId="64DD1238" w:rsidR="00A60B24" w:rsidRDefault="007C65C8">
          <w:pPr>
            <w:pStyle w:val="TOC1"/>
            <w:rPr>
              <w:rFonts w:eastAsiaTheme="minorEastAsia" w:cstheme="minorBidi"/>
              <w:b w:val="0"/>
              <w:bCs w:val="0"/>
              <w:i w:val="0"/>
              <w:iCs w:val="0"/>
              <w:noProof/>
              <w:kern w:val="2"/>
              <w:sz w:val="22"/>
              <w:szCs w:val="22"/>
              <w:lang w:eastAsia="en-AU"/>
              <w14:ligatures w14:val="standardContextual"/>
            </w:rPr>
          </w:pPr>
          <w:hyperlink w:anchor="_Toc139028935" w:history="1">
            <w:r w:rsidR="00A60B24" w:rsidRPr="00A708A9">
              <w:rPr>
                <w:rStyle w:val="Hyperlink"/>
                <w:noProof/>
              </w:rPr>
              <w:t>Chapter 4: Building an Accord</w:t>
            </w:r>
            <w:r w:rsidR="00A60B24">
              <w:rPr>
                <w:noProof/>
                <w:webHidden/>
              </w:rPr>
              <w:tab/>
            </w:r>
            <w:r w:rsidR="00A60B24">
              <w:rPr>
                <w:noProof/>
                <w:webHidden/>
              </w:rPr>
              <w:fldChar w:fldCharType="begin"/>
            </w:r>
            <w:r w:rsidR="00A60B24">
              <w:rPr>
                <w:noProof/>
                <w:webHidden/>
              </w:rPr>
              <w:instrText xml:space="preserve"> PAGEREF _Toc139028935 \h </w:instrText>
            </w:r>
            <w:r w:rsidR="00A60B24">
              <w:rPr>
                <w:noProof/>
                <w:webHidden/>
              </w:rPr>
            </w:r>
            <w:r w:rsidR="00A60B24">
              <w:rPr>
                <w:noProof/>
                <w:webHidden/>
              </w:rPr>
              <w:fldChar w:fldCharType="separate"/>
            </w:r>
            <w:r w:rsidR="00663203">
              <w:rPr>
                <w:noProof/>
                <w:webHidden/>
              </w:rPr>
              <w:t>157</w:t>
            </w:r>
            <w:r w:rsidR="00A60B24">
              <w:rPr>
                <w:noProof/>
                <w:webHidden/>
              </w:rPr>
              <w:fldChar w:fldCharType="end"/>
            </w:r>
          </w:hyperlink>
        </w:p>
        <w:p w14:paraId="77C3FDF7" w14:textId="71A284CD" w:rsidR="00A60B24" w:rsidRDefault="007C65C8">
          <w:pPr>
            <w:pStyle w:val="TOC3"/>
            <w:rPr>
              <w:rFonts w:eastAsiaTheme="minorEastAsia" w:cstheme="minorBidi"/>
              <w:noProof/>
              <w:kern w:val="2"/>
              <w:sz w:val="22"/>
              <w:szCs w:val="22"/>
              <w:lang w:eastAsia="en-AU"/>
              <w14:ligatures w14:val="standardContextual"/>
            </w:rPr>
          </w:pPr>
          <w:hyperlink w:anchor="_Toc139028936" w:history="1">
            <w:r w:rsidR="00A60B24" w:rsidRPr="00A708A9">
              <w:rPr>
                <w:rStyle w:val="Hyperlink"/>
                <w:noProof/>
              </w:rPr>
              <w:t>Issues</w:t>
            </w:r>
            <w:r w:rsidR="00A60B24">
              <w:rPr>
                <w:noProof/>
                <w:webHidden/>
              </w:rPr>
              <w:tab/>
            </w:r>
            <w:r w:rsidR="00A60B24">
              <w:rPr>
                <w:noProof/>
                <w:webHidden/>
              </w:rPr>
              <w:fldChar w:fldCharType="begin"/>
            </w:r>
            <w:r w:rsidR="00A60B24">
              <w:rPr>
                <w:noProof/>
                <w:webHidden/>
              </w:rPr>
              <w:instrText xml:space="preserve"> PAGEREF _Toc139028936 \h </w:instrText>
            </w:r>
            <w:r w:rsidR="00A60B24">
              <w:rPr>
                <w:noProof/>
                <w:webHidden/>
              </w:rPr>
            </w:r>
            <w:r w:rsidR="00A60B24">
              <w:rPr>
                <w:noProof/>
                <w:webHidden/>
              </w:rPr>
              <w:fldChar w:fldCharType="separate"/>
            </w:r>
            <w:r w:rsidR="00663203">
              <w:rPr>
                <w:noProof/>
                <w:webHidden/>
              </w:rPr>
              <w:t>157</w:t>
            </w:r>
            <w:r w:rsidR="00A60B24">
              <w:rPr>
                <w:noProof/>
                <w:webHidden/>
              </w:rPr>
              <w:fldChar w:fldCharType="end"/>
            </w:r>
          </w:hyperlink>
        </w:p>
        <w:p w14:paraId="34F2F733" w14:textId="24443E9A" w:rsidR="00A60B24" w:rsidRDefault="007C65C8">
          <w:pPr>
            <w:pStyle w:val="TOC3"/>
            <w:rPr>
              <w:rFonts w:eastAsiaTheme="minorEastAsia" w:cstheme="minorBidi"/>
              <w:noProof/>
              <w:kern w:val="2"/>
              <w:sz w:val="22"/>
              <w:szCs w:val="22"/>
              <w:lang w:eastAsia="en-AU"/>
              <w14:ligatures w14:val="standardContextual"/>
            </w:rPr>
          </w:pPr>
          <w:hyperlink w:anchor="_Toc139028937" w:history="1">
            <w:r w:rsidR="00A60B24" w:rsidRPr="00A708A9">
              <w:rPr>
                <w:rStyle w:val="Hyperlink"/>
                <w:noProof/>
              </w:rPr>
              <w:t>4.1 Implementing an ambitious, enduring Accord</w:t>
            </w:r>
            <w:r w:rsidR="00A60B24">
              <w:rPr>
                <w:noProof/>
                <w:webHidden/>
              </w:rPr>
              <w:tab/>
            </w:r>
            <w:r w:rsidR="00A60B24">
              <w:rPr>
                <w:noProof/>
                <w:webHidden/>
              </w:rPr>
              <w:fldChar w:fldCharType="begin"/>
            </w:r>
            <w:r w:rsidR="00A60B24">
              <w:rPr>
                <w:noProof/>
                <w:webHidden/>
              </w:rPr>
              <w:instrText xml:space="preserve"> PAGEREF _Toc139028937 \h </w:instrText>
            </w:r>
            <w:r w:rsidR="00A60B24">
              <w:rPr>
                <w:noProof/>
                <w:webHidden/>
              </w:rPr>
            </w:r>
            <w:r w:rsidR="00A60B24">
              <w:rPr>
                <w:noProof/>
                <w:webHidden/>
              </w:rPr>
              <w:fldChar w:fldCharType="separate"/>
            </w:r>
            <w:r w:rsidR="00663203">
              <w:rPr>
                <w:noProof/>
                <w:webHidden/>
              </w:rPr>
              <w:t>157</w:t>
            </w:r>
            <w:r w:rsidR="00A60B24">
              <w:rPr>
                <w:noProof/>
                <w:webHidden/>
              </w:rPr>
              <w:fldChar w:fldCharType="end"/>
            </w:r>
          </w:hyperlink>
        </w:p>
        <w:p w14:paraId="68022CC7" w14:textId="69847168" w:rsidR="00A60B24" w:rsidRDefault="007C65C8">
          <w:pPr>
            <w:pStyle w:val="TOC3"/>
            <w:rPr>
              <w:rFonts w:eastAsiaTheme="minorEastAsia" w:cstheme="minorBidi"/>
              <w:noProof/>
              <w:kern w:val="2"/>
              <w:sz w:val="22"/>
              <w:szCs w:val="22"/>
              <w:lang w:eastAsia="en-AU"/>
              <w14:ligatures w14:val="standardContextual"/>
            </w:rPr>
          </w:pPr>
          <w:hyperlink w:anchor="_Toc139028938" w:history="1">
            <w:r w:rsidR="00A60B24" w:rsidRPr="00A708A9">
              <w:rPr>
                <w:rStyle w:val="Hyperlink"/>
                <w:noProof/>
              </w:rPr>
              <w:t>Considerations for change</w:t>
            </w:r>
            <w:r w:rsidR="00A60B24">
              <w:rPr>
                <w:noProof/>
                <w:webHidden/>
              </w:rPr>
              <w:tab/>
            </w:r>
            <w:r w:rsidR="00A60B24">
              <w:rPr>
                <w:noProof/>
                <w:webHidden/>
              </w:rPr>
              <w:fldChar w:fldCharType="begin"/>
            </w:r>
            <w:r w:rsidR="00A60B24">
              <w:rPr>
                <w:noProof/>
                <w:webHidden/>
              </w:rPr>
              <w:instrText xml:space="preserve"> PAGEREF _Toc139028938 \h </w:instrText>
            </w:r>
            <w:r w:rsidR="00A60B24">
              <w:rPr>
                <w:noProof/>
                <w:webHidden/>
              </w:rPr>
            </w:r>
            <w:r w:rsidR="00A60B24">
              <w:rPr>
                <w:noProof/>
                <w:webHidden/>
              </w:rPr>
              <w:fldChar w:fldCharType="separate"/>
            </w:r>
            <w:r w:rsidR="00663203">
              <w:rPr>
                <w:noProof/>
                <w:webHidden/>
              </w:rPr>
              <w:t>158</w:t>
            </w:r>
            <w:r w:rsidR="00A60B24">
              <w:rPr>
                <w:noProof/>
                <w:webHidden/>
              </w:rPr>
              <w:fldChar w:fldCharType="end"/>
            </w:r>
          </w:hyperlink>
        </w:p>
        <w:p w14:paraId="351743E9" w14:textId="2227EEB4" w:rsidR="005F0627" w:rsidRPr="001E7AA4" w:rsidRDefault="007C65C8" w:rsidP="006E20C8">
          <w:pPr>
            <w:pStyle w:val="TOC1"/>
            <w:rPr>
              <w:rStyle w:val="Hyperlink"/>
              <w:noProof/>
              <w:lang w:eastAsia="en-AU"/>
            </w:rPr>
          </w:pPr>
          <w:hyperlink w:anchor="_Toc139028939" w:history="1">
            <w:r w:rsidR="00A60B24" w:rsidRPr="00A708A9">
              <w:rPr>
                <w:rStyle w:val="Hyperlink"/>
                <w:noProof/>
              </w:rPr>
              <w:t>Glossary</w:t>
            </w:r>
            <w:r w:rsidR="00A60B24">
              <w:rPr>
                <w:noProof/>
                <w:webHidden/>
              </w:rPr>
              <w:tab/>
            </w:r>
            <w:r w:rsidR="00A60B24">
              <w:rPr>
                <w:noProof/>
                <w:webHidden/>
              </w:rPr>
              <w:fldChar w:fldCharType="begin"/>
            </w:r>
            <w:r w:rsidR="00A60B24">
              <w:rPr>
                <w:noProof/>
                <w:webHidden/>
              </w:rPr>
              <w:instrText xml:space="preserve"> PAGEREF _Toc139028939 \h </w:instrText>
            </w:r>
            <w:r w:rsidR="00A60B24">
              <w:rPr>
                <w:noProof/>
                <w:webHidden/>
              </w:rPr>
            </w:r>
            <w:r w:rsidR="00A60B24">
              <w:rPr>
                <w:noProof/>
                <w:webHidden/>
              </w:rPr>
              <w:fldChar w:fldCharType="separate"/>
            </w:r>
            <w:r w:rsidR="00663203">
              <w:rPr>
                <w:noProof/>
                <w:webHidden/>
              </w:rPr>
              <w:t>159</w:t>
            </w:r>
            <w:r w:rsidR="00A60B24">
              <w:rPr>
                <w:noProof/>
                <w:webHidden/>
              </w:rPr>
              <w:fldChar w:fldCharType="end"/>
            </w:r>
          </w:hyperlink>
          <w:r w:rsidR="00341DFD" w:rsidRPr="001E7AA4">
            <w:fldChar w:fldCharType="end"/>
          </w:r>
        </w:p>
      </w:sdtContent>
    </w:sdt>
    <w:bookmarkEnd w:id="0"/>
    <w:bookmarkEnd w:id="1"/>
    <w:bookmarkEnd w:id="2"/>
    <w:p w14:paraId="50AFD95E" w14:textId="18970ACF" w:rsidR="007332E7" w:rsidRPr="001E7AA4" w:rsidRDefault="007332E7">
      <w:pPr>
        <w:spacing w:after="160"/>
        <w:rPr>
          <w:b/>
        </w:rPr>
      </w:pPr>
      <w:r w:rsidRPr="001E7AA4">
        <w:rPr>
          <w:b/>
        </w:rPr>
        <w:br w:type="page"/>
      </w:r>
    </w:p>
    <w:p w14:paraId="366DEE26" w14:textId="38F01F28" w:rsidR="00E968D4" w:rsidRPr="00E968D4" w:rsidRDefault="00E968D4" w:rsidP="006E20C8">
      <w:pPr>
        <w:pStyle w:val="Heading2-LettertotheMinister"/>
        <w:rPr>
          <w:rFonts w:eastAsia="Calibri" w:cs="Calibri"/>
        </w:rPr>
      </w:pPr>
      <w:r w:rsidRPr="00E968D4">
        <w:lastRenderedPageBreak/>
        <w:t>Letter to the Minister</w:t>
      </w:r>
    </w:p>
    <w:p w14:paraId="73D2B566" w14:textId="028B55F9" w:rsidR="008766B7" w:rsidRPr="001E7AA4" w:rsidRDefault="008766B7" w:rsidP="008766B7">
      <w:r w:rsidRPr="001E7AA4">
        <w:rPr>
          <w:rFonts w:ascii="Calibri" w:eastAsia="Calibri" w:hAnsi="Calibri" w:cs="Calibri"/>
        </w:rPr>
        <w:t xml:space="preserve">2023 Australian Universities Accord </w:t>
      </w:r>
    </w:p>
    <w:p w14:paraId="30CBC897" w14:textId="77777777" w:rsidR="008766B7" w:rsidRPr="001E7AA4" w:rsidRDefault="008766B7" w:rsidP="00D82C56">
      <w:pPr>
        <w:spacing w:before="480" w:after="0" w:line="240" w:lineRule="auto"/>
      </w:pPr>
      <w:r w:rsidRPr="001E7AA4">
        <w:rPr>
          <w:rFonts w:ascii="Calibri" w:eastAsia="Calibri" w:hAnsi="Calibri" w:cs="Calibri"/>
        </w:rPr>
        <w:t>The Hon. Jason Clare MP</w:t>
      </w:r>
    </w:p>
    <w:p w14:paraId="14DB2518" w14:textId="77777777" w:rsidR="008766B7" w:rsidRPr="001E7AA4" w:rsidRDefault="008766B7" w:rsidP="004D310F">
      <w:pPr>
        <w:spacing w:after="0" w:line="240" w:lineRule="auto"/>
      </w:pPr>
      <w:r w:rsidRPr="001E7AA4">
        <w:rPr>
          <w:rFonts w:ascii="Calibri" w:eastAsia="Calibri" w:hAnsi="Calibri" w:cs="Calibri"/>
        </w:rPr>
        <w:t>Minister for Education</w:t>
      </w:r>
    </w:p>
    <w:p w14:paraId="362AD433" w14:textId="77777777" w:rsidR="008766B7" w:rsidRPr="001E7AA4" w:rsidRDefault="008766B7" w:rsidP="004D310F">
      <w:pPr>
        <w:spacing w:after="0" w:line="240" w:lineRule="auto"/>
      </w:pPr>
      <w:r w:rsidRPr="001E7AA4">
        <w:rPr>
          <w:rFonts w:ascii="Calibri" w:eastAsia="Calibri" w:hAnsi="Calibri" w:cs="Calibri"/>
        </w:rPr>
        <w:t>Parliament House</w:t>
      </w:r>
    </w:p>
    <w:p w14:paraId="241B7123" w14:textId="77777777" w:rsidR="008766B7" w:rsidRPr="001E7AA4" w:rsidRDefault="008766B7" w:rsidP="004D310F">
      <w:pPr>
        <w:spacing w:line="240" w:lineRule="auto"/>
      </w:pPr>
      <w:r w:rsidRPr="001E7AA4">
        <w:rPr>
          <w:rFonts w:ascii="Calibri" w:eastAsia="Calibri" w:hAnsi="Calibri" w:cs="Calibri"/>
        </w:rPr>
        <w:t>Canberra ACT 2600</w:t>
      </w:r>
    </w:p>
    <w:p w14:paraId="058C2BD4" w14:textId="77777777" w:rsidR="008766B7" w:rsidRPr="001E7AA4" w:rsidRDefault="008766B7" w:rsidP="00D82C56">
      <w:pPr>
        <w:spacing w:before="720" w:line="240" w:lineRule="auto"/>
        <w:rPr>
          <w:rFonts w:ascii="Calibri" w:eastAsia="Calibri" w:hAnsi="Calibri" w:cs="Calibri"/>
        </w:rPr>
      </w:pPr>
      <w:r w:rsidRPr="001E7AA4">
        <w:rPr>
          <w:rFonts w:ascii="Calibri" w:eastAsia="Calibri" w:hAnsi="Calibri" w:cs="Calibri"/>
        </w:rPr>
        <w:t>Dear Minister</w:t>
      </w:r>
    </w:p>
    <w:p w14:paraId="6D7A28CC" w14:textId="77777777" w:rsidR="008766B7" w:rsidRPr="001E7AA4" w:rsidRDefault="008766B7" w:rsidP="004D310F">
      <w:pPr>
        <w:spacing w:line="240" w:lineRule="auto"/>
        <w:rPr>
          <w:rFonts w:ascii="Calibri" w:eastAsia="Calibri" w:hAnsi="Calibri" w:cs="Calibri"/>
          <w:b/>
          <w:bCs/>
        </w:rPr>
      </w:pPr>
      <w:r w:rsidRPr="001E7AA4">
        <w:rPr>
          <w:rFonts w:ascii="Calibri" w:eastAsia="Calibri" w:hAnsi="Calibri" w:cs="Calibri"/>
          <w:b/>
          <w:bCs/>
        </w:rPr>
        <w:t>Interim Report – Australian Universities Accord</w:t>
      </w:r>
    </w:p>
    <w:p w14:paraId="027C1093" w14:textId="41080DE9" w:rsidR="008766B7" w:rsidRPr="001E7AA4" w:rsidRDefault="008766B7" w:rsidP="004D310F">
      <w:pPr>
        <w:spacing w:line="240" w:lineRule="auto"/>
        <w:rPr>
          <w:rFonts w:ascii="Calibri" w:eastAsia="Calibri" w:hAnsi="Calibri" w:cs="Calibri"/>
          <w:color w:val="000000" w:themeColor="text1"/>
        </w:rPr>
      </w:pPr>
      <w:r w:rsidRPr="001E7AA4">
        <w:rPr>
          <w:rFonts w:ascii="Calibri" w:eastAsia="Calibri" w:hAnsi="Calibri" w:cs="Calibri"/>
          <w:color w:val="000000" w:themeColor="text1"/>
        </w:rPr>
        <w:t xml:space="preserve">In November 2022, you appointed a </w:t>
      </w:r>
      <w:r w:rsidR="00632104" w:rsidRPr="001E7AA4">
        <w:rPr>
          <w:rFonts w:ascii="Calibri" w:eastAsia="Calibri" w:hAnsi="Calibri" w:cs="Calibri"/>
          <w:color w:val="000000" w:themeColor="text1"/>
        </w:rPr>
        <w:t>p</w:t>
      </w:r>
      <w:r w:rsidRPr="001E7AA4">
        <w:rPr>
          <w:rFonts w:ascii="Calibri" w:eastAsia="Calibri" w:hAnsi="Calibri" w:cs="Calibri"/>
          <w:color w:val="000000" w:themeColor="text1"/>
        </w:rPr>
        <w:t xml:space="preserve">anel to conduct a review to “drive lasting reform in Australia’s higher education system ... to deliver a higher education system that meets the current and future needs of the nation, and targets to achieve this”. </w:t>
      </w:r>
    </w:p>
    <w:p w14:paraId="6C94919F" w14:textId="73F9813F" w:rsidR="008766B7" w:rsidRPr="001E7AA4" w:rsidRDefault="008766B7" w:rsidP="004D310F">
      <w:pPr>
        <w:spacing w:line="240" w:lineRule="auto"/>
        <w:rPr>
          <w:rFonts w:ascii="Calibri" w:eastAsia="Calibri" w:hAnsi="Calibri" w:cs="Calibri"/>
          <w:color w:val="000000" w:themeColor="text1"/>
        </w:rPr>
      </w:pPr>
      <w:r w:rsidRPr="001E7AA4">
        <w:rPr>
          <w:rFonts w:ascii="Calibri" w:eastAsia="Calibri" w:hAnsi="Calibri" w:cs="Calibri"/>
        </w:rPr>
        <w:t>We</w:t>
      </w:r>
      <w:r w:rsidRPr="001E7AA4">
        <w:rPr>
          <w:rFonts w:ascii="Calibri" w:eastAsia="Calibri" w:hAnsi="Calibri" w:cs="Calibri"/>
          <w:color w:val="000000" w:themeColor="text1"/>
        </w:rPr>
        <w:t xml:space="preserve"> now present the Interim Report of this </w:t>
      </w:r>
      <w:r w:rsidR="0011007A" w:rsidRPr="001E7AA4">
        <w:rPr>
          <w:rFonts w:ascii="Calibri" w:eastAsia="Calibri" w:hAnsi="Calibri" w:cs="Calibri"/>
          <w:color w:val="000000" w:themeColor="text1"/>
        </w:rPr>
        <w:t>R</w:t>
      </w:r>
      <w:r w:rsidRPr="001E7AA4">
        <w:rPr>
          <w:rFonts w:ascii="Calibri" w:eastAsia="Calibri" w:hAnsi="Calibri" w:cs="Calibri"/>
          <w:color w:val="000000" w:themeColor="text1"/>
        </w:rPr>
        <w:t xml:space="preserve">eview.  </w:t>
      </w:r>
    </w:p>
    <w:p w14:paraId="1AA35FC7" w14:textId="2F95F680" w:rsidR="008766B7" w:rsidRPr="001E7AA4" w:rsidRDefault="00632104" w:rsidP="004D310F">
      <w:pPr>
        <w:spacing w:after="200" w:line="240" w:lineRule="auto"/>
        <w:rPr>
          <w:rFonts w:ascii="Calibri" w:eastAsia="Calibri" w:hAnsi="Calibri" w:cs="Calibri"/>
        </w:rPr>
      </w:pPr>
      <w:r w:rsidRPr="001E7AA4">
        <w:rPr>
          <w:rFonts w:ascii="Calibri" w:eastAsia="Calibri" w:hAnsi="Calibri" w:cs="Calibri"/>
        </w:rPr>
        <w:t>The Interim Report makes f</w:t>
      </w:r>
      <w:r w:rsidR="002963D6" w:rsidRPr="001E7AA4">
        <w:rPr>
          <w:rFonts w:ascii="Calibri" w:eastAsia="Calibri" w:hAnsi="Calibri" w:cs="Calibri"/>
        </w:rPr>
        <w:t>ive</w:t>
      </w:r>
      <w:r w:rsidRPr="001E7AA4">
        <w:rPr>
          <w:rFonts w:ascii="Calibri" w:eastAsia="Calibri" w:hAnsi="Calibri" w:cs="Calibri"/>
        </w:rPr>
        <w:t xml:space="preserve"> </w:t>
      </w:r>
      <w:r w:rsidR="008766B7" w:rsidRPr="001E7AA4">
        <w:rPr>
          <w:rFonts w:ascii="Calibri" w:eastAsia="Calibri" w:hAnsi="Calibri" w:cs="Calibri"/>
        </w:rPr>
        <w:t xml:space="preserve">recommendations for priority action. </w:t>
      </w:r>
      <w:r w:rsidRPr="001E7AA4">
        <w:rPr>
          <w:rFonts w:ascii="Calibri" w:eastAsia="Calibri" w:hAnsi="Calibri" w:cs="Calibri"/>
        </w:rPr>
        <w:t xml:space="preserve">It also raises </w:t>
      </w:r>
      <w:r w:rsidR="003462A4" w:rsidRPr="001E7AA4">
        <w:rPr>
          <w:rFonts w:ascii="Calibri" w:eastAsia="Calibri" w:hAnsi="Calibri" w:cs="Calibri"/>
        </w:rPr>
        <w:t xml:space="preserve">a wide variety of issues </w:t>
      </w:r>
      <w:r w:rsidR="008766B7" w:rsidRPr="001E7AA4">
        <w:rPr>
          <w:rFonts w:ascii="Calibri" w:eastAsia="Calibri" w:hAnsi="Calibri" w:cs="Calibri"/>
        </w:rPr>
        <w:t xml:space="preserve">to promote </w:t>
      </w:r>
      <w:r w:rsidRPr="001E7AA4">
        <w:rPr>
          <w:rFonts w:ascii="Calibri" w:eastAsia="Calibri" w:hAnsi="Calibri" w:cs="Calibri"/>
        </w:rPr>
        <w:t xml:space="preserve">public </w:t>
      </w:r>
      <w:r w:rsidR="008766B7" w:rsidRPr="001E7AA4">
        <w:rPr>
          <w:rFonts w:ascii="Calibri" w:eastAsia="Calibri" w:hAnsi="Calibri" w:cs="Calibri"/>
        </w:rPr>
        <w:t xml:space="preserve">discussion and debate </w:t>
      </w:r>
      <w:r w:rsidRPr="001E7AA4">
        <w:rPr>
          <w:rFonts w:ascii="Calibri" w:eastAsia="Calibri" w:hAnsi="Calibri" w:cs="Calibri"/>
        </w:rPr>
        <w:t xml:space="preserve">to inform the panel’s </w:t>
      </w:r>
      <w:r w:rsidR="008766B7" w:rsidRPr="001E7AA4">
        <w:rPr>
          <w:rFonts w:ascii="Calibri" w:eastAsia="Calibri" w:hAnsi="Calibri" w:cs="Calibri"/>
        </w:rPr>
        <w:t>final recommendations</w:t>
      </w:r>
      <w:r w:rsidRPr="001E7AA4">
        <w:rPr>
          <w:rFonts w:ascii="Calibri" w:eastAsia="Calibri" w:hAnsi="Calibri" w:cs="Calibri"/>
        </w:rPr>
        <w:t>.</w:t>
      </w:r>
    </w:p>
    <w:p w14:paraId="3150446A" w14:textId="3BF6A93B" w:rsidR="008766B7" w:rsidRPr="001E7AA4" w:rsidRDefault="008766B7" w:rsidP="004D310F">
      <w:pPr>
        <w:spacing w:line="240" w:lineRule="auto"/>
        <w:rPr>
          <w:rFonts w:ascii="Calibri" w:eastAsia="Calibri" w:hAnsi="Calibri" w:cs="Calibri"/>
        </w:rPr>
      </w:pPr>
      <w:r w:rsidRPr="001E7AA4">
        <w:rPr>
          <w:rFonts w:ascii="Calibri" w:eastAsia="Calibri" w:hAnsi="Calibri" w:cs="Calibri"/>
        </w:rPr>
        <w:t>We look forward to submitting our Final Report in December.</w:t>
      </w:r>
    </w:p>
    <w:p w14:paraId="6F5D54EC" w14:textId="0E16BD50" w:rsidR="008766B7" w:rsidRPr="001E7AA4" w:rsidRDefault="008766B7" w:rsidP="004D310F">
      <w:pPr>
        <w:spacing w:line="240" w:lineRule="auto"/>
        <w:rPr>
          <w:rFonts w:ascii="Calibri" w:eastAsia="Calibri" w:hAnsi="Calibri" w:cs="Calibri"/>
        </w:rPr>
      </w:pPr>
      <w:r w:rsidRPr="001E7AA4">
        <w:rPr>
          <w:rFonts w:ascii="Calibri" w:eastAsia="Calibri" w:hAnsi="Calibri" w:cs="Calibri"/>
        </w:rPr>
        <w:t>Yours sincerely</w:t>
      </w:r>
    </w:p>
    <w:p w14:paraId="62A827F7" w14:textId="28D851BF" w:rsidR="004623B1" w:rsidRDefault="004623B1" w:rsidP="004623B1">
      <w:pPr>
        <w:spacing w:line="240" w:lineRule="auto"/>
        <w:rPr>
          <w:rFonts w:ascii="Calibri" w:eastAsia="Calibri" w:hAnsi="Calibri" w:cs="Calibri"/>
        </w:rPr>
      </w:pPr>
    </w:p>
    <w:p w14:paraId="69EF9FF4" w14:textId="77777777" w:rsidR="007C65C8" w:rsidRDefault="007C65C8" w:rsidP="004623B1">
      <w:pPr>
        <w:spacing w:line="240" w:lineRule="auto"/>
        <w:rPr>
          <w:rFonts w:ascii="Calibri" w:eastAsia="Calibri" w:hAnsi="Calibri" w:cs="Calibri"/>
        </w:rPr>
      </w:pPr>
    </w:p>
    <w:p w14:paraId="4EAFD492" w14:textId="77777777" w:rsidR="007C65C8" w:rsidRDefault="007C65C8" w:rsidP="004623B1">
      <w:pPr>
        <w:spacing w:line="240" w:lineRule="auto"/>
        <w:rPr>
          <w:rFonts w:ascii="Calibri" w:eastAsia="Calibri" w:hAnsi="Calibri" w:cs="Calibri"/>
        </w:rPr>
      </w:pPr>
    </w:p>
    <w:p w14:paraId="08A8ABA5" w14:textId="0390BCD0" w:rsidR="008766B7" w:rsidRPr="001E7AA4" w:rsidRDefault="008766B7" w:rsidP="004D310F">
      <w:pPr>
        <w:spacing w:after="0" w:line="240" w:lineRule="auto"/>
        <w:rPr>
          <w:rFonts w:ascii="Calibri" w:eastAsia="Calibri" w:hAnsi="Calibri" w:cs="Calibri"/>
        </w:rPr>
      </w:pPr>
      <w:r w:rsidRPr="001E7AA4">
        <w:rPr>
          <w:rFonts w:ascii="Calibri" w:eastAsia="Calibri" w:hAnsi="Calibri" w:cs="Calibri"/>
        </w:rPr>
        <w:t xml:space="preserve">Mary O’Kane </w:t>
      </w:r>
    </w:p>
    <w:p w14:paraId="49CD9868" w14:textId="77777777" w:rsidR="008766B7" w:rsidRPr="001E7AA4" w:rsidRDefault="008766B7" w:rsidP="004D310F">
      <w:pPr>
        <w:spacing w:after="0" w:line="240" w:lineRule="auto"/>
        <w:rPr>
          <w:rFonts w:ascii="Calibri" w:eastAsia="Calibri" w:hAnsi="Calibri" w:cs="Calibri"/>
        </w:rPr>
      </w:pPr>
      <w:r w:rsidRPr="001E7AA4">
        <w:rPr>
          <w:rFonts w:ascii="Calibri" w:eastAsia="Calibri" w:hAnsi="Calibri" w:cs="Calibri"/>
        </w:rPr>
        <w:t>Chair</w:t>
      </w:r>
    </w:p>
    <w:p w14:paraId="6F5CA1D9" w14:textId="77777777" w:rsidR="008766B7" w:rsidRPr="001E7AA4" w:rsidRDefault="008766B7" w:rsidP="004D310F">
      <w:pPr>
        <w:spacing w:after="0" w:line="240" w:lineRule="auto"/>
        <w:rPr>
          <w:rFonts w:ascii="Calibri" w:eastAsia="Calibri" w:hAnsi="Calibri" w:cs="Calibri"/>
        </w:rPr>
      </w:pPr>
      <w:r w:rsidRPr="001E7AA4">
        <w:rPr>
          <w:rFonts w:ascii="Calibri" w:eastAsia="Calibri" w:hAnsi="Calibri" w:cs="Calibri"/>
        </w:rPr>
        <w:t xml:space="preserve">Australian Universities Accord Review Panel </w:t>
      </w:r>
    </w:p>
    <w:p w14:paraId="4FB9FA64" w14:textId="0CBD75E7" w:rsidR="008766B7" w:rsidRPr="001E7AA4" w:rsidRDefault="00D9146A" w:rsidP="004D310F">
      <w:pPr>
        <w:spacing w:line="240" w:lineRule="auto"/>
        <w:rPr>
          <w:rFonts w:ascii="Calibri" w:eastAsia="Calibri" w:hAnsi="Calibri" w:cs="Calibri"/>
        </w:rPr>
      </w:pPr>
      <w:r w:rsidRPr="001E7AA4">
        <w:rPr>
          <w:rFonts w:ascii="Calibri" w:eastAsia="Calibri" w:hAnsi="Calibri" w:cs="Calibri"/>
        </w:rPr>
        <w:t>30</w:t>
      </w:r>
      <w:r w:rsidR="008766B7" w:rsidRPr="001E7AA4">
        <w:rPr>
          <w:rFonts w:ascii="Calibri" w:eastAsia="Calibri" w:hAnsi="Calibri" w:cs="Calibri"/>
        </w:rPr>
        <w:t xml:space="preserve"> June 2023</w:t>
      </w:r>
    </w:p>
    <w:p w14:paraId="2CC7B236" w14:textId="11DA77A9" w:rsidR="008766B7" w:rsidRPr="001E7AA4" w:rsidRDefault="003633D8" w:rsidP="008766B7">
      <w:r w:rsidRPr="001E7AA4">
        <w:t xml:space="preserve">On behalf of Larissa Behrendt, Barney Glover, Jenny Macklin, Fiona Nash, Ben Rimmer </w:t>
      </w:r>
      <w:r w:rsidR="00632104" w:rsidRPr="001E7AA4">
        <w:t>and</w:t>
      </w:r>
      <w:r w:rsidRPr="001E7AA4">
        <w:t xml:space="preserve"> </w:t>
      </w:r>
      <w:r w:rsidR="005A03BA" w:rsidRPr="001E7AA4">
        <w:br/>
      </w:r>
      <w:r w:rsidRPr="001E7AA4">
        <w:t>Shemara Wikramanayake</w:t>
      </w:r>
    </w:p>
    <w:p w14:paraId="758677AB" w14:textId="42A9DE78" w:rsidR="007332E7" w:rsidRPr="001E7AA4" w:rsidRDefault="007332E7">
      <w:pPr>
        <w:spacing w:after="160"/>
        <w:rPr>
          <w:b/>
        </w:rPr>
      </w:pPr>
      <w:r w:rsidRPr="001E7AA4">
        <w:rPr>
          <w:b/>
        </w:rPr>
        <w:br w:type="page"/>
      </w:r>
    </w:p>
    <w:p w14:paraId="41CF1717" w14:textId="77777777" w:rsidR="00F14293" w:rsidRPr="00D71585" w:rsidRDefault="00F14293" w:rsidP="007D42CC">
      <w:pPr>
        <w:pStyle w:val="Heading2"/>
        <w:rPr>
          <w:i/>
        </w:rPr>
      </w:pPr>
      <w:bookmarkStart w:id="3" w:name="_Toc139028842"/>
      <w:bookmarkStart w:id="4" w:name="_Toc137829512"/>
      <w:bookmarkStart w:id="5" w:name="_Toc1063715398"/>
      <w:r w:rsidRPr="00D71585">
        <w:lastRenderedPageBreak/>
        <w:t xml:space="preserve">The Review story at a </w:t>
      </w:r>
      <w:r w:rsidRPr="007D42CC">
        <w:t>glance</w:t>
      </w:r>
      <w:r w:rsidRPr="00D71585">
        <w:t>…</w:t>
      </w:r>
      <w:bookmarkEnd w:id="3"/>
    </w:p>
    <w:p w14:paraId="52B3181E" w14:textId="42E87376" w:rsidR="007851AE" w:rsidRPr="001E7AA4" w:rsidRDefault="007851AE" w:rsidP="007851AE">
      <w:pPr>
        <w:spacing w:after="200" w:line="240" w:lineRule="auto"/>
        <w:rPr>
          <w:rFonts w:ascii="Times New Roman" w:hAnsi="Times New Roman" w:cs="Times New Roman"/>
          <w:sz w:val="24"/>
          <w:szCs w:val="24"/>
          <w:lang w:eastAsia="en-AU"/>
        </w:rPr>
      </w:pPr>
      <w:r w:rsidRPr="001E7AA4">
        <w:t xml:space="preserve">The Accord process that has driven </w:t>
      </w:r>
      <w:r w:rsidR="001B477B" w:rsidRPr="001E7AA4">
        <w:t>this Interim Report</w:t>
      </w:r>
      <w:r w:rsidRPr="001E7AA4">
        <w:t xml:space="preserve"> has been an important reminder of the fundamental public good of higher education. Higher education is transformative for individuals and for the nation, bringing countless social and economic benefits, as well as constituting one of our most crucial export industries. As the analysis in these pages demonstrates, there is simply no getting away from the stark fact that a high-quality and equitable higher education system is now essential.</w:t>
      </w:r>
    </w:p>
    <w:p w14:paraId="3BB11DA0" w14:textId="604E24B8" w:rsidR="007851AE" w:rsidRPr="001E7AA4" w:rsidRDefault="007851AE" w:rsidP="007851AE">
      <w:pPr>
        <w:spacing w:after="200" w:line="240" w:lineRule="auto"/>
        <w:rPr>
          <w:lang w:eastAsia="en-AU"/>
        </w:rPr>
      </w:pPr>
      <w:r w:rsidRPr="001E7AA4">
        <w:rPr>
          <w:lang w:eastAsia="en-AU"/>
        </w:rPr>
        <w:t xml:space="preserve">In February 2023 the </w:t>
      </w:r>
      <w:r w:rsidR="00B76CE5" w:rsidRPr="001E7AA4">
        <w:rPr>
          <w:lang w:eastAsia="en-AU"/>
        </w:rPr>
        <w:t>Review</w:t>
      </w:r>
      <w:r w:rsidRPr="001E7AA4">
        <w:rPr>
          <w:lang w:eastAsia="en-AU"/>
        </w:rPr>
        <w:t xml:space="preserve"> released a Discussion Paper that outlined the crucial role higher education must play if Australia is to achieve its full potential as an economy and society in the decades to come. To develop fresh ideas to advance this profoundly important objective</w:t>
      </w:r>
      <w:r w:rsidR="005B2514" w:rsidRPr="001E7AA4">
        <w:rPr>
          <w:lang w:eastAsia="en-AU"/>
        </w:rPr>
        <w:t>,</w:t>
      </w:r>
      <w:r w:rsidRPr="001E7AA4">
        <w:rPr>
          <w:lang w:eastAsia="en-AU"/>
        </w:rPr>
        <w:t xml:space="preserve"> the </w:t>
      </w:r>
      <w:r w:rsidR="00B76CE5" w:rsidRPr="001E7AA4">
        <w:rPr>
          <w:lang w:eastAsia="en-AU"/>
        </w:rPr>
        <w:t xml:space="preserve">Review has </w:t>
      </w:r>
      <w:r w:rsidRPr="001E7AA4">
        <w:rPr>
          <w:lang w:eastAsia="en-AU"/>
        </w:rPr>
        <w:t>met with stakeholders from across higher education and the broader tertiary sector, along with governments, businesses, community and professional groups. It also received more than 300 submissions. </w:t>
      </w:r>
      <w:r w:rsidR="00453F2D" w:rsidRPr="001E7AA4">
        <w:rPr>
          <w:lang w:eastAsia="en-AU"/>
        </w:rPr>
        <w:t>The Review</w:t>
      </w:r>
      <w:r w:rsidRPr="001E7AA4">
        <w:rPr>
          <w:lang w:eastAsia="en-AU"/>
        </w:rPr>
        <w:t xml:space="preserve"> ha</w:t>
      </w:r>
      <w:r w:rsidR="00453F2D" w:rsidRPr="001E7AA4">
        <w:rPr>
          <w:lang w:eastAsia="en-AU"/>
        </w:rPr>
        <w:t>s</w:t>
      </w:r>
      <w:r w:rsidRPr="001E7AA4">
        <w:rPr>
          <w:lang w:eastAsia="en-AU"/>
        </w:rPr>
        <w:t xml:space="preserve"> engaged with a range of experts, including Emeritus Professor Bruce Chapman AO, the architect of the Higher Education Contribution Scheme (HECS), who has been assisting and will continue to advise the </w:t>
      </w:r>
      <w:r w:rsidR="00453F2D" w:rsidRPr="001E7AA4">
        <w:rPr>
          <w:lang w:eastAsia="en-AU"/>
        </w:rPr>
        <w:t>Review</w:t>
      </w:r>
      <w:r w:rsidRPr="001E7AA4">
        <w:rPr>
          <w:lang w:eastAsia="en-AU"/>
        </w:rPr>
        <w:t xml:space="preserve">’s considerations in relation to funding and the Higher Education Loan Program (HELP).   </w:t>
      </w:r>
    </w:p>
    <w:p w14:paraId="40B5AE50" w14:textId="263F038B" w:rsidR="00F14293" w:rsidRPr="001E7AA4" w:rsidRDefault="0002240E" w:rsidP="00F14293">
      <w:r w:rsidRPr="001E7AA4">
        <w:t>This Interim Report</w:t>
      </w:r>
      <w:r w:rsidR="00F14293" w:rsidRPr="001E7AA4">
        <w:t xml:space="preserve"> calls for five modest, sensible priority actions to be considered immediately and lists a number of larger scale issues for further policy consideration</w:t>
      </w:r>
      <w:r w:rsidRPr="001E7AA4">
        <w:t xml:space="preserve"> which will be discussed in the Final Report in December.</w:t>
      </w:r>
    </w:p>
    <w:p w14:paraId="14ED0E8E" w14:textId="1FFC5EFC" w:rsidR="00F14293" w:rsidRPr="001E7AA4" w:rsidRDefault="00F14293" w:rsidP="00F14293">
      <w:pPr>
        <w:rPr>
          <w:lang w:eastAsia="en-AU"/>
        </w:rPr>
      </w:pPr>
      <w:r w:rsidRPr="001E7AA4">
        <w:t>It is strongly believed that a high-quality and equitable higher education system is now a must-have for Australia and there can be no room for complacency.</w:t>
      </w:r>
      <w:r w:rsidRPr="001E7AA4">
        <w:rPr>
          <w:lang w:eastAsia="en-AU"/>
        </w:rPr>
        <w:t xml:space="preserve"> To successfully tackle our big national priorities – including lifting economic productivity, making a clean energy transition, building a caring society, meeting the defence and security challenges of our region, and strengthening our democratic culture – our higher education sector must become much, much stronger. Scientists, engineers, qualified carers and others will be needed in larger numbers. So will cutting-edge research that can be more easily absorbed by </w:t>
      </w:r>
      <w:r w:rsidR="00F21941" w:rsidRPr="001E7AA4">
        <w:rPr>
          <w:lang w:eastAsia="en-AU"/>
        </w:rPr>
        <w:t xml:space="preserve">government and </w:t>
      </w:r>
      <w:r w:rsidRPr="001E7AA4">
        <w:rPr>
          <w:lang w:eastAsia="en-AU"/>
        </w:rPr>
        <w:t>industry.</w:t>
      </w:r>
    </w:p>
    <w:p w14:paraId="655408BE" w14:textId="77777777" w:rsidR="00F14293" w:rsidRPr="001E7AA4" w:rsidRDefault="00F14293" w:rsidP="00F14293">
      <w:pPr>
        <w:rPr>
          <w:lang w:eastAsia="en-AU"/>
        </w:rPr>
      </w:pPr>
      <w:r w:rsidRPr="001E7AA4">
        <w:rPr>
          <w:rFonts w:ascii="Calibri" w:hAnsi="Calibri" w:cs="Calibri"/>
          <w:color w:val="000000"/>
        </w:rPr>
        <w:t xml:space="preserve">The sector currently lacks the institutional resilience and ‘metabolic rate’ required for this vital task. So much needs to be done and </w:t>
      </w:r>
      <w:r w:rsidRPr="001E7AA4">
        <w:rPr>
          <w:rFonts w:ascii="Calibri" w:hAnsi="Calibri" w:cs="Calibri"/>
          <w:color w:val="000000" w:themeColor="text1"/>
        </w:rPr>
        <w:t>higher education policy must respond.</w:t>
      </w:r>
      <w:r w:rsidRPr="001E7AA4">
        <w:rPr>
          <w:lang w:eastAsia="en-AU"/>
        </w:rPr>
        <w:t xml:space="preserve"> System-wide change is essential and must get underway as soon as possible.</w:t>
      </w:r>
    </w:p>
    <w:p w14:paraId="63E052D6" w14:textId="77777777" w:rsidR="00F14293" w:rsidRPr="001E7AA4" w:rsidRDefault="00F14293" w:rsidP="00F14293">
      <w:pPr>
        <w:rPr>
          <w:lang w:eastAsia="en-AU"/>
        </w:rPr>
      </w:pPr>
      <w:r w:rsidRPr="001E7AA4">
        <w:rPr>
          <w:lang w:eastAsia="en-AU"/>
        </w:rPr>
        <w:t xml:space="preserve">Achieving success won’t be easy. Higher education is a big system and one whose direction is strongly contested. To be successful, change must have a predictable pathway that can unite stakeholders and be convincing to the wider population. </w:t>
      </w:r>
    </w:p>
    <w:p w14:paraId="2FD6D893" w14:textId="77777777" w:rsidR="00F14293" w:rsidRPr="001E7AA4" w:rsidRDefault="00F14293" w:rsidP="00F14293">
      <w:pPr>
        <w:rPr>
          <w:rFonts w:ascii="Calibri" w:eastAsia="Calibri" w:hAnsi="Calibri" w:cs="Calibri"/>
        </w:rPr>
      </w:pPr>
      <w:r w:rsidRPr="001E7AA4">
        <w:rPr>
          <w:rFonts w:ascii="Calibri" w:eastAsia="Calibri" w:hAnsi="Calibri" w:cs="Calibri"/>
        </w:rPr>
        <w:t xml:space="preserve">The overall goal of reform must be </w:t>
      </w:r>
      <w:r w:rsidRPr="001E7AA4">
        <w:rPr>
          <w:rFonts w:ascii="Calibri" w:eastAsia="Calibri" w:hAnsi="Calibri" w:cs="Calibri"/>
          <w:i/>
          <w:iCs/>
        </w:rPr>
        <w:t>growth for skills through greater equity</w:t>
      </w:r>
      <w:r w:rsidRPr="001E7AA4">
        <w:rPr>
          <w:rFonts w:ascii="Calibri" w:eastAsia="Calibri" w:hAnsi="Calibri" w:cs="Calibri"/>
        </w:rPr>
        <w:t xml:space="preserve">. </w:t>
      </w:r>
    </w:p>
    <w:p w14:paraId="603F4A67" w14:textId="6B0ED74B" w:rsidR="00F14293" w:rsidRPr="001E7AA4" w:rsidRDefault="00F14293" w:rsidP="00F14293">
      <w:pPr>
        <w:rPr>
          <w:rFonts w:ascii="Calibri" w:eastAsia="Calibri" w:hAnsi="Calibri" w:cs="Calibri"/>
        </w:rPr>
      </w:pPr>
      <w:r w:rsidRPr="001E7AA4">
        <w:rPr>
          <w:rFonts w:ascii="Calibri" w:eastAsia="Calibri" w:hAnsi="Calibri" w:cs="Calibri"/>
        </w:rPr>
        <w:t>Too few Australians are beginning and completing qualifications. While it is predicted that 90</w:t>
      </w:r>
      <w:r w:rsidR="00966DB2" w:rsidRPr="001E7AA4">
        <w:rPr>
          <w:rFonts w:ascii="Calibri" w:eastAsia="Calibri" w:hAnsi="Calibri" w:cs="Calibri"/>
        </w:rPr>
        <w:t>%</w:t>
      </w:r>
      <w:r w:rsidRPr="001E7AA4">
        <w:rPr>
          <w:rFonts w:ascii="Calibri" w:eastAsia="Calibri" w:hAnsi="Calibri" w:cs="Calibri"/>
        </w:rPr>
        <w:t xml:space="preserve"> of jobs created over the next five years will require a post-secondary qualification and 50</w:t>
      </w:r>
      <w:r w:rsidR="00966DB2" w:rsidRPr="001E7AA4">
        <w:rPr>
          <w:rFonts w:ascii="Calibri" w:eastAsia="Calibri" w:hAnsi="Calibri" w:cs="Calibri"/>
        </w:rPr>
        <w:t xml:space="preserve">% </w:t>
      </w:r>
      <w:r w:rsidRPr="001E7AA4">
        <w:rPr>
          <w:rFonts w:ascii="Calibri" w:eastAsia="Calibri" w:hAnsi="Calibri" w:cs="Calibri"/>
        </w:rPr>
        <w:t>a higher qualification, completions and demand for places are actually falling</w:t>
      </w:r>
      <w:r w:rsidR="00D863D4" w:rsidRPr="001E7AA4">
        <w:rPr>
          <w:rFonts w:ascii="Calibri" w:eastAsia="Calibri" w:hAnsi="Calibri" w:cs="Calibri"/>
        </w:rPr>
        <w:t>, with completions of a first bachelor degree</w:t>
      </w:r>
      <w:r w:rsidRPr="001E7AA4">
        <w:rPr>
          <w:rFonts w:ascii="Calibri" w:eastAsia="Calibri" w:hAnsi="Calibri" w:cs="Calibri"/>
        </w:rPr>
        <w:t xml:space="preserve"> at their lowest since 2014. This combined with existing skill</w:t>
      </w:r>
      <w:r w:rsidR="00760542" w:rsidRPr="001E7AA4">
        <w:rPr>
          <w:rFonts w:ascii="Calibri" w:eastAsia="Calibri" w:hAnsi="Calibri" w:cs="Calibri"/>
        </w:rPr>
        <w:t>s</w:t>
      </w:r>
      <w:r w:rsidRPr="001E7AA4">
        <w:rPr>
          <w:rFonts w:ascii="Calibri" w:eastAsia="Calibri" w:hAnsi="Calibri" w:cs="Calibri"/>
        </w:rPr>
        <w:t xml:space="preserve"> shortages means a sense of urgency for change is needed.</w:t>
      </w:r>
    </w:p>
    <w:p w14:paraId="7D39E531" w14:textId="23F7483A" w:rsidR="003B4AF5" w:rsidRPr="001E7AA4" w:rsidRDefault="003B4AF5" w:rsidP="003B4AF5">
      <w:pPr>
        <w:rPr>
          <w:rFonts w:ascii="Calibri" w:eastAsia="Times New Roman" w:hAnsi="Calibri" w:cs="Calibri"/>
          <w:color w:val="000000" w:themeColor="text1"/>
          <w:lang w:eastAsia="en-GB"/>
        </w:rPr>
      </w:pPr>
      <w:r w:rsidRPr="001E7AA4">
        <w:rPr>
          <w:rFonts w:ascii="Calibri" w:eastAsia="Calibri" w:hAnsi="Calibri" w:cs="Calibri"/>
        </w:rPr>
        <w:t xml:space="preserve">Setting and meeting more ambitious enrolment and equity targets will be crucial and will require a significant increase in the number of people enrolling in higher education. </w:t>
      </w:r>
      <w:r w:rsidR="00B70742" w:rsidRPr="001E7AA4">
        <w:rPr>
          <w:rFonts w:ascii="Calibri" w:eastAsia="Times New Roman" w:hAnsi="Calibri" w:cs="Calibri"/>
          <w:color w:val="000000" w:themeColor="text1"/>
          <w:lang w:eastAsia="en-GB"/>
        </w:rPr>
        <w:t xml:space="preserve">To </w:t>
      </w:r>
      <w:r w:rsidR="00F07779" w:rsidRPr="001E7AA4">
        <w:rPr>
          <w:rFonts w:ascii="Calibri" w:eastAsia="Times New Roman" w:hAnsi="Calibri" w:cs="Calibri"/>
          <w:color w:val="000000" w:themeColor="text1"/>
          <w:lang w:eastAsia="en-GB"/>
        </w:rPr>
        <w:t xml:space="preserve">achieve </w:t>
      </w:r>
      <w:r w:rsidR="003244B3" w:rsidRPr="001E7AA4">
        <w:rPr>
          <w:rFonts w:ascii="Calibri" w:eastAsia="Times New Roman" w:hAnsi="Calibri" w:cs="Calibri"/>
          <w:color w:val="000000" w:themeColor="text1"/>
          <w:lang w:eastAsia="en-GB"/>
        </w:rPr>
        <w:t xml:space="preserve">55% higher </w:t>
      </w:r>
      <w:r w:rsidR="003244B3" w:rsidRPr="001E7AA4">
        <w:rPr>
          <w:rFonts w:ascii="Calibri" w:eastAsia="Times New Roman" w:hAnsi="Calibri" w:cs="Calibri"/>
          <w:color w:val="000000" w:themeColor="text1"/>
          <w:lang w:eastAsia="en-GB"/>
        </w:rPr>
        <w:lastRenderedPageBreak/>
        <w:t xml:space="preserve">education </w:t>
      </w:r>
      <w:r w:rsidR="00B70742" w:rsidRPr="001E7AA4">
        <w:rPr>
          <w:rFonts w:ascii="Calibri" w:eastAsia="Times New Roman" w:hAnsi="Calibri" w:cs="Calibri"/>
          <w:color w:val="000000" w:themeColor="text1"/>
          <w:lang w:eastAsia="en-GB"/>
        </w:rPr>
        <w:t>attainment</w:t>
      </w:r>
      <w:r w:rsidR="00B775BE" w:rsidRPr="001E7AA4">
        <w:rPr>
          <w:rFonts w:ascii="Calibri" w:eastAsia="Times New Roman" w:hAnsi="Calibri" w:cs="Calibri"/>
          <w:color w:val="000000" w:themeColor="text1"/>
          <w:lang w:eastAsia="en-GB"/>
        </w:rPr>
        <w:t>,</w:t>
      </w:r>
      <w:r w:rsidR="00B70742" w:rsidRPr="001E7AA4">
        <w:rPr>
          <w:rFonts w:ascii="Calibri" w:eastAsia="Times New Roman" w:hAnsi="Calibri" w:cs="Calibri"/>
          <w:color w:val="000000" w:themeColor="text1"/>
          <w:lang w:eastAsia="en-GB"/>
        </w:rPr>
        <w:t xml:space="preserve"> we would</w:t>
      </w:r>
      <w:r w:rsidR="00B70742" w:rsidRPr="001E7AA4" w:rsidDel="00E935A8">
        <w:rPr>
          <w:rFonts w:ascii="Calibri" w:eastAsia="Times New Roman" w:hAnsi="Calibri" w:cs="Calibri"/>
          <w:color w:val="000000" w:themeColor="text1"/>
          <w:lang w:eastAsia="en-GB"/>
        </w:rPr>
        <w:t xml:space="preserve"> </w:t>
      </w:r>
      <w:r w:rsidR="00EF44F5" w:rsidRPr="001E7AA4">
        <w:rPr>
          <w:rFonts w:ascii="Calibri" w:eastAsia="Times New Roman" w:hAnsi="Calibri" w:cs="Calibri"/>
          <w:color w:val="000000" w:themeColor="text1"/>
          <w:lang w:eastAsia="en-GB"/>
        </w:rPr>
        <w:t xml:space="preserve">need around </w:t>
      </w:r>
      <w:r w:rsidR="00B70742" w:rsidRPr="001E7AA4">
        <w:rPr>
          <w:rFonts w:ascii="Calibri" w:eastAsia="Times New Roman" w:hAnsi="Calibri" w:cs="Calibri"/>
          <w:color w:val="000000" w:themeColor="text1"/>
          <w:lang w:eastAsia="en-GB"/>
        </w:rPr>
        <w:t>an additional 300,000</w:t>
      </w:r>
      <w:r w:rsidR="00EF44F5" w:rsidRPr="001E7AA4">
        <w:rPr>
          <w:rFonts w:ascii="Calibri" w:eastAsia="Times New Roman" w:hAnsi="Calibri" w:cs="Calibri"/>
          <w:color w:val="000000" w:themeColor="text1"/>
          <w:lang w:eastAsia="en-GB"/>
        </w:rPr>
        <w:t xml:space="preserve"> Commonwealth supported</w:t>
      </w:r>
      <w:r w:rsidR="00B70742" w:rsidRPr="001E7AA4">
        <w:rPr>
          <w:rFonts w:ascii="Calibri" w:eastAsia="Times New Roman" w:hAnsi="Calibri" w:cs="Calibri"/>
          <w:color w:val="000000" w:themeColor="text1"/>
          <w:lang w:eastAsia="en-GB"/>
        </w:rPr>
        <w:t xml:space="preserve"> students</w:t>
      </w:r>
      <w:r w:rsidR="00382328" w:rsidRPr="001E7AA4">
        <w:rPr>
          <w:rFonts w:ascii="Calibri" w:eastAsia="Times New Roman" w:hAnsi="Calibri" w:cs="Calibri"/>
          <w:color w:val="000000" w:themeColor="text1"/>
          <w:lang w:eastAsia="en-GB"/>
        </w:rPr>
        <w:t xml:space="preserve"> in</w:t>
      </w:r>
      <w:r w:rsidR="00B70742" w:rsidRPr="001E7AA4">
        <w:rPr>
          <w:rFonts w:ascii="Calibri" w:eastAsia="Times New Roman" w:hAnsi="Calibri" w:cs="Calibri"/>
          <w:color w:val="000000" w:themeColor="text1"/>
          <w:lang w:eastAsia="en-GB"/>
        </w:rPr>
        <w:t xml:space="preserve"> 2035 and an additional 900,000</w:t>
      </w:r>
      <w:r w:rsidR="00BA7830" w:rsidRPr="001E7AA4">
        <w:rPr>
          <w:rFonts w:ascii="Calibri" w:eastAsia="Times New Roman" w:hAnsi="Calibri" w:cs="Calibri"/>
          <w:color w:val="000000" w:themeColor="text1"/>
          <w:lang w:eastAsia="en-GB"/>
        </w:rPr>
        <w:t xml:space="preserve"> </w:t>
      </w:r>
      <w:r w:rsidR="00B775BE" w:rsidRPr="001E7AA4">
        <w:rPr>
          <w:rFonts w:ascii="Calibri" w:eastAsia="Times New Roman" w:hAnsi="Calibri" w:cs="Calibri"/>
          <w:color w:val="000000" w:themeColor="text1"/>
          <w:lang w:eastAsia="en-GB"/>
        </w:rPr>
        <w:t xml:space="preserve">Commonwealth </w:t>
      </w:r>
      <w:r w:rsidR="00A730A8" w:rsidRPr="001E7AA4">
        <w:rPr>
          <w:rFonts w:ascii="Calibri" w:eastAsia="Times New Roman" w:hAnsi="Calibri" w:cs="Calibri"/>
          <w:color w:val="000000" w:themeColor="text1"/>
          <w:lang w:eastAsia="en-GB"/>
        </w:rPr>
        <w:t xml:space="preserve">supported </w:t>
      </w:r>
      <w:r w:rsidR="00B70742" w:rsidRPr="001E7AA4">
        <w:rPr>
          <w:rFonts w:ascii="Calibri" w:eastAsia="Times New Roman" w:hAnsi="Calibri" w:cs="Calibri"/>
          <w:color w:val="000000" w:themeColor="text1"/>
          <w:lang w:eastAsia="en-GB"/>
        </w:rPr>
        <w:t xml:space="preserve">students </w:t>
      </w:r>
      <w:r w:rsidR="00A730A8" w:rsidRPr="001E7AA4">
        <w:rPr>
          <w:rFonts w:ascii="Calibri" w:eastAsia="Times New Roman" w:hAnsi="Calibri" w:cs="Calibri"/>
          <w:color w:val="000000" w:themeColor="text1"/>
          <w:lang w:eastAsia="en-GB"/>
        </w:rPr>
        <w:t>in</w:t>
      </w:r>
      <w:r w:rsidR="00B70742" w:rsidRPr="001E7AA4">
        <w:rPr>
          <w:rFonts w:ascii="Calibri" w:eastAsia="Times New Roman" w:hAnsi="Calibri" w:cs="Calibri"/>
          <w:color w:val="000000" w:themeColor="text1"/>
          <w:lang w:eastAsia="en-GB"/>
        </w:rPr>
        <w:t xml:space="preserve"> 2050</w:t>
      </w:r>
      <w:r w:rsidR="00B775BE" w:rsidRPr="001E7AA4">
        <w:rPr>
          <w:rFonts w:ascii="Calibri" w:eastAsia="Times New Roman" w:hAnsi="Calibri" w:cs="Calibri"/>
          <w:color w:val="000000" w:themeColor="text1"/>
          <w:lang w:eastAsia="en-GB"/>
        </w:rPr>
        <w:t>.</w:t>
      </w:r>
    </w:p>
    <w:p w14:paraId="311A72C0" w14:textId="609AAC3D" w:rsidR="003B4AF5" w:rsidRPr="001E7AA4" w:rsidRDefault="003B4AF5" w:rsidP="003B4AF5">
      <w:pPr>
        <w:rPr>
          <w:rFonts w:ascii="Calibri" w:eastAsia="Calibri" w:hAnsi="Calibri" w:cs="Calibri"/>
        </w:rPr>
      </w:pPr>
      <w:r w:rsidRPr="001E7AA4">
        <w:rPr>
          <w:rFonts w:ascii="Calibri" w:eastAsia="Calibri" w:hAnsi="Calibri" w:cs="Calibri"/>
        </w:rPr>
        <w:t>The answer lies in large part in increasing the higher education participation of Australians from underrepresented groups – including First Nations people, lower socio-economic groups, people with disabilit</w:t>
      </w:r>
      <w:r w:rsidR="00C212F4" w:rsidRPr="001E7AA4">
        <w:rPr>
          <w:rFonts w:ascii="Calibri" w:eastAsia="Calibri" w:hAnsi="Calibri" w:cs="Calibri"/>
        </w:rPr>
        <w:t>y</w:t>
      </w:r>
      <w:r w:rsidRPr="001E7AA4">
        <w:rPr>
          <w:rFonts w:ascii="Calibri" w:eastAsia="Calibri" w:hAnsi="Calibri" w:cs="Calibri"/>
        </w:rPr>
        <w:t xml:space="preserve"> and those from rural, remote and outer suburban communities. </w:t>
      </w:r>
      <w:r w:rsidR="001D2556" w:rsidRPr="001E7AA4">
        <w:rPr>
          <w:rFonts w:ascii="Calibri" w:eastAsia="Calibri" w:hAnsi="Calibri" w:cs="Calibri"/>
        </w:rPr>
        <w:t>To reach population parity, a</w:t>
      </w:r>
      <w:r w:rsidRPr="001E7AA4">
        <w:rPr>
          <w:rFonts w:ascii="Calibri" w:eastAsia="Calibri" w:hAnsi="Calibri" w:cs="Calibri"/>
        </w:rPr>
        <w:t>s much as 60% of th</w:t>
      </w:r>
      <w:r w:rsidR="00A730A8" w:rsidRPr="001E7AA4">
        <w:rPr>
          <w:rFonts w:ascii="Calibri" w:eastAsia="Calibri" w:hAnsi="Calibri" w:cs="Calibri"/>
        </w:rPr>
        <w:t xml:space="preserve">is </w:t>
      </w:r>
      <w:r w:rsidR="001D2556" w:rsidRPr="001E7AA4">
        <w:rPr>
          <w:rFonts w:ascii="Calibri" w:eastAsia="Calibri" w:hAnsi="Calibri" w:cs="Calibri"/>
        </w:rPr>
        <w:t>future</w:t>
      </w:r>
      <w:r w:rsidRPr="001E7AA4">
        <w:rPr>
          <w:rFonts w:ascii="Calibri" w:eastAsia="Calibri" w:hAnsi="Calibri" w:cs="Calibri"/>
        </w:rPr>
        <w:t xml:space="preserve"> enrolment increase</w:t>
      </w:r>
      <w:r w:rsidR="001D2556" w:rsidRPr="001E7AA4">
        <w:rPr>
          <w:rFonts w:ascii="Calibri" w:eastAsia="Calibri" w:hAnsi="Calibri" w:cs="Calibri"/>
        </w:rPr>
        <w:t xml:space="preserve"> in 2035</w:t>
      </w:r>
      <w:r w:rsidRPr="001E7AA4">
        <w:rPr>
          <w:rFonts w:ascii="Calibri" w:eastAsia="Calibri" w:hAnsi="Calibri" w:cs="Calibri"/>
        </w:rPr>
        <w:t xml:space="preserve"> </w:t>
      </w:r>
      <w:r w:rsidR="001D2556" w:rsidRPr="001E7AA4">
        <w:rPr>
          <w:rFonts w:ascii="Calibri" w:eastAsia="Calibri" w:hAnsi="Calibri" w:cs="Calibri"/>
        </w:rPr>
        <w:t>would</w:t>
      </w:r>
      <w:r w:rsidRPr="001E7AA4">
        <w:rPr>
          <w:rFonts w:ascii="Calibri" w:eastAsia="Calibri" w:hAnsi="Calibri" w:cs="Calibri"/>
        </w:rPr>
        <w:t xml:space="preserve"> need to come from these equity groups.</w:t>
      </w:r>
    </w:p>
    <w:p w14:paraId="1E3661BE" w14:textId="5AF4EDA9" w:rsidR="00F14293" w:rsidRPr="001E7AA4" w:rsidRDefault="00F14293" w:rsidP="00F14293">
      <w:r w:rsidRPr="001E7AA4">
        <w:rPr>
          <w:rFonts w:ascii="Calibri" w:eastAsia="Calibri" w:hAnsi="Calibri" w:cs="Calibri"/>
        </w:rPr>
        <w:t>It also lies in removing disincentives to higher study,</w:t>
      </w:r>
      <w:r w:rsidR="0002240E" w:rsidRPr="001E7AA4">
        <w:rPr>
          <w:rFonts w:ascii="Calibri" w:eastAsia="Calibri" w:hAnsi="Calibri" w:cs="Calibri"/>
        </w:rPr>
        <w:t xml:space="preserve"> and the Review believes changes to </w:t>
      </w:r>
      <w:r w:rsidRPr="001E7AA4">
        <w:t>student contribution amounts and HELP repayment arrangements</w:t>
      </w:r>
      <w:r w:rsidR="0002240E" w:rsidRPr="001E7AA4">
        <w:t xml:space="preserve"> are worthy of examination, as is doing more to </w:t>
      </w:r>
      <w:r w:rsidRPr="001E7AA4">
        <w:t>mak</w:t>
      </w:r>
      <w:r w:rsidR="0002240E" w:rsidRPr="001E7AA4">
        <w:t>e</w:t>
      </w:r>
      <w:r w:rsidRPr="001E7AA4">
        <w:t xml:space="preserve"> campuses safer places for students. As a starting point, the Job-ready </w:t>
      </w:r>
      <w:r w:rsidR="0041074D" w:rsidRPr="001E7AA4">
        <w:t xml:space="preserve">Graduates </w:t>
      </w:r>
      <w:r w:rsidR="006477CE" w:rsidRPr="001E7AA4">
        <w:t>(JRG) p</w:t>
      </w:r>
      <w:r w:rsidRPr="001E7AA4">
        <w:t>ackage needs to be redesigned before it causes long-term damage to Australian higher education by increasing the cost of gaining a qualification and penalising equity groups through its unfair and unnecessary 50</w:t>
      </w:r>
      <w:r w:rsidR="00966DB2" w:rsidRPr="001E7AA4">
        <w:t>%</w:t>
      </w:r>
      <w:r w:rsidR="0002240E" w:rsidRPr="001E7AA4">
        <w:t xml:space="preserve"> </w:t>
      </w:r>
      <w:r w:rsidR="00FB7C26" w:rsidRPr="001E7AA4">
        <w:t xml:space="preserve">pass </w:t>
      </w:r>
      <w:r w:rsidRPr="001E7AA4">
        <w:t>rule.</w:t>
      </w:r>
    </w:p>
    <w:p w14:paraId="27506920" w14:textId="30E3A35D" w:rsidR="00F14293" w:rsidRPr="001E7AA4" w:rsidRDefault="00F14293" w:rsidP="26EBB481">
      <w:pPr>
        <w:rPr>
          <w:rFonts w:ascii="Calibri" w:eastAsia="Calibri" w:hAnsi="Calibri" w:cs="Calibri"/>
        </w:rPr>
      </w:pPr>
      <w:r w:rsidRPr="001E7AA4">
        <w:rPr>
          <w:rFonts w:ascii="Calibri" w:eastAsia="Calibri" w:hAnsi="Calibri" w:cs="Calibri"/>
        </w:rPr>
        <w:t xml:space="preserve">The potential for a student-centred, needs-based funding model (similar to that used for determining school funding) to encourage institutions to seek out currently underrepresented groups of </w:t>
      </w:r>
      <w:r w:rsidR="00B80197" w:rsidRPr="001E7AA4">
        <w:rPr>
          <w:rFonts w:ascii="Calibri" w:eastAsia="Calibri" w:hAnsi="Calibri" w:cs="Calibri"/>
        </w:rPr>
        <w:t>students should</w:t>
      </w:r>
      <w:r w:rsidRPr="001E7AA4">
        <w:rPr>
          <w:rFonts w:ascii="Calibri" w:eastAsia="Calibri" w:hAnsi="Calibri" w:cs="Calibri"/>
        </w:rPr>
        <w:t xml:space="preserve"> also be explored. </w:t>
      </w:r>
    </w:p>
    <w:p w14:paraId="52DDC5D1" w14:textId="7C3AF221" w:rsidR="00F14293" w:rsidRPr="001E7AA4" w:rsidRDefault="00F14293" w:rsidP="00F14293">
      <w:r w:rsidRPr="001E7AA4">
        <w:t xml:space="preserve">While the measured standard of university teaching remains high, questions were raised about the quality of the teaching some domestic and international students are receiving. Greater priority must therefore be given to educational development and experimentation to produce more student-focused teaching. Across the world, teaching and learning are undergoing a profound shift, including a trend towards </w:t>
      </w:r>
      <w:r w:rsidR="00BD0689" w:rsidRPr="001E7AA4">
        <w:t>more</w:t>
      </w:r>
      <w:r w:rsidRPr="001E7AA4">
        <w:t xml:space="preserve"> online learning and more affordable courses, like microcredentials, tightly tailored to individual student need. Australia should be at the forefront of such developments. </w:t>
      </w:r>
    </w:p>
    <w:p w14:paraId="20FAD0EC" w14:textId="77777777" w:rsidR="00F14293" w:rsidRPr="001E7AA4" w:rsidRDefault="00F14293" w:rsidP="00F14293">
      <w:r w:rsidRPr="001E7AA4">
        <w:t>The Review sees international education less as an industry and more as a crucial element of Australia’s soft diplomacy, regional prosperity and development. This makes the quality of the education we provide even more important.</w:t>
      </w:r>
    </w:p>
    <w:p w14:paraId="512DBA16" w14:textId="7C67E5DA" w:rsidR="00F14293" w:rsidRPr="001E7AA4" w:rsidRDefault="00F14293" w:rsidP="00F14293">
      <w:r w:rsidRPr="001E7AA4">
        <w:t>University research, which accounts for 36</w:t>
      </w:r>
      <w:r w:rsidR="00F97727" w:rsidRPr="001E7AA4">
        <w:t>%</w:t>
      </w:r>
      <w:r w:rsidRPr="001E7AA4">
        <w:t xml:space="preserve"> of Australia’s overall research and development (R&amp;D) output, has become too reliant on uncertain international student funding and needs to be put on a sounder and more predictable footing. The JRG package has also reduced the funding available for research, adding another reason to replace it with something better.</w:t>
      </w:r>
    </w:p>
    <w:p w14:paraId="6248BB5A" w14:textId="77777777" w:rsidR="00F14293" w:rsidRPr="001E7AA4" w:rsidRDefault="00F14293" w:rsidP="00F14293">
      <w:pPr>
        <w:rPr>
          <w:rFonts w:ascii="Calibri" w:eastAsia="Calibri" w:hAnsi="Calibri" w:cs="Calibri"/>
        </w:rPr>
      </w:pPr>
      <w:r w:rsidRPr="001E7AA4">
        <w:t>Our higher education system itself may need to look different in the future.</w:t>
      </w:r>
    </w:p>
    <w:p w14:paraId="1B4851FA" w14:textId="7FFAF850" w:rsidR="00F14293" w:rsidRPr="001E7AA4" w:rsidRDefault="1046C642" w:rsidP="00F14293">
      <w:r w:rsidRPr="001E7AA4">
        <w:t xml:space="preserve">It is the Review’s belief that Australian higher education would benefit from having a wider range of </w:t>
      </w:r>
      <w:r w:rsidR="1782B6D1" w:rsidRPr="001E7AA4">
        <w:t>complementary</w:t>
      </w:r>
      <w:r w:rsidRPr="001E7AA4">
        <w:t xml:space="preserve"> institutions differentiated by their unique missions. We need to create more innovation and diversity between institutions by expanding the scope of mission-based compacts and possible mission-based funding for universities and exploring the creation of a second ‘national university’ – a National Regional University – plus innovative university study centres with the task of attracting and making it easier for more Australians from rural, remote and outer suburban communities to study at university.</w:t>
      </w:r>
    </w:p>
    <w:p w14:paraId="407D94F9" w14:textId="74E1A5D5" w:rsidR="00F14293" w:rsidRPr="001E7AA4" w:rsidRDefault="1046C642" w:rsidP="00F14293">
      <w:r w:rsidRPr="001E7AA4">
        <w:t xml:space="preserve">To oversee these big changes to Australia’s higher education system, the Review </w:t>
      </w:r>
      <w:r w:rsidR="0AF47ED5" w:rsidRPr="001E7AA4">
        <w:t>suggests G</w:t>
      </w:r>
      <w:r w:rsidRPr="001E7AA4">
        <w:t xml:space="preserve">overnment explore the possible merits of re-establishing a Tertiary Education Commission and how </w:t>
      </w:r>
      <w:r w:rsidRPr="001E7AA4">
        <w:lastRenderedPageBreak/>
        <w:t xml:space="preserve">it might work. And to help </w:t>
      </w:r>
      <w:r w:rsidR="008D5D13" w:rsidRPr="001E7AA4">
        <w:t>c</w:t>
      </w:r>
      <w:r w:rsidRPr="001E7AA4">
        <w:t xml:space="preserve">lose the </w:t>
      </w:r>
      <w:r w:rsidR="008D5D13" w:rsidRPr="001E7AA4">
        <w:t>g</w:t>
      </w:r>
      <w:r w:rsidRPr="001E7AA4">
        <w:t>ap in First Nations participation in higher education, consideration should also be given to the creation of a First Nations Higher Education Council.</w:t>
      </w:r>
    </w:p>
    <w:p w14:paraId="2CC8F44B" w14:textId="19FF0C93" w:rsidR="00F14293" w:rsidRPr="001E7AA4" w:rsidRDefault="00F14293" w:rsidP="00F14293">
      <w:r w:rsidRPr="001E7AA4">
        <w:t>University governance could also be improved by drawing more members of governance bodies from people who deeply understand the functions of universities. One big priority of university governance should be making universities better employers, especially following recent s</w:t>
      </w:r>
      <w:r w:rsidR="008C3091" w:rsidRPr="001E7AA4">
        <w:t xml:space="preserve">erious incidents related to underpayment </w:t>
      </w:r>
      <w:r w:rsidRPr="001E7AA4">
        <w:t>and insecure employment of academic staff.</w:t>
      </w:r>
    </w:p>
    <w:p w14:paraId="0CB6BD2D" w14:textId="77777777" w:rsidR="00D528A2" w:rsidRPr="001E7AA4" w:rsidRDefault="00D528A2" w:rsidP="00D528A2">
      <w:pPr>
        <w:spacing w:before="200" w:after="200" w:line="240" w:lineRule="auto"/>
        <w:textAlignment w:val="baseline"/>
        <w:rPr>
          <w:rFonts w:ascii="Calibri" w:hAnsi="Calibri" w:cs="Calibri"/>
        </w:rPr>
      </w:pPr>
      <w:bookmarkStart w:id="6" w:name="_Hlk138608348"/>
      <w:r w:rsidRPr="001E7AA4">
        <w:rPr>
          <w:rFonts w:ascii="Calibri" w:hAnsi="Calibri" w:cs="Calibri"/>
        </w:rPr>
        <w:t>The analysis and possible ways forward identified in this report are designed to stimulate discussion and debate. The Review invites feedback and insights through a further submissions process, to help refine directions for change and to ensure that the Review’s final recommendations achieve the best possible outcomes for the future.</w:t>
      </w:r>
    </w:p>
    <w:p w14:paraId="57F6F906" w14:textId="68921F7E" w:rsidR="00CF1492" w:rsidRPr="001E7AA4" w:rsidRDefault="00CF1492" w:rsidP="00CF1492">
      <w:pPr>
        <w:spacing w:before="200" w:after="200" w:line="240" w:lineRule="auto"/>
        <w:textAlignment w:val="baseline"/>
        <w:rPr>
          <w:lang w:eastAsia="en-AU"/>
        </w:rPr>
      </w:pPr>
      <w:r w:rsidRPr="001E7AA4">
        <w:rPr>
          <w:lang w:eastAsia="en-AU"/>
        </w:rPr>
        <w:t>Th</w:t>
      </w:r>
      <w:r w:rsidR="007E79D0" w:rsidRPr="001E7AA4">
        <w:rPr>
          <w:lang w:eastAsia="en-AU"/>
        </w:rPr>
        <w:t>erefore, th</w:t>
      </w:r>
      <w:r w:rsidR="009466FB" w:rsidRPr="001E7AA4">
        <w:rPr>
          <w:lang w:eastAsia="en-AU"/>
        </w:rPr>
        <w:t>is</w:t>
      </w:r>
      <w:r w:rsidRPr="001E7AA4">
        <w:rPr>
          <w:lang w:eastAsia="en-AU"/>
        </w:rPr>
        <w:t xml:space="preserve"> Interim </w:t>
      </w:r>
      <w:r w:rsidR="009466FB" w:rsidRPr="001E7AA4">
        <w:rPr>
          <w:lang w:eastAsia="en-AU"/>
        </w:rPr>
        <w:t>Report, and the</w:t>
      </w:r>
      <w:r w:rsidR="007E79D0" w:rsidRPr="001E7AA4">
        <w:rPr>
          <w:lang w:eastAsia="en-AU"/>
        </w:rPr>
        <w:t xml:space="preserve"> Final Report</w:t>
      </w:r>
      <w:r w:rsidR="009466FB" w:rsidRPr="001E7AA4">
        <w:rPr>
          <w:lang w:eastAsia="en-AU"/>
        </w:rPr>
        <w:t>,</w:t>
      </w:r>
      <w:r w:rsidR="007E79D0" w:rsidRPr="001E7AA4">
        <w:rPr>
          <w:lang w:eastAsia="en-AU"/>
        </w:rPr>
        <w:t xml:space="preserve"> </w:t>
      </w:r>
      <w:r w:rsidR="009466FB" w:rsidRPr="001E7AA4">
        <w:rPr>
          <w:lang w:eastAsia="en-AU"/>
        </w:rPr>
        <w:t xml:space="preserve">of the Review </w:t>
      </w:r>
      <w:r w:rsidRPr="001E7AA4">
        <w:rPr>
          <w:lang w:eastAsia="en-AU"/>
        </w:rPr>
        <w:t xml:space="preserve">should be seen as a platform </w:t>
      </w:r>
      <w:r w:rsidR="00945C97" w:rsidRPr="001E7AA4">
        <w:rPr>
          <w:lang w:eastAsia="en-AU"/>
        </w:rPr>
        <w:t xml:space="preserve">for the Accord </w:t>
      </w:r>
      <w:r w:rsidR="001E7C4E" w:rsidRPr="001E7AA4">
        <w:rPr>
          <w:lang w:eastAsia="en-AU"/>
        </w:rPr>
        <w:t>p</w:t>
      </w:r>
      <w:r w:rsidR="00945C97" w:rsidRPr="001E7AA4">
        <w:rPr>
          <w:lang w:eastAsia="en-AU"/>
        </w:rPr>
        <w:t>rocess</w:t>
      </w:r>
      <w:r w:rsidR="008A1CE7" w:rsidRPr="001E7AA4">
        <w:rPr>
          <w:lang w:eastAsia="en-AU"/>
        </w:rPr>
        <w:t xml:space="preserve"> </w:t>
      </w:r>
      <w:r w:rsidRPr="001E7AA4">
        <w:rPr>
          <w:lang w:eastAsia="en-AU"/>
        </w:rPr>
        <w:t xml:space="preserve">to </w:t>
      </w:r>
      <w:r w:rsidR="008A1CE7" w:rsidRPr="001E7AA4">
        <w:rPr>
          <w:lang w:eastAsia="en-AU"/>
        </w:rPr>
        <w:t>build</w:t>
      </w:r>
      <w:r w:rsidRPr="001E7AA4">
        <w:rPr>
          <w:lang w:eastAsia="en-AU"/>
        </w:rPr>
        <w:t xml:space="preserve"> consensus for change across the whole spectrum of higher education in ways that will benefit all Australians</w:t>
      </w:r>
      <w:r w:rsidR="00034F3D" w:rsidRPr="001E7AA4">
        <w:rPr>
          <w:lang w:eastAsia="en-AU"/>
        </w:rPr>
        <w:t xml:space="preserve"> well into the future</w:t>
      </w:r>
      <w:r w:rsidRPr="001E7AA4">
        <w:rPr>
          <w:lang w:eastAsia="en-AU"/>
        </w:rPr>
        <w:t xml:space="preserve">. </w:t>
      </w:r>
    </w:p>
    <w:bookmarkEnd w:id="6"/>
    <w:p w14:paraId="1707F7BF" w14:textId="5430F336" w:rsidR="006A4CF6" w:rsidRPr="001E7AA4" w:rsidRDefault="006A4CF6" w:rsidP="006A4CF6">
      <w:pPr>
        <w:spacing w:after="200" w:line="240" w:lineRule="auto"/>
        <w:rPr>
          <w:rFonts w:ascii="Calibri" w:eastAsia="Calibri" w:hAnsi="Calibri" w:cs="Calibri"/>
        </w:rPr>
      </w:pPr>
      <w:r w:rsidRPr="001E7AA4">
        <w:rPr>
          <w:rFonts w:ascii="Calibri" w:eastAsia="Calibri" w:hAnsi="Calibri" w:cs="Calibri"/>
        </w:rPr>
        <w:t>The Review thanks all those who have assisted its deliberations or made submissions. It also thanks the Accord Taskforce in the Department of Education for its energetic and diligent support.</w:t>
      </w:r>
    </w:p>
    <w:p w14:paraId="27B80FD0" w14:textId="74EF3BD3" w:rsidR="006A4CF6" w:rsidRPr="001E7AA4" w:rsidRDefault="00B76CE5" w:rsidP="006A4CF6">
      <w:pPr>
        <w:pStyle w:val="NormalWeb"/>
        <w:spacing w:before="0" w:beforeAutospacing="0" w:after="200" w:afterAutospacing="0"/>
        <w:rPr>
          <w:rFonts w:ascii="Calibri" w:hAnsi="Calibri" w:cs="Calibri"/>
          <w:sz w:val="22"/>
          <w:szCs w:val="22"/>
        </w:rPr>
      </w:pPr>
      <w:r w:rsidRPr="001E7AA4">
        <w:rPr>
          <w:rFonts w:ascii="Calibri" w:hAnsi="Calibri" w:cs="Calibri"/>
          <w:sz w:val="22"/>
          <w:szCs w:val="22"/>
        </w:rPr>
        <w:t>The Review</w:t>
      </w:r>
      <w:r w:rsidR="006A4CF6" w:rsidRPr="001E7AA4">
        <w:rPr>
          <w:rFonts w:ascii="Calibri" w:hAnsi="Calibri" w:cs="Calibri"/>
          <w:sz w:val="22"/>
          <w:szCs w:val="22"/>
        </w:rPr>
        <w:t xml:space="preserve"> will deliver a Final Report in December 2023.</w:t>
      </w:r>
    </w:p>
    <w:p w14:paraId="0A017DFE" w14:textId="2BC854A0" w:rsidR="00F14293" w:rsidRPr="00547E97" w:rsidRDefault="006A4CF6" w:rsidP="00547E97">
      <w:pPr>
        <w:keepLines/>
        <w:spacing w:before="6480" w:after="120" w:line="276" w:lineRule="auto"/>
        <w:rPr>
          <w:rFonts w:ascii="Calibri" w:eastAsia="Calibri" w:hAnsi="Calibri" w:cs="Calibri"/>
          <w:i/>
        </w:rPr>
      </w:pPr>
      <w:r w:rsidRPr="001E7AA4">
        <w:rPr>
          <w:rFonts w:ascii="Calibri" w:eastAsia="Calibri" w:hAnsi="Calibri" w:cs="Calibri"/>
          <w:i/>
          <w:iCs/>
        </w:rPr>
        <w:t xml:space="preserve">The Review acknowledges the Traditional Owners of the lands and waters on which Australians live, work and study, and pays respects to their Elders, past, present and emerging. Australia’s First Nations peoples are the custodians of the world’s oldest continuous cultures of learning and the passing down of knowledge. </w:t>
      </w:r>
      <w:r w:rsidRPr="001E7AA4">
        <w:rPr>
          <w:rFonts w:ascii="Calibri" w:eastAsia="Calibri" w:hAnsi="Calibri" w:cs="Calibri"/>
          <w:i/>
        </w:rPr>
        <w:t xml:space="preserve">The Review also acknowledges the determination of First Nations leaders over generations to ensure that higher education is accessible to First Nations people, reflects knowledges and law, and supports research led by First Nations people about their community, land and </w:t>
      </w:r>
      <w:r w:rsidRPr="001E7AA4">
        <w:rPr>
          <w:rFonts w:ascii="Calibri" w:eastAsia="Calibri" w:hAnsi="Calibri" w:cs="Calibri"/>
          <w:i/>
          <w:iCs/>
        </w:rPr>
        <w:t>culture.</w:t>
      </w:r>
      <w:r w:rsidR="00F14293" w:rsidRPr="001E7AA4">
        <w:br w:type="page"/>
      </w:r>
    </w:p>
    <w:p w14:paraId="31831C79" w14:textId="56A81A30" w:rsidR="004459C7" w:rsidRPr="00E539BB" w:rsidRDefault="2258BFA1" w:rsidP="001D56F3">
      <w:pPr>
        <w:pStyle w:val="Heading2"/>
        <w:rPr>
          <w:i/>
          <w:iCs/>
        </w:rPr>
      </w:pPr>
      <w:bookmarkStart w:id="7" w:name="_Toc139028843"/>
      <w:r w:rsidRPr="00E539BB">
        <w:rPr>
          <w:iCs/>
        </w:rPr>
        <w:lastRenderedPageBreak/>
        <w:t>Executive Summary</w:t>
      </w:r>
      <w:bookmarkEnd w:id="4"/>
      <w:bookmarkEnd w:id="5"/>
      <w:bookmarkEnd w:id="7"/>
    </w:p>
    <w:p w14:paraId="6B6D83BF" w14:textId="143E0052" w:rsidR="004459C7" w:rsidRPr="00F77051" w:rsidRDefault="2258BFA1" w:rsidP="00547E97">
      <w:pPr>
        <w:pStyle w:val="Heading3"/>
        <w:rPr>
          <w:rFonts w:cs="Calibri"/>
          <w:b w:val="0"/>
          <w:bCs/>
          <w:i/>
          <w:color w:val="000000"/>
        </w:rPr>
      </w:pPr>
      <w:bookmarkStart w:id="8" w:name="_Toc137829513"/>
      <w:bookmarkStart w:id="9" w:name="_Toc1182560803"/>
      <w:bookmarkStart w:id="10" w:name="_Toc139028844"/>
      <w:r w:rsidRPr="00F77051">
        <w:rPr>
          <w:b w:val="0"/>
          <w:bCs/>
        </w:rPr>
        <w:t xml:space="preserve">Why this </w:t>
      </w:r>
      <w:r w:rsidR="663943FD" w:rsidRPr="00F77051">
        <w:rPr>
          <w:b w:val="0"/>
          <w:bCs/>
        </w:rPr>
        <w:t>R</w:t>
      </w:r>
      <w:r w:rsidRPr="00F77051">
        <w:rPr>
          <w:b w:val="0"/>
          <w:bCs/>
        </w:rPr>
        <w:t>eview?</w:t>
      </w:r>
      <w:bookmarkEnd w:id="8"/>
      <w:bookmarkEnd w:id="9"/>
      <w:bookmarkEnd w:id="10"/>
    </w:p>
    <w:p w14:paraId="52F2F868" w14:textId="3104BEB7" w:rsidR="004459C7" w:rsidRPr="001E7AA4" w:rsidRDefault="004459C7" w:rsidP="004459C7">
      <w:pPr>
        <w:spacing w:line="240" w:lineRule="auto"/>
        <w:rPr>
          <w:rFonts w:ascii="Calibri" w:hAnsi="Calibri" w:cs="Calibri"/>
          <w:color w:val="000000"/>
        </w:rPr>
      </w:pPr>
      <w:r w:rsidRPr="001E7AA4">
        <w:rPr>
          <w:rFonts w:ascii="Calibri" w:hAnsi="Calibri" w:cs="Calibri"/>
          <w:color w:val="000000"/>
        </w:rPr>
        <w:t xml:space="preserve">We live in an era of profound intellectual, technological, economic and cultural change, in which complacency is dangerous and our egalitarian values need to be defended and renewed. In this environment, higher education is our best asset. It transforms lives and underpins our nation’s wellbeing and security. It delivers education, research, community engagement and industrial capability. It powers social mobility, economic prosperity, security, creativity and innovation. It helps us understand the central place of First Nations people in our history – through the generous sharing of their knowledge, language, culture and sense of community and place. Higher </w:t>
      </w:r>
      <w:r w:rsidR="00BB0A8B" w:rsidRPr="001E7AA4">
        <w:rPr>
          <w:rFonts w:ascii="Calibri" w:hAnsi="Calibri" w:cs="Calibri"/>
          <w:color w:val="000000"/>
        </w:rPr>
        <w:t>e</w:t>
      </w:r>
      <w:r w:rsidRPr="001E7AA4">
        <w:rPr>
          <w:rFonts w:ascii="Calibri" w:hAnsi="Calibri" w:cs="Calibri"/>
          <w:color w:val="000000"/>
        </w:rPr>
        <w:t xml:space="preserve">ducation does all this and more by creating new knowledge, dispersing it widely and applying it to the many welcome and unwelcome challenges that confront us. </w:t>
      </w:r>
    </w:p>
    <w:p w14:paraId="1B7A0F3F" w14:textId="4C6F9F94" w:rsidR="004459C7" w:rsidRPr="001E7AA4" w:rsidRDefault="004459C7" w:rsidP="004459C7">
      <w:pPr>
        <w:spacing w:line="240" w:lineRule="auto"/>
        <w:rPr>
          <w:lang w:eastAsia="en-AU"/>
        </w:rPr>
      </w:pPr>
      <w:r w:rsidRPr="001E7AA4">
        <w:rPr>
          <w:rFonts w:ascii="Calibri" w:hAnsi="Calibri" w:cs="Calibri"/>
          <w:color w:val="000000"/>
        </w:rPr>
        <w:t>Higher education’s mission is to make a better future possible for Australia.</w:t>
      </w:r>
    </w:p>
    <w:p w14:paraId="34A7957E" w14:textId="7688D6CA" w:rsidR="004459C7" w:rsidRDefault="004459C7" w:rsidP="004459C7">
      <w:pPr>
        <w:spacing w:line="240" w:lineRule="auto"/>
        <w:rPr>
          <w:rFonts w:ascii="Calibri" w:hAnsi="Calibri" w:cs="Calibri"/>
          <w:color w:val="000000" w:themeColor="text1"/>
        </w:rPr>
      </w:pPr>
      <w:r w:rsidRPr="001E7AA4">
        <w:rPr>
          <w:rFonts w:ascii="Calibri" w:hAnsi="Calibri" w:cs="Calibri"/>
          <w:color w:val="000000" w:themeColor="text1"/>
        </w:rPr>
        <w:t xml:space="preserve">How does it do this? It empowers Australians to pursue productive, creative </w:t>
      </w:r>
      <w:r w:rsidR="00AF3D34" w:rsidRPr="001E7AA4">
        <w:rPr>
          <w:rFonts w:ascii="Calibri" w:hAnsi="Calibri" w:cs="Calibri"/>
          <w:color w:val="000000" w:themeColor="text1"/>
        </w:rPr>
        <w:t xml:space="preserve">and </w:t>
      </w:r>
      <w:r w:rsidRPr="001E7AA4">
        <w:rPr>
          <w:rFonts w:ascii="Calibri" w:hAnsi="Calibri" w:cs="Calibri"/>
          <w:color w:val="000000" w:themeColor="text1"/>
        </w:rPr>
        <w:t xml:space="preserve">caring work that utilises the best available knowledge and skills; it allows Australian-created knowledge to play a useful part in the world’s affairs; and it equips Australian industries and governments to build a secure, innovative, productive and inclusive economy. Just as a university degree leads to higher average wages and wider opportunities for individuals, it leads to increased prosperity and social cohesion for our country. </w:t>
      </w:r>
    </w:p>
    <w:p w14:paraId="5D62CE5D" w14:textId="5D29504C" w:rsidR="00047A1D" w:rsidRDefault="00047A1D" w:rsidP="00047A1D">
      <w:pPr>
        <w:pStyle w:val="Pulloutboxes"/>
      </w:pPr>
      <w:r w:rsidRPr="00E86EC1">
        <w:t>A high-quality and equitable higher education system is now essential for Australia.</w:t>
      </w:r>
    </w:p>
    <w:p w14:paraId="0F455BA1" w14:textId="14FA6A39" w:rsidR="004459C7" w:rsidRPr="001E7AA4" w:rsidRDefault="004459C7" w:rsidP="004459C7">
      <w:pPr>
        <w:spacing w:line="240" w:lineRule="auto"/>
        <w:rPr>
          <w:rFonts w:ascii="Calibri" w:hAnsi="Calibri" w:cs="Calibri"/>
          <w:color w:val="000000"/>
        </w:rPr>
      </w:pPr>
      <w:r w:rsidRPr="001E7AA4">
        <w:rPr>
          <w:rFonts w:ascii="Calibri" w:hAnsi="Calibri" w:cs="Calibri"/>
          <w:color w:val="000000"/>
        </w:rPr>
        <w:t xml:space="preserve">Australian universities and other higher education providers are high performing, enduring and capable organisations. They educate a sizeable proportion of our population and undertake research on a globally significant scale. The sector is characterised by excellence, talent and commitment from staff, students and university leaders. But in this rapidly changing world, in which higher education gains new importance every day, there can be no room for </w:t>
      </w:r>
      <w:r w:rsidR="00CA2750" w:rsidRPr="001E7AA4">
        <w:rPr>
          <w:rFonts w:ascii="Calibri" w:hAnsi="Calibri" w:cs="Calibri"/>
          <w:color w:val="000000"/>
        </w:rPr>
        <w:t>inertia</w:t>
      </w:r>
      <w:r w:rsidRPr="001E7AA4">
        <w:rPr>
          <w:rFonts w:ascii="Calibri" w:hAnsi="Calibri" w:cs="Calibri"/>
          <w:color w:val="000000"/>
        </w:rPr>
        <w:t xml:space="preserve">. </w:t>
      </w:r>
    </w:p>
    <w:p w14:paraId="1C1EBFB1" w14:textId="4F97D7F9" w:rsidR="004459C7" w:rsidRPr="001E7AA4" w:rsidRDefault="004459C7" w:rsidP="004459C7">
      <w:pPr>
        <w:spacing w:line="240" w:lineRule="auto"/>
        <w:rPr>
          <w:rFonts w:ascii="Calibri" w:hAnsi="Calibri" w:cs="Calibri"/>
          <w:color w:val="000000"/>
        </w:rPr>
      </w:pPr>
      <w:r w:rsidRPr="001E7AA4">
        <w:rPr>
          <w:rFonts w:ascii="Calibri" w:hAnsi="Calibri" w:cs="Calibri"/>
          <w:color w:val="000000"/>
        </w:rPr>
        <w:t>Many important problems need to be addressed, some urgently.</w:t>
      </w:r>
    </w:p>
    <w:p w14:paraId="62ACB6A0" w14:textId="0A340CE7" w:rsidR="004459C7" w:rsidRPr="001E7AA4" w:rsidRDefault="004459C7" w:rsidP="00547E97">
      <w:pPr>
        <w:pStyle w:val="ListBullet"/>
      </w:pPr>
      <w:r w:rsidRPr="001E7AA4">
        <w:t xml:space="preserve">While the demand for graduates grows ever stronger, too few Australians </w:t>
      </w:r>
      <w:r w:rsidR="009E5F3D" w:rsidRPr="001E7AA4">
        <w:t>are going</w:t>
      </w:r>
      <w:r w:rsidRPr="001E7AA4">
        <w:t xml:space="preserve"> to university. It is projected that </w:t>
      </w:r>
      <w:r w:rsidR="009E5F3D" w:rsidRPr="001E7AA4">
        <w:t xml:space="preserve">over the next five years </w:t>
      </w:r>
      <w:r w:rsidRPr="001E7AA4">
        <w:t>more than 90</w:t>
      </w:r>
      <w:r w:rsidRPr="001E7AA4" w:rsidDel="0002240E">
        <w:t>%</w:t>
      </w:r>
      <w:r w:rsidRPr="001E7AA4">
        <w:t xml:space="preserve"> of new jobs will require post-school qualifications, with over 50</w:t>
      </w:r>
      <w:r w:rsidRPr="001E7AA4" w:rsidDel="0002240E">
        <w:t>%</w:t>
      </w:r>
      <w:r w:rsidRPr="001E7AA4">
        <w:t xml:space="preserve"> requiring </w:t>
      </w:r>
      <w:r w:rsidR="009E5F3D" w:rsidRPr="001E7AA4">
        <w:t xml:space="preserve">a </w:t>
      </w:r>
      <w:r w:rsidRPr="001E7AA4">
        <w:t>bachelor degree or higher.</w:t>
      </w:r>
      <w:r w:rsidR="00667F76" w:rsidRPr="001E7AA4">
        <w:rPr>
          <w:rStyle w:val="FootnoteReference"/>
        </w:rPr>
        <w:footnoteReference w:id="2"/>
      </w:r>
    </w:p>
    <w:p w14:paraId="3347B47D" w14:textId="5D7C55C4" w:rsidR="001A0EE3" w:rsidRPr="001E7AA4" w:rsidRDefault="001A0EE3" w:rsidP="00547E97">
      <w:pPr>
        <w:pStyle w:val="ListBullet"/>
      </w:pPr>
      <w:r w:rsidRPr="001E7AA4">
        <w:t>Preliminary analysis prepare</w:t>
      </w:r>
      <w:r w:rsidR="004B5E11" w:rsidRPr="001E7AA4">
        <w:t>d</w:t>
      </w:r>
      <w:r w:rsidRPr="001E7AA4">
        <w:t xml:space="preserve"> by BIS O</w:t>
      </w:r>
      <w:r w:rsidR="009D62D1" w:rsidRPr="001E7AA4">
        <w:t>x</w:t>
      </w:r>
      <w:r w:rsidRPr="001E7AA4">
        <w:t xml:space="preserve">ford Economics </w:t>
      </w:r>
      <w:r w:rsidR="009D62D1" w:rsidRPr="001E7AA4">
        <w:t>(BIS OE)</w:t>
      </w:r>
      <w:r w:rsidRPr="001E7AA4">
        <w:t xml:space="preserve"> for </w:t>
      </w:r>
      <w:r w:rsidR="004B5E11" w:rsidRPr="001E7AA4">
        <w:t>the Review</w:t>
      </w:r>
      <w:r w:rsidRPr="001E7AA4">
        <w:t xml:space="preserve"> suggests that by </w:t>
      </w:r>
      <w:r w:rsidR="0037419A" w:rsidRPr="001E7AA4">
        <w:t xml:space="preserve">around </w:t>
      </w:r>
      <w:r w:rsidRPr="001E7AA4">
        <w:t>205</w:t>
      </w:r>
      <w:r w:rsidR="41F8B9EC" w:rsidRPr="001E7AA4">
        <w:t>0</w:t>
      </w:r>
      <w:r w:rsidRPr="001E7AA4">
        <w:t xml:space="preserve"> </w:t>
      </w:r>
      <w:r w:rsidR="783384C7" w:rsidRPr="001E7AA4">
        <w:t>approximately</w:t>
      </w:r>
      <w:r w:rsidRPr="001E7AA4">
        <w:t xml:space="preserve"> 55</w:t>
      </w:r>
      <w:r w:rsidRPr="001E7AA4" w:rsidDel="0002240E">
        <w:t>%</w:t>
      </w:r>
      <w:r w:rsidRPr="001E7AA4">
        <w:t xml:space="preserve"> of all jobs will require higher education qualifications</w:t>
      </w:r>
      <w:r w:rsidR="1357A3FD" w:rsidRPr="001E7AA4">
        <w:t>.</w:t>
      </w:r>
    </w:p>
    <w:p w14:paraId="420AD108" w14:textId="77777777" w:rsidR="00596E45" w:rsidRPr="001E7AA4" w:rsidRDefault="00596E45" w:rsidP="00547E97">
      <w:pPr>
        <w:pStyle w:val="ListBullet"/>
      </w:pPr>
      <w:r w:rsidRPr="001E7AA4">
        <w:t>This means that the system will need to grow significantly, with implications for the number, location and capital infrastructure of higher education institutions.</w:t>
      </w:r>
    </w:p>
    <w:p w14:paraId="731A184C" w14:textId="478C419F" w:rsidR="009C4FC5" w:rsidRPr="001E7AA4" w:rsidRDefault="004459C7" w:rsidP="00547E97">
      <w:pPr>
        <w:pStyle w:val="ListBullet"/>
        <w:rPr>
          <w:color w:val="000000"/>
        </w:rPr>
      </w:pPr>
      <w:r w:rsidRPr="001E7AA4">
        <w:t xml:space="preserve">Despite sustained efforts over many years, universities suffer from social inequity, preventing talented people from attaining life-changing qualifications and </w:t>
      </w:r>
      <w:r w:rsidR="00C64CB8" w:rsidRPr="001E7AA4">
        <w:t xml:space="preserve">depriving </w:t>
      </w:r>
      <w:r w:rsidRPr="001E7AA4">
        <w:t xml:space="preserve">our nation of crucial knowledge and skills. </w:t>
      </w:r>
      <w:r w:rsidR="00463776" w:rsidRPr="001E7AA4">
        <w:t>First Nations</w:t>
      </w:r>
      <w:r w:rsidR="001A09A7" w:rsidRPr="001E7AA4">
        <w:t xml:space="preserve"> students and</w:t>
      </w:r>
      <w:r w:rsidR="00A7085F" w:rsidRPr="001E7AA4">
        <w:t xml:space="preserve"> those from </w:t>
      </w:r>
      <w:r w:rsidRPr="001E7AA4">
        <w:t xml:space="preserve">low socio-economic </w:t>
      </w:r>
      <w:r w:rsidR="00F46C74" w:rsidRPr="001E7AA4">
        <w:t>(low</w:t>
      </w:r>
      <w:r w:rsidR="00856A92" w:rsidRPr="001E7AA4">
        <w:t xml:space="preserve"> </w:t>
      </w:r>
      <w:r w:rsidR="00F46C74" w:rsidRPr="001E7AA4">
        <w:t xml:space="preserve">SES) </w:t>
      </w:r>
      <w:r w:rsidRPr="001E7AA4">
        <w:lastRenderedPageBreak/>
        <w:t xml:space="preserve">backgrounds </w:t>
      </w:r>
      <w:r w:rsidR="005A03BA" w:rsidRPr="001E7AA4">
        <w:t xml:space="preserve">and students with disability </w:t>
      </w:r>
      <w:r w:rsidRPr="001E7AA4">
        <w:t xml:space="preserve">participate in higher education at far lower rates than they should. </w:t>
      </w:r>
    </w:p>
    <w:p w14:paraId="0393F6BA" w14:textId="33649748" w:rsidR="00EE1CB2" w:rsidRPr="001E7AA4" w:rsidRDefault="009E5F3D" w:rsidP="00547E97">
      <w:pPr>
        <w:pStyle w:val="ListBullet"/>
      </w:pPr>
      <w:r w:rsidRPr="001E7AA4">
        <w:t xml:space="preserve">Location affects higher educational opportunities. People from regional, rural, remote and outer suburban areas can find it difficult to access </w:t>
      </w:r>
      <w:r w:rsidR="00EE1CB2" w:rsidRPr="001E7AA4">
        <w:t xml:space="preserve">higher education. </w:t>
      </w:r>
    </w:p>
    <w:p w14:paraId="080A65D4" w14:textId="77777777" w:rsidR="00F46C74" w:rsidRPr="001E7AA4" w:rsidRDefault="004459C7" w:rsidP="00547E97">
      <w:pPr>
        <w:pStyle w:val="ListBullet"/>
        <w:rPr>
          <w:color w:val="000000"/>
        </w:rPr>
      </w:pPr>
      <w:r w:rsidRPr="001E7AA4">
        <w:t xml:space="preserve">While the importance of lifelong learning has been well understood for some time, our system needs to be better at providing a more flexible and adaptive approach to learning. </w:t>
      </w:r>
    </w:p>
    <w:p w14:paraId="58C7639B" w14:textId="2D5F9F69" w:rsidR="004459C7" w:rsidRPr="001E7AA4" w:rsidRDefault="004459C7" w:rsidP="00547E97">
      <w:pPr>
        <w:pStyle w:val="ListBullet"/>
        <w:rPr>
          <w:color w:val="000000"/>
        </w:rPr>
      </w:pPr>
      <w:r w:rsidRPr="001E7AA4">
        <w:t xml:space="preserve">Persistent workforce shortages in crucial areas expose a historical lack of forward planning relating to jobs and skills. </w:t>
      </w:r>
    </w:p>
    <w:p w14:paraId="4415978C" w14:textId="66033CF5" w:rsidR="004459C7" w:rsidRPr="001E7AA4" w:rsidRDefault="009E5F3D" w:rsidP="00547E97">
      <w:pPr>
        <w:pStyle w:val="ListBullet"/>
        <w:rPr>
          <w:color w:val="000000"/>
        </w:rPr>
      </w:pPr>
      <w:r w:rsidRPr="001E7AA4">
        <w:t xml:space="preserve">Australia’s research excellence is well known, but it </w:t>
      </w:r>
      <w:r w:rsidR="004459C7" w:rsidRPr="001E7AA4">
        <w:t xml:space="preserve">is built on </w:t>
      </w:r>
      <w:r w:rsidR="00374773" w:rsidRPr="001E7AA4">
        <w:t xml:space="preserve">uncertain </w:t>
      </w:r>
      <w:r w:rsidR="004459C7" w:rsidRPr="001E7AA4">
        <w:t>financial foundations</w:t>
      </w:r>
      <w:r w:rsidRPr="001E7AA4">
        <w:t xml:space="preserve">. These </w:t>
      </w:r>
      <w:r w:rsidR="004459C7" w:rsidRPr="001E7AA4">
        <w:t xml:space="preserve">threaten </w:t>
      </w:r>
      <w:r w:rsidRPr="001E7AA4">
        <w:t xml:space="preserve">Australia’s </w:t>
      </w:r>
      <w:r w:rsidR="004459C7" w:rsidRPr="001E7AA4">
        <w:t xml:space="preserve">sovereign capability and </w:t>
      </w:r>
      <w:r w:rsidRPr="001E7AA4">
        <w:t xml:space="preserve">cause us to </w:t>
      </w:r>
      <w:r w:rsidR="004459C7" w:rsidRPr="001E7AA4">
        <w:t xml:space="preserve">miss opportunities to adapt, develop and localise knowledge to the benefit of </w:t>
      </w:r>
      <w:r w:rsidR="00A372E6" w:rsidRPr="001E7AA4">
        <w:t>industry,</w:t>
      </w:r>
      <w:r w:rsidR="004459C7" w:rsidRPr="001E7AA4">
        <w:t xml:space="preserve"> communities and </w:t>
      </w:r>
      <w:r w:rsidRPr="001E7AA4">
        <w:t>the</w:t>
      </w:r>
      <w:r w:rsidR="004459C7" w:rsidRPr="001E7AA4">
        <w:t xml:space="preserve"> wider economy. Perverse financial incentives </w:t>
      </w:r>
      <w:r w:rsidRPr="001E7AA4">
        <w:t xml:space="preserve">can cause </w:t>
      </w:r>
      <w:r w:rsidR="004459C7" w:rsidRPr="001E7AA4">
        <w:t xml:space="preserve">institutions </w:t>
      </w:r>
      <w:r w:rsidRPr="001E7AA4">
        <w:t xml:space="preserve">to make </w:t>
      </w:r>
      <w:r w:rsidR="004459C7" w:rsidRPr="001E7AA4">
        <w:t xml:space="preserve">funding-driven rather than mission-driven choices. </w:t>
      </w:r>
    </w:p>
    <w:p w14:paraId="132BBA6E" w14:textId="254665FC" w:rsidR="004459C7" w:rsidRPr="001E7AA4" w:rsidRDefault="004459C7" w:rsidP="00547E97">
      <w:pPr>
        <w:pStyle w:val="ListBullet"/>
        <w:rPr>
          <w:color w:val="000000"/>
        </w:rPr>
      </w:pPr>
      <w:r w:rsidRPr="001E7AA4">
        <w:t>Employment conditions for university staff are often precarious</w:t>
      </w:r>
      <w:r w:rsidR="009E5F3D" w:rsidRPr="001E7AA4">
        <w:t>,</w:t>
      </w:r>
      <w:r w:rsidRPr="001E7AA4">
        <w:t xml:space="preserve"> impairing future teaching and knowledge creation. </w:t>
      </w:r>
    </w:p>
    <w:p w14:paraId="37784466" w14:textId="4DC7A60F" w:rsidR="004459C7" w:rsidRPr="001E7AA4" w:rsidRDefault="004459C7" w:rsidP="00547E97">
      <w:pPr>
        <w:pStyle w:val="ListBullet"/>
        <w:rPr>
          <w:color w:val="000000"/>
        </w:rPr>
      </w:pPr>
      <w:r w:rsidRPr="001E7AA4">
        <w:t>Students sometimes experience poor quality learning</w:t>
      </w:r>
      <w:r w:rsidR="005E171F" w:rsidRPr="001E7AA4">
        <w:t xml:space="preserve"> and teaching</w:t>
      </w:r>
      <w:r w:rsidR="009E5F3D" w:rsidRPr="001E7AA4">
        <w:t xml:space="preserve"> and</w:t>
      </w:r>
      <w:r w:rsidRPr="001E7AA4">
        <w:t xml:space="preserve"> encounter risks to their safety and wellbeing</w:t>
      </w:r>
      <w:r w:rsidR="009E5F3D" w:rsidRPr="001E7AA4">
        <w:t>. Support services are often insufficient to enable them t</w:t>
      </w:r>
      <w:r w:rsidR="00006C1D" w:rsidRPr="001E7AA4">
        <w:t>o</w:t>
      </w:r>
      <w:r w:rsidR="009E5F3D" w:rsidRPr="001E7AA4">
        <w:t xml:space="preserve"> achieve their best. </w:t>
      </w:r>
    </w:p>
    <w:p w14:paraId="15BF4F0E" w14:textId="7F37A87F" w:rsidR="02230995" w:rsidRPr="001E7AA4" w:rsidRDefault="02230995" w:rsidP="00547E97">
      <w:pPr>
        <w:pStyle w:val="ListBullet"/>
      </w:pPr>
      <w:r w:rsidRPr="001E7AA4">
        <w:t>The recent Job-ready Graduates (JRG) changes to funding and finance arrangements risk damaging the sector if left unaddressed.</w:t>
      </w:r>
    </w:p>
    <w:p w14:paraId="1BE4D972" w14:textId="536E4A42" w:rsidR="004459C7" w:rsidRPr="001E7AA4" w:rsidRDefault="004459C7" w:rsidP="004459C7">
      <w:pPr>
        <w:spacing w:line="240" w:lineRule="auto"/>
        <w:rPr>
          <w:rFonts w:ascii="Calibri" w:hAnsi="Calibri" w:cs="Calibri"/>
          <w:color w:val="000000"/>
        </w:rPr>
      </w:pPr>
      <w:r w:rsidRPr="001E7AA4">
        <w:rPr>
          <w:rFonts w:ascii="Calibri" w:hAnsi="Calibri" w:cs="Calibri"/>
          <w:color w:val="000000"/>
        </w:rPr>
        <w:t xml:space="preserve">Only by addressing these issues and </w:t>
      </w:r>
      <w:r w:rsidR="00F33483" w:rsidRPr="001E7AA4">
        <w:rPr>
          <w:rFonts w:ascii="Calibri" w:hAnsi="Calibri" w:cs="Calibri"/>
          <w:color w:val="000000"/>
        </w:rPr>
        <w:t xml:space="preserve">producing </w:t>
      </w:r>
      <w:r w:rsidRPr="001E7AA4">
        <w:rPr>
          <w:rFonts w:ascii="Calibri" w:hAnsi="Calibri" w:cs="Calibri"/>
          <w:color w:val="000000"/>
        </w:rPr>
        <w:t xml:space="preserve">more skilled people and a stronger research capacity can we </w:t>
      </w:r>
      <w:r w:rsidR="009E5F3D" w:rsidRPr="001E7AA4">
        <w:rPr>
          <w:rFonts w:ascii="Calibri" w:hAnsi="Calibri" w:cs="Calibri"/>
          <w:color w:val="000000"/>
        </w:rPr>
        <w:t xml:space="preserve">address the big challenges ahead of us: </w:t>
      </w:r>
      <w:r w:rsidRPr="001E7AA4">
        <w:rPr>
          <w:rFonts w:ascii="Calibri" w:hAnsi="Calibri" w:cs="Calibri"/>
          <w:color w:val="000000"/>
        </w:rPr>
        <w:t>making the clean energy transition</w:t>
      </w:r>
      <w:r w:rsidR="009E5F3D" w:rsidRPr="001E7AA4">
        <w:rPr>
          <w:rFonts w:ascii="Calibri" w:hAnsi="Calibri" w:cs="Calibri"/>
          <w:color w:val="000000"/>
        </w:rPr>
        <w:t>;</w:t>
      </w:r>
      <w:r w:rsidRPr="001E7AA4">
        <w:rPr>
          <w:rFonts w:ascii="Calibri" w:hAnsi="Calibri" w:cs="Calibri"/>
          <w:color w:val="000000"/>
        </w:rPr>
        <w:t xml:space="preserve"> building a car</w:t>
      </w:r>
      <w:r w:rsidR="00186A36" w:rsidRPr="001E7AA4">
        <w:rPr>
          <w:rFonts w:ascii="Calibri" w:hAnsi="Calibri" w:cs="Calibri"/>
          <w:color w:val="000000"/>
        </w:rPr>
        <w:t>e</w:t>
      </w:r>
      <w:r w:rsidRPr="001E7AA4">
        <w:rPr>
          <w:rFonts w:ascii="Calibri" w:hAnsi="Calibri" w:cs="Calibri"/>
          <w:color w:val="000000"/>
        </w:rPr>
        <w:t xml:space="preserve"> economy </w:t>
      </w:r>
      <w:r w:rsidR="00186A36" w:rsidRPr="001E7AA4">
        <w:rPr>
          <w:rFonts w:ascii="Calibri" w:hAnsi="Calibri" w:cs="Calibri"/>
          <w:color w:val="000000"/>
        </w:rPr>
        <w:t>to meet ageing, early childhood, and disability support</w:t>
      </w:r>
      <w:r w:rsidR="009E5F3D" w:rsidRPr="001E7AA4">
        <w:rPr>
          <w:rFonts w:ascii="Calibri" w:hAnsi="Calibri" w:cs="Calibri"/>
          <w:color w:val="000000"/>
        </w:rPr>
        <w:t xml:space="preserve"> needs;</w:t>
      </w:r>
      <w:r w:rsidR="003C5032" w:rsidRPr="001E7AA4">
        <w:rPr>
          <w:rFonts w:ascii="Calibri" w:hAnsi="Calibri" w:cs="Calibri"/>
          <w:color w:val="000000"/>
        </w:rPr>
        <w:t xml:space="preserve"> </w:t>
      </w:r>
      <w:r w:rsidR="009E5F3D" w:rsidRPr="001E7AA4">
        <w:rPr>
          <w:rFonts w:ascii="Calibri" w:hAnsi="Calibri" w:cs="Calibri"/>
          <w:color w:val="000000"/>
        </w:rPr>
        <w:t xml:space="preserve">addressing our rapidly changing security environment; and </w:t>
      </w:r>
      <w:r w:rsidRPr="001E7AA4">
        <w:rPr>
          <w:rFonts w:ascii="Calibri" w:hAnsi="Calibri" w:cs="Calibri"/>
          <w:color w:val="000000"/>
        </w:rPr>
        <w:t>achieving national reconciliation</w:t>
      </w:r>
      <w:r w:rsidR="009E5F3D" w:rsidRPr="001E7AA4">
        <w:rPr>
          <w:rFonts w:ascii="Calibri" w:hAnsi="Calibri" w:cs="Calibri"/>
          <w:color w:val="000000"/>
        </w:rPr>
        <w:t>. To be successful in these and other endeavours, Australia’s universities and TAFEs will have to produce many more engineers, qualified carers, high-level technicians and others.</w:t>
      </w:r>
    </w:p>
    <w:p w14:paraId="61007ADA" w14:textId="55C1B5F4" w:rsidR="004459C7" w:rsidRPr="001E7AA4" w:rsidRDefault="009E5F3D" w:rsidP="004459C7">
      <w:pPr>
        <w:spacing w:line="240" w:lineRule="auto"/>
        <w:rPr>
          <w:rFonts w:ascii="Calibri" w:hAnsi="Calibri" w:cs="Calibri"/>
          <w:color w:val="000000"/>
        </w:rPr>
      </w:pPr>
      <w:r w:rsidRPr="001E7AA4">
        <w:rPr>
          <w:rFonts w:ascii="Calibri" w:hAnsi="Calibri" w:cs="Calibri"/>
          <w:color w:val="000000"/>
        </w:rPr>
        <w:t xml:space="preserve">In short, </w:t>
      </w:r>
      <w:r w:rsidR="004459C7" w:rsidRPr="001E7AA4">
        <w:rPr>
          <w:rFonts w:ascii="Calibri" w:hAnsi="Calibri" w:cs="Calibri"/>
          <w:color w:val="000000"/>
        </w:rPr>
        <w:t xml:space="preserve">the </w:t>
      </w:r>
      <w:r w:rsidRPr="001E7AA4">
        <w:rPr>
          <w:rFonts w:ascii="Calibri" w:hAnsi="Calibri" w:cs="Calibri"/>
          <w:color w:val="000000"/>
        </w:rPr>
        <w:t xml:space="preserve">Australian </w:t>
      </w:r>
      <w:r w:rsidR="004459C7" w:rsidRPr="001E7AA4">
        <w:rPr>
          <w:rFonts w:ascii="Calibri" w:hAnsi="Calibri" w:cs="Calibri"/>
          <w:color w:val="000000"/>
        </w:rPr>
        <w:t xml:space="preserve">higher education sector </w:t>
      </w:r>
      <w:r w:rsidRPr="001E7AA4">
        <w:rPr>
          <w:rFonts w:ascii="Calibri" w:hAnsi="Calibri" w:cs="Calibri"/>
          <w:color w:val="000000"/>
        </w:rPr>
        <w:t xml:space="preserve">lacks the institutional resilience and </w:t>
      </w:r>
      <w:r w:rsidR="004459C7" w:rsidRPr="001E7AA4">
        <w:rPr>
          <w:rFonts w:ascii="Calibri" w:hAnsi="Calibri" w:cs="Calibri"/>
          <w:color w:val="000000"/>
        </w:rPr>
        <w:t xml:space="preserve">‘metabolic rate’ </w:t>
      </w:r>
      <w:r w:rsidRPr="001E7AA4">
        <w:rPr>
          <w:rFonts w:ascii="Calibri" w:hAnsi="Calibri" w:cs="Calibri"/>
          <w:color w:val="000000"/>
        </w:rPr>
        <w:t xml:space="preserve">needed to prepare our nation for the future. There is so much that needs to be done and </w:t>
      </w:r>
      <w:r w:rsidRPr="001E7AA4">
        <w:rPr>
          <w:rFonts w:ascii="Calibri" w:hAnsi="Calibri" w:cs="Calibri"/>
          <w:color w:val="000000" w:themeColor="text1"/>
        </w:rPr>
        <w:t>h</w:t>
      </w:r>
      <w:r w:rsidR="004459C7" w:rsidRPr="001E7AA4">
        <w:rPr>
          <w:rFonts w:ascii="Calibri" w:hAnsi="Calibri" w:cs="Calibri"/>
          <w:color w:val="000000" w:themeColor="text1"/>
        </w:rPr>
        <w:t>igher education policy must</w:t>
      </w:r>
      <w:r w:rsidRPr="001E7AA4">
        <w:rPr>
          <w:rFonts w:ascii="Calibri" w:hAnsi="Calibri" w:cs="Calibri"/>
          <w:color w:val="000000" w:themeColor="text1"/>
        </w:rPr>
        <w:t xml:space="preserve"> respond</w:t>
      </w:r>
      <w:r w:rsidR="004459C7" w:rsidRPr="001E7AA4">
        <w:rPr>
          <w:rFonts w:ascii="Calibri" w:hAnsi="Calibri" w:cs="Calibri"/>
          <w:color w:val="000000" w:themeColor="text1"/>
        </w:rPr>
        <w:t>.</w:t>
      </w:r>
    </w:p>
    <w:p w14:paraId="701087AF" w14:textId="55A0A43A" w:rsidR="004459C7" w:rsidRPr="00F77051" w:rsidRDefault="2258BFA1" w:rsidP="00547E97">
      <w:pPr>
        <w:pStyle w:val="Heading3"/>
        <w:rPr>
          <w:b w:val="0"/>
          <w:bCs/>
        </w:rPr>
      </w:pPr>
      <w:bookmarkStart w:id="11" w:name="_Toc137829514"/>
      <w:bookmarkStart w:id="12" w:name="_Toc323402196"/>
      <w:bookmarkStart w:id="13" w:name="_Toc139028845"/>
      <w:r w:rsidRPr="00F77051">
        <w:rPr>
          <w:b w:val="0"/>
          <w:bCs/>
        </w:rPr>
        <w:t>The scope of the Review</w:t>
      </w:r>
      <w:bookmarkEnd w:id="11"/>
      <w:bookmarkEnd w:id="12"/>
      <w:bookmarkEnd w:id="13"/>
      <w:r w:rsidRPr="00F77051">
        <w:rPr>
          <w:b w:val="0"/>
          <w:bCs/>
        </w:rPr>
        <w:t xml:space="preserve"> </w:t>
      </w:r>
    </w:p>
    <w:p w14:paraId="225D67F6" w14:textId="0F07DC5A" w:rsidR="004459C7" w:rsidRPr="001E7AA4" w:rsidRDefault="004459C7" w:rsidP="004459C7">
      <w:pPr>
        <w:spacing w:line="240" w:lineRule="auto"/>
        <w:rPr>
          <w:rFonts w:ascii="Calibri" w:hAnsi="Calibri" w:cs="Calibri"/>
          <w:color w:val="000000"/>
        </w:rPr>
      </w:pPr>
      <w:r w:rsidRPr="001E7AA4">
        <w:t xml:space="preserve">This Review, the first since </w:t>
      </w:r>
      <w:r w:rsidRPr="001E7AA4">
        <w:rPr>
          <w:rFonts w:ascii="Calibri" w:hAnsi="Calibri" w:cs="Calibri"/>
          <w:color w:val="000000" w:themeColor="text1"/>
        </w:rPr>
        <w:t>the</w:t>
      </w:r>
      <w:r w:rsidRPr="001E7AA4">
        <w:t xml:space="preserve"> 2008 </w:t>
      </w:r>
      <w:r w:rsidRPr="001E7AA4">
        <w:rPr>
          <w:i/>
          <w:iCs/>
        </w:rPr>
        <w:t>Review of Australian Higher Education</w:t>
      </w:r>
      <w:r w:rsidRPr="001E7AA4">
        <w:t xml:space="preserve"> led by </w:t>
      </w:r>
      <w:r w:rsidR="00EE1CB2" w:rsidRPr="001E7AA4">
        <w:t xml:space="preserve">the late </w:t>
      </w:r>
      <w:r w:rsidRPr="001E7AA4">
        <w:t>Professor Denise Bradley AC (the Bradley Review), examines the vital role of higher education in contributing to Australia’s future.</w:t>
      </w:r>
    </w:p>
    <w:p w14:paraId="7469FCF7" w14:textId="4A854AE1" w:rsidR="004459C7" w:rsidRPr="001E7AA4" w:rsidRDefault="004459C7" w:rsidP="004459C7">
      <w:pPr>
        <w:spacing w:line="240" w:lineRule="auto"/>
        <w:rPr>
          <w:rFonts w:ascii="Calibri" w:hAnsi="Calibri" w:cs="Calibri"/>
          <w:color w:val="000000"/>
        </w:rPr>
      </w:pPr>
      <w:r w:rsidRPr="001E7AA4">
        <w:t>The Accord Terms of Reference are broad. They</w:t>
      </w:r>
      <w:r w:rsidRPr="001E7AA4">
        <w:rPr>
          <w:rFonts w:ascii="Calibri" w:hAnsi="Calibri" w:cs="Calibri"/>
          <w:color w:val="000000" w:themeColor="text1"/>
        </w:rPr>
        <w:t xml:space="preserve"> ask the Review to consider current and future skills needs, learning</w:t>
      </w:r>
      <w:r w:rsidR="00EA737F" w:rsidRPr="001E7AA4">
        <w:rPr>
          <w:rFonts w:ascii="Calibri" w:hAnsi="Calibri" w:cs="Calibri"/>
          <w:color w:val="000000" w:themeColor="text1"/>
        </w:rPr>
        <w:t xml:space="preserve"> and teaching</w:t>
      </w:r>
      <w:r w:rsidRPr="001E7AA4">
        <w:rPr>
          <w:rFonts w:ascii="Calibri" w:hAnsi="Calibri" w:cs="Calibri"/>
          <w:color w:val="000000" w:themeColor="text1"/>
        </w:rPr>
        <w:t xml:space="preserve">, access and opportunity, research, innovation, international education, funding and regulatory settings, employment conditions and strengthening engagement between the higher education and vocational education and training </w:t>
      </w:r>
      <w:r w:rsidR="004EE406" w:rsidRPr="001E7AA4">
        <w:rPr>
          <w:rFonts w:ascii="Calibri" w:hAnsi="Calibri" w:cs="Calibri"/>
          <w:color w:val="000000" w:themeColor="text1"/>
        </w:rPr>
        <w:t xml:space="preserve">(VET) </w:t>
      </w:r>
      <w:r w:rsidRPr="001E7AA4">
        <w:rPr>
          <w:rFonts w:ascii="Calibri" w:hAnsi="Calibri" w:cs="Calibri"/>
          <w:color w:val="000000" w:themeColor="text1"/>
        </w:rPr>
        <w:t xml:space="preserve">sectors. </w:t>
      </w:r>
    </w:p>
    <w:p w14:paraId="211A7D34" w14:textId="11DD83F1" w:rsidR="00547E97" w:rsidRDefault="004459C7" w:rsidP="004459C7">
      <w:pPr>
        <w:spacing w:line="240" w:lineRule="auto"/>
        <w:rPr>
          <w:rFonts w:ascii="Calibri" w:hAnsi="Calibri" w:cs="Calibri"/>
          <w:color w:val="000000" w:themeColor="text1"/>
        </w:rPr>
      </w:pPr>
      <w:r w:rsidRPr="001E7AA4">
        <w:rPr>
          <w:rFonts w:ascii="Calibri" w:hAnsi="Calibri" w:cs="Calibri"/>
          <w:color w:val="000000" w:themeColor="text1"/>
        </w:rPr>
        <w:t xml:space="preserve">The Review has benefited from </w:t>
      </w:r>
      <w:r w:rsidR="009F23B3" w:rsidRPr="001E7AA4">
        <w:rPr>
          <w:rFonts w:ascii="Calibri" w:hAnsi="Calibri" w:cs="Calibri"/>
          <w:color w:val="000000" w:themeColor="text1"/>
        </w:rPr>
        <w:t>many</w:t>
      </w:r>
      <w:r w:rsidRPr="001E7AA4">
        <w:rPr>
          <w:rFonts w:ascii="Calibri" w:hAnsi="Calibri" w:cs="Calibri"/>
          <w:color w:val="000000" w:themeColor="text1"/>
        </w:rPr>
        <w:t xml:space="preserve"> high</w:t>
      </w:r>
      <w:r w:rsidR="261A169C" w:rsidRPr="001E7AA4">
        <w:rPr>
          <w:rFonts w:ascii="Calibri" w:hAnsi="Calibri" w:cs="Calibri"/>
          <w:color w:val="000000" w:themeColor="text1"/>
        </w:rPr>
        <w:t>-</w:t>
      </w:r>
      <w:r w:rsidRPr="001E7AA4">
        <w:rPr>
          <w:rFonts w:ascii="Calibri" w:hAnsi="Calibri" w:cs="Calibri"/>
          <w:color w:val="000000" w:themeColor="text1"/>
        </w:rPr>
        <w:t xml:space="preserve">quality, thoughtful submissions, and from engagement with a wide range of students, staff, university leaders and stakeholders. Consistent with the Accord </w:t>
      </w:r>
      <w:r w:rsidR="004F04BA" w:rsidRPr="001E7AA4">
        <w:rPr>
          <w:rFonts w:ascii="Calibri" w:hAnsi="Calibri" w:cs="Calibri"/>
          <w:color w:val="000000" w:themeColor="text1"/>
        </w:rPr>
        <w:t>T</w:t>
      </w:r>
      <w:r w:rsidRPr="001E7AA4">
        <w:rPr>
          <w:rFonts w:ascii="Calibri" w:hAnsi="Calibri" w:cs="Calibri"/>
          <w:color w:val="000000" w:themeColor="text1"/>
        </w:rPr>
        <w:t xml:space="preserve">erms of </w:t>
      </w:r>
      <w:r w:rsidR="004F04BA" w:rsidRPr="001E7AA4">
        <w:rPr>
          <w:rFonts w:ascii="Calibri" w:hAnsi="Calibri" w:cs="Calibri"/>
          <w:color w:val="000000" w:themeColor="text1"/>
        </w:rPr>
        <w:t>R</w:t>
      </w:r>
      <w:r w:rsidRPr="001E7AA4">
        <w:rPr>
          <w:rFonts w:ascii="Calibri" w:hAnsi="Calibri" w:cs="Calibri"/>
          <w:color w:val="000000" w:themeColor="text1"/>
        </w:rPr>
        <w:t>eference and the Review’s approach, this consultation and engagement will continue as the process progresses towards the Final Report due in December 2023.</w:t>
      </w:r>
    </w:p>
    <w:p w14:paraId="7A1B7A75" w14:textId="77777777" w:rsidR="00547E97" w:rsidRDefault="00547E97">
      <w:pPr>
        <w:spacing w:after="160"/>
        <w:rPr>
          <w:rFonts w:ascii="Calibri" w:hAnsi="Calibri" w:cs="Calibri"/>
          <w:color w:val="000000" w:themeColor="text1"/>
        </w:rPr>
      </w:pPr>
      <w:r>
        <w:rPr>
          <w:rFonts w:ascii="Calibri" w:hAnsi="Calibri" w:cs="Calibri"/>
          <w:color w:val="000000" w:themeColor="text1"/>
        </w:rPr>
        <w:br w:type="page"/>
      </w:r>
    </w:p>
    <w:p w14:paraId="1041F5E8" w14:textId="77777777" w:rsidR="004459C7" w:rsidRPr="00F77051" w:rsidRDefault="2258BFA1" w:rsidP="00547E97">
      <w:pPr>
        <w:pStyle w:val="Heading3"/>
        <w:rPr>
          <w:b w:val="0"/>
          <w:bCs/>
        </w:rPr>
      </w:pPr>
      <w:bookmarkStart w:id="14" w:name="_Toc137829515"/>
      <w:bookmarkStart w:id="15" w:name="_Toc1034527842"/>
      <w:bookmarkStart w:id="16" w:name="_Toc139028846"/>
      <w:r w:rsidRPr="00F77051">
        <w:rPr>
          <w:b w:val="0"/>
          <w:bCs/>
        </w:rPr>
        <w:lastRenderedPageBreak/>
        <w:t>The role of the Interim Report</w:t>
      </w:r>
      <w:bookmarkEnd w:id="14"/>
      <w:bookmarkEnd w:id="15"/>
      <w:bookmarkEnd w:id="16"/>
    </w:p>
    <w:p w14:paraId="4D8379BB" w14:textId="77777777" w:rsidR="004459C7" w:rsidRPr="001E7AA4" w:rsidRDefault="004459C7" w:rsidP="004459C7">
      <w:pPr>
        <w:spacing w:line="240" w:lineRule="auto"/>
        <w:rPr>
          <w:rFonts w:ascii="Calibri" w:hAnsi="Calibri" w:cs="Calibri"/>
          <w:color w:val="000000"/>
        </w:rPr>
      </w:pPr>
      <w:r w:rsidRPr="001E7AA4">
        <w:rPr>
          <w:rFonts w:ascii="Calibri" w:hAnsi="Calibri" w:cs="Calibri"/>
          <w:color w:val="000000"/>
        </w:rPr>
        <w:t xml:space="preserve">The Terms of Reference require an Interim Report from the Review on priority actions, and this forms the first part of this document. </w:t>
      </w:r>
    </w:p>
    <w:p w14:paraId="47E1DA78" w14:textId="036E3EE4" w:rsidR="004459C7" w:rsidRPr="001E7AA4" w:rsidRDefault="004459C7" w:rsidP="004459C7">
      <w:pPr>
        <w:spacing w:line="240" w:lineRule="auto"/>
        <w:rPr>
          <w:rFonts w:ascii="Calibri" w:hAnsi="Calibri" w:cs="Calibri"/>
          <w:color w:val="000000"/>
        </w:rPr>
      </w:pPr>
      <w:r w:rsidRPr="001E7AA4">
        <w:rPr>
          <w:rFonts w:ascii="Calibri" w:hAnsi="Calibri" w:cs="Calibri"/>
          <w:color w:val="000000"/>
        </w:rPr>
        <w:t xml:space="preserve">The second, more exploratory part of the Interim Report, sets out the Review’s initial views about </w:t>
      </w:r>
      <w:r w:rsidR="009E5F3D" w:rsidRPr="001E7AA4">
        <w:rPr>
          <w:rFonts w:ascii="Calibri" w:hAnsi="Calibri" w:cs="Calibri"/>
          <w:color w:val="000000"/>
        </w:rPr>
        <w:t xml:space="preserve">larger </w:t>
      </w:r>
      <w:r w:rsidRPr="001E7AA4">
        <w:rPr>
          <w:rFonts w:ascii="Calibri" w:hAnsi="Calibri" w:cs="Calibri"/>
          <w:color w:val="000000"/>
        </w:rPr>
        <w:t xml:space="preserve">issues that will appear in the Final Report. The </w:t>
      </w:r>
      <w:r w:rsidR="00600145" w:rsidRPr="001E7AA4">
        <w:rPr>
          <w:rFonts w:ascii="Calibri" w:hAnsi="Calibri" w:cs="Calibri"/>
          <w:color w:val="000000"/>
        </w:rPr>
        <w:t>Review</w:t>
      </w:r>
      <w:r w:rsidRPr="001E7AA4">
        <w:rPr>
          <w:rFonts w:ascii="Calibri" w:hAnsi="Calibri" w:cs="Calibri"/>
          <w:color w:val="000000"/>
        </w:rPr>
        <w:t xml:space="preserve">’s conclusions will follow further consultations, submissions, </w:t>
      </w:r>
      <w:r w:rsidR="00C82FA1" w:rsidRPr="001E7AA4">
        <w:rPr>
          <w:rFonts w:ascii="Calibri" w:hAnsi="Calibri" w:cs="Calibri"/>
          <w:color w:val="000000"/>
        </w:rPr>
        <w:t xml:space="preserve">studies </w:t>
      </w:r>
      <w:r w:rsidRPr="001E7AA4">
        <w:rPr>
          <w:rFonts w:ascii="Calibri" w:hAnsi="Calibri" w:cs="Calibri"/>
          <w:color w:val="000000"/>
        </w:rPr>
        <w:t>and testing. Engagement with the sector and elsewhere is ongoing.</w:t>
      </w:r>
    </w:p>
    <w:p w14:paraId="3E86F7C6" w14:textId="77777777" w:rsidR="004459C7" w:rsidRDefault="004459C7" w:rsidP="00547E97">
      <w:pPr>
        <w:pStyle w:val="Heading4"/>
      </w:pPr>
      <w:r w:rsidRPr="001E7AA4">
        <w:t>Part 1: Immediate actions</w:t>
      </w:r>
    </w:p>
    <w:p w14:paraId="7AAC1F56" w14:textId="77A4B9F8" w:rsidR="00047A1D" w:rsidRPr="00047A1D" w:rsidRDefault="00047A1D" w:rsidP="00047A1D">
      <w:pPr>
        <w:pStyle w:val="Pulloutboxes"/>
      </w:pPr>
      <w:r w:rsidRPr="008F5D48">
        <w:t>The Review believes that bold, long-term change is required to fulfil the mission of higher education in Australia. Change in the sector must be significant. Complacency cannot be tolerated.</w:t>
      </w:r>
    </w:p>
    <w:p w14:paraId="5ADC3A06" w14:textId="5302374B" w:rsidR="004459C7" w:rsidRPr="001E7AA4" w:rsidRDefault="004459C7" w:rsidP="004459C7">
      <w:pPr>
        <w:spacing w:line="240" w:lineRule="auto"/>
        <w:rPr>
          <w:rFonts w:ascii="Calibri" w:hAnsi="Calibri" w:cs="Calibri"/>
          <w:color w:val="000000"/>
        </w:rPr>
      </w:pPr>
      <w:r w:rsidRPr="001E7AA4">
        <w:rPr>
          <w:rFonts w:ascii="Calibri" w:hAnsi="Calibri" w:cs="Calibri"/>
          <w:color w:val="000000"/>
        </w:rPr>
        <w:t xml:space="preserve">The Review’s priority actions </w:t>
      </w:r>
      <w:r w:rsidR="009E5F3D" w:rsidRPr="001E7AA4">
        <w:rPr>
          <w:rFonts w:ascii="Calibri" w:hAnsi="Calibri" w:cs="Calibri"/>
          <w:color w:val="000000"/>
        </w:rPr>
        <w:t xml:space="preserve">focus </w:t>
      </w:r>
      <w:r w:rsidRPr="001E7AA4">
        <w:rPr>
          <w:rFonts w:ascii="Calibri" w:hAnsi="Calibri" w:cs="Calibri"/>
          <w:color w:val="000000"/>
        </w:rPr>
        <w:t>on a</w:t>
      </w:r>
      <w:r w:rsidR="009E5F3D" w:rsidRPr="001E7AA4">
        <w:rPr>
          <w:rFonts w:ascii="Calibri" w:hAnsi="Calibri" w:cs="Calibri"/>
          <w:color w:val="000000"/>
        </w:rPr>
        <w:t xml:space="preserve"> limited</w:t>
      </w:r>
      <w:r w:rsidRPr="001E7AA4">
        <w:rPr>
          <w:rFonts w:ascii="Calibri" w:hAnsi="Calibri" w:cs="Calibri"/>
          <w:color w:val="000000"/>
        </w:rPr>
        <w:t xml:space="preserve"> number of </w:t>
      </w:r>
      <w:r w:rsidR="009E5F3D" w:rsidRPr="001E7AA4">
        <w:rPr>
          <w:rFonts w:ascii="Calibri" w:hAnsi="Calibri" w:cs="Calibri"/>
          <w:color w:val="000000"/>
        </w:rPr>
        <w:t>proposals</w:t>
      </w:r>
      <w:r w:rsidRPr="001E7AA4">
        <w:rPr>
          <w:rFonts w:ascii="Calibri" w:hAnsi="Calibri" w:cs="Calibri"/>
          <w:color w:val="000000"/>
        </w:rPr>
        <w:t xml:space="preserve"> that address immediate problems, build momentu</w:t>
      </w:r>
      <w:r w:rsidR="002D1269" w:rsidRPr="001E7AA4">
        <w:rPr>
          <w:rFonts w:ascii="Calibri" w:hAnsi="Calibri" w:cs="Calibri"/>
          <w:color w:val="000000"/>
        </w:rPr>
        <w:t>m</w:t>
      </w:r>
      <w:r w:rsidR="009E5F3D" w:rsidRPr="001E7AA4">
        <w:rPr>
          <w:rFonts w:ascii="Calibri" w:hAnsi="Calibri" w:cs="Calibri"/>
          <w:color w:val="000000"/>
        </w:rPr>
        <w:t xml:space="preserve"> for wider change</w:t>
      </w:r>
      <w:r w:rsidR="0074269A" w:rsidRPr="001E7AA4">
        <w:rPr>
          <w:rFonts w:ascii="Calibri" w:hAnsi="Calibri" w:cs="Calibri"/>
          <w:color w:val="000000"/>
        </w:rPr>
        <w:t>,</w:t>
      </w:r>
      <w:r w:rsidRPr="001E7AA4">
        <w:rPr>
          <w:rFonts w:ascii="Calibri" w:hAnsi="Calibri" w:cs="Calibri"/>
          <w:color w:val="000000"/>
        </w:rPr>
        <w:t xml:space="preserve"> and can be implemented </w:t>
      </w:r>
      <w:r w:rsidR="009E5F3D" w:rsidRPr="001E7AA4">
        <w:rPr>
          <w:rFonts w:ascii="Calibri" w:hAnsi="Calibri" w:cs="Calibri"/>
          <w:color w:val="000000"/>
        </w:rPr>
        <w:t>while</w:t>
      </w:r>
      <w:r w:rsidRPr="001E7AA4">
        <w:rPr>
          <w:rFonts w:ascii="Calibri" w:hAnsi="Calibri" w:cs="Calibri"/>
          <w:color w:val="000000"/>
        </w:rPr>
        <w:t xml:space="preserve"> larger-scale and system-wide governance and funding </w:t>
      </w:r>
      <w:r w:rsidR="009E5F3D" w:rsidRPr="001E7AA4">
        <w:rPr>
          <w:rFonts w:ascii="Calibri" w:hAnsi="Calibri" w:cs="Calibri"/>
          <w:color w:val="000000"/>
        </w:rPr>
        <w:t>issues are being</w:t>
      </w:r>
      <w:r w:rsidRPr="001E7AA4">
        <w:rPr>
          <w:rFonts w:ascii="Calibri" w:hAnsi="Calibri" w:cs="Calibri"/>
          <w:color w:val="000000"/>
        </w:rPr>
        <w:t xml:space="preserve"> resolved.</w:t>
      </w:r>
      <w:r w:rsidR="00411FA4" w:rsidRPr="001E7AA4">
        <w:rPr>
          <w:rFonts w:ascii="Calibri" w:hAnsi="Calibri" w:cs="Calibri"/>
          <w:color w:val="000000"/>
        </w:rPr>
        <w:t xml:space="preserve"> These actions </w:t>
      </w:r>
      <w:r w:rsidR="009F76BF" w:rsidRPr="001E7AA4">
        <w:rPr>
          <w:rFonts w:ascii="Calibri" w:hAnsi="Calibri" w:cs="Calibri"/>
          <w:color w:val="000000"/>
        </w:rPr>
        <w:t>would</w:t>
      </w:r>
      <w:r w:rsidR="00411FA4" w:rsidRPr="001E7AA4">
        <w:rPr>
          <w:rFonts w:ascii="Calibri" w:hAnsi="Calibri" w:cs="Calibri"/>
          <w:color w:val="000000"/>
        </w:rPr>
        <w:t xml:space="preserve"> start to grow student numbers and the higher education system through </w:t>
      </w:r>
      <w:r w:rsidR="001A375C" w:rsidRPr="001E7AA4">
        <w:rPr>
          <w:rFonts w:ascii="Calibri" w:hAnsi="Calibri" w:cs="Calibri"/>
          <w:color w:val="000000"/>
        </w:rPr>
        <w:t xml:space="preserve">increased </w:t>
      </w:r>
      <w:r w:rsidR="00411FA4" w:rsidRPr="001E7AA4">
        <w:rPr>
          <w:rFonts w:ascii="Calibri" w:hAnsi="Calibri" w:cs="Calibri"/>
          <w:color w:val="000000"/>
        </w:rPr>
        <w:t>participation and engagement from equity cohorts.</w:t>
      </w:r>
    </w:p>
    <w:p w14:paraId="4DAAE2E1" w14:textId="0F4B02CA" w:rsidR="004459C7" w:rsidRPr="001E7AA4" w:rsidRDefault="009E5F3D" w:rsidP="004459C7">
      <w:pPr>
        <w:spacing w:line="240" w:lineRule="auto"/>
        <w:rPr>
          <w:rStyle w:val="normaltextrun"/>
          <w:rFonts w:ascii="Calibri" w:hAnsi="Calibri" w:cs="Calibri"/>
        </w:rPr>
      </w:pPr>
      <w:r w:rsidRPr="001E7AA4">
        <w:rPr>
          <w:rStyle w:val="normaltextrun"/>
          <w:rFonts w:ascii="Calibri" w:hAnsi="Calibri" w:cs="Calibri"/>
        </w:rPr>
        <w:t>Several immediate issues stand out for urgent action. University funding needs greater certainty, h</w:t>
      </w:r>
      <w:r w:rsidR="004459C7" w:rsidRPr="001E7AA4">
        <w:rPr>
          <w:rStyle w:val="normaltextrun"/>
          <w:rFonts w:ascii="Calibri" w:hAnsi="Calibri" w:cs="Calibri"/>
        </w:rPr>
        <w:t xml:space="preserve">igher education </w:t>
      </w:r>
      <w:r w:rsidRPr="001E7AA4">
        <w:rPr>
          <w:rStyle w:val="normaltextrun"/>
          <w:rFonts w:ascii="Calibri" w:hAnsi="Calibri" w:cs="Calibri"/>
        </w:rPr>
        <w:t xml:space="preserve">is too </w:t>
      </w:r>
      <w:r w:rsidR="004459C7" w:rsidRPr="001E7AA4">
        <w:rPr>
          <w:rStyle w:val="normaltextrun"/>
          <w:rFonts w:ascii="Calibri" w:hAnsi="Calibri" w:cs="Calibri"/>
        </w:rPr>
        <w:t xml:space="preserve">unequal, </w:t>
      </w:r>
      <w:r w:rsidRPr="001E7AA4">
        <w:rPr>
          <w:rStyle w:val="normaltextrun"/>
          <w:rFonts w:ascii="Calibri" w:hAnsi="Calibri" w:cs="Calibri"/>
        </w:rPr>
        <w:t xml:space="preserve">the </w:t>
      </w:r>
      <w:r w:rsidR="004459C7" w:rsidRPr="001E7AA4">
        <w:rPr>
          <w:rStyle w:val="normaltextrun"/>
          <w:rFonts w:ascii="Calibri" w:hAnsi="Calibri" w:cs="Calibri"/>
        </w:rPr>
        <w:t xml:space="preserve">Closing the Gap target </w:t>
      </w:r>
      <w:r w:rsidRPr="001E7AA4">
        <w:rPr>
          <w:rStyle w:val="normaltextrun"/>
          <w:rFonts w:ascii="Calibri" w:hAnsi="Calibri" w:cs="Calibri"/>
        </w:rPr>
        <w:t>for</w:t>
      </w:r>
      <w:r w:rsidR="004459C7" w:rsidRPr="001E7AA4">
        <w:rPr>
          <w:rStyle w:val="normaltextrun"/>
          <w:rFonts w:ascii="Calibri" w:hAnsi="Calibri" w:cs="Calibri"/>
        </w:rPr>
        <w:t xml:space="preserve"> First Nations tertiary attainment</w:t>
      </w:r>
      <w:r w:rsidRPr="001E7AA4">
        <w:rPr>
          <w:rStyle w:val="normaltextrun"/>
          <w:rFonts w:ascii="Calibri" w:hAnsi="Calibri" w:cs="Calibri"/>
        </w:rPr>
        <w:t xml:space="preserve"> still needs to be narrowed and closed</w:t>
      </w:r>
      <w:r w:rsidR="004459C7" w:rsidRPr="001E7AA4">
        <w:rPr>
          <w:rStyle w:val="normaltextrun"/>
          <w:rFonts w:ascii="Calibri" w:hAnsi="Calibri" w:cs="Calibri"/>
        </w:rPr>
        <w:t xml:space="preserve">, and </w:t>
      </w:r>
      <w:r w:rsidRPr="001E7AA4">
        <w:rPr>
          <w:rStyle w:val="normaltextrun"/>
          <w:rFonts w:ascii="Calibri" w:hAnsi="Calibri" w:cs="Calibri"/>
        </w:rPr>
        <w:t xml:space="preserve">the public’s concerns about </w:t>
      </w:r>
      <w:r w:rsidR="004459C7" w:rsidRPr="001E7AA4">
        <w:rPr>
          <w:rStyle w:val="normaltextrun"/>
          <w:rFonts w:ascii="Calibri" w:hAnsi="Calibri" w:cs="Calibri"/>
        </w:rPr>
        <w:t xml:space="preserve">student safety and </w:t>
      </w:r>
      <w:r w:rsidRPr="001E7AA4">
        <w:rPr>
          <w:rStyle w:val="normaltextrun"/>
          <w:rFonts w:ascii="Calibri" w:hAnsi="Calibri" w:cs="Calibri"/>
        </w:rPr>
        <w:t xml:space="preserve">staff </w:t>
      </w:r>
      <w:r w:rsidR="004459C7" w:rsidRPr="001E7AA4">
        <w:rPr>
          <w:rStyle w:val="normaltextrun"/>
          <w:rFonts w:ascii="Calibri" w:hAnsi="Calibri" w:cs="Calibri"/>
        </w:rPr>
        <w:t xml:space="preserve">underpayment </w:t>
      </w:r>
      <w:r w:rsidRPr="001E7AA4">
        <w:rPr>
          <w:rStyle w:val="normaltextrun"/>
          <w:rFonts w:ascii="Calibri" w:hAnsi="Calibri" w:cs="Calibri"/>
        </w:rPr>
        <w:t xml:space="preserve">need to be addressed. This Interim Report offers five </w:t>
      </w:r>
      <w:r w:rsidR="004459C7" w:rsidRPr="001E7AA4">
        <w:rPr>
          <w:rStyle w:val="normaltextrun"/>
          <w:rFonts w:ascii="Calibri" w:hAnsi="Calibri" w:cs="Calibri"/>
        </w:rPr>
        <w:t xml:space="preserve">modest, sensible </w:t>
      </w:r>
      <w:r w:rsidRPr="001E7AA4">
        <w:rPr>
          <w:rStyle w:val="normaltextrun"/>
          <w:rFonts w:ascii="Calibri" w:hAnsi="Calibri" w:cs="Calibri"/>
        </w:rPr>
        <w:t>priority actions to address these immediate issues</w:t>
      </w:r>
      <w:r w:rsidR="004459C7" w:rsidRPr="001E7AA4">
        <w:rPr>
          <w:rStyle w:val="normaltextrun"/>
          <w:rFonts w:ascii="Calibri" w:hAnsi="Calibri" w:cs="Calibri"/>
        </w:rPr>
        <w:t xml:space="preserve">. </w:t>
      </w:r>
      <w:r w:rsidRPr="001E7AA4">
        <w:rPr>
          <w:rStyle w:val="normaltextrun"/>
          <w:rFonts w:ascii="Calibri" w:hAnsi="Calibri" w:cs="Calibri"/>
        </w:rPr>
        <w:t xml:space="preserve">The </w:t>
      </w:r>
      <w:r w:rsidR="00600145" w:rsidRPr="001E7AA4">
        <w:rPr>
          <w:rStyle w:val="normaltextrun"/>
          <w:rFonts w:ascii="Calibri" w:hAnsi="Calibri" w:cs="Calibri"/>
        </w:rPr>
        <w:t>Review</w:t>
      </w:r>
      <w:r w:rsidR="004459C7" w:rsidRPr="001E7AA4">
        <w:rPr>
          <w:rStyle w:val="normaltextrun"/>
          <w:rFonts w:ascii="Calibri" w:hAnsi="Calibri" w:cs="Calibri"/>
        </w:rPr>
        <w:t>’s Final Report</w:t>
      </w:r>
      <w:r w:rsidRPr="001E7AA4">
        <w:rPr>
          <w:rStyle w:val="normaltextrun"/>
          <w:rFonts w:ascii="Calibri" w:hAnsi="Calibri" w:cs="Calibri"/>
        </w:rPr>
        <w:t xml:space="preserve"> will address them further, following wider consultation.</w:t>
      </w:r>
    </w:p>
    <w:p w14:paraId="5019F26D" w14:textId="77777777" w:rsidR="007557C7" w:rsidRPr="007557C7" w:rsidRDefault="00B11C3C" w:rsidP="00423FD0">
      <w:pPr>
        <w:pStyle w:val="PriorityAction-Heading5"/>
        <w:rPr>
          <w:i/>
        </w:rPr>
      </w:pPr>
      <w:r w:rsidRPr="007557C7">
        <w:t xml:space="preserve">Priority </w:t>
      </w:r>
      <w:r w:rsidRPr="00423FD0">
        <w:t>Action</w:t>
      </w:r>
      <w:r w:rsidRPr="007557C7">
        <w:t xml:space="preserve"> 1</w:t>
      </w:r>
    </w:p>
    <w:p w14:paraId="6C242714" w14:textId="7B4EA2A3" w:rsidR="00B11C3C" w:rsidRPr="00423FD0" w:rsidRDefault="00B11C3C" w:rsidP="00423FD0">
      <w:pPr>
        <w:pStyle w:val="PriorityActions-Body"/>
        <w:rPr>
          <w:rStyle w:val="PriorityAction-Bold"/>
        </w:rPr>
      </w:pPr>
      <w:r w:rsidRPr="00423FD0">
        <w:rPr>
          <w:rStyle w:val="PriorityAction-Bold"/>
        </w:rPr>
        <w:t>Extend visible, local access to tertiary education by creating further Regional University Centres (RUCs) and establish a similar concept for suburban/metropolitan locations.</w:t>
      </w:r>
    </w:p>
    <w:p w14:paraId="7B8AC05F" w14:textId="5EFA66B5" w:rsidR="00B11C3C" w:rsidRPr="007557C7" w:rsidRDefault="00B11C3C" w:rsidP="00423FD0">
      <w:pPr>
        <w:pStyle w:val="PriorityActions-Body"/>
        <w:rPr>
          <w:rStyle w:val="normaltextrun"/>
          <w:b/>
          <w:bCs w:val="0"/>
          <w:i w:val="0"/>
        </w:rPr>
      </w:pPr>
      <w:r w:rsidRPr="007557C7">
        <w:rPr>
          <w:rStyle w:val="normaltextrun"/>
        </w:rPr>
        <w:t xml:space="preserve">RUCs have been found to be effective at improving student participation, retention and completion rates in regional and remote areas and should be expanded. </w:t>
      </w:r>
    </w:p>
    <w:p w14:paraId="2C21E733" w14:textId="66B60A95" w:rsidR="00547E97" w:rsidRDefault="00B11C3C" w:rsidP="00547E97">
      <w:pPr>
        <w:pStyle w:val="PriorityActions-Body"/>
        <w:rPr>
          <w:rStyle w:val="eop"/>
        </w:rPr>
      </w:pPr>
      <w:r w:rsidRPr="007557C7">
        <w:rPr>
          <w:rStyle w:val="normaltextrun"/>
        </w:rPr>
        <w:t xml:space="preserve">The Review believes similar place-based and community-led solutions – </w:t>
      </w:r>
      <w:r w:rsidRPr="007557C7">
        <w:rPr>
          <w:rStyle w:val="eop"/>
        </w:rPr>
        <w:t>New Tertiary Study Hubs</w:t>
      </w:r>
      <w:r w:rsidRPr="007557C7">
        <w:rPr>
          <w:rStyle w:val="normaltextrun"/>
        </w:rPr>
        <w:t xml:space="preserve"> – could improve participation, retention and completion </w:t>
      </w:r>
      <w:r w:rsidRPr="007557C7">
        <w:rPr>
          <w:rStyle w:val="eop"/>
        </w:rPr>
        <w:t xml:space="preserve">for students in outer metropolitan and peri-urban areas, especially those from low SES backgrounds. These Hubs should be based on the specific needs of each local </w:t>
      </w:r>
      <w:r w:rsidR="00BB7B0A" w:rsidRPr="007557C7" w:rsidDel="00F77312">
        <w:rPr>
          <w:rStyle w:val="eop"/>
        </w:rPr>
        <w:t>communit</w:t>
      </w:r>
      <w:r w:rsidR="00BB7B0A" w:rsidRPr="007557C7">
        <w:rPr>
          <w:rStyle w:val="eop"/>
        </w:rPr>
        <w:t>y</w:t>
      </w:r>
      <w:r w:rsidRPr="007557C7">
        <w:rPr>
          <w:rStyle w:val="eop"/>
        </w:rPr>
        <w:t xml:space="preserve"> and have tailored wraparound support to help students succeed.</w:t>
      </w:r>
    </w:p>
    <w:p w14:paraId="70C0F61B" w14:textId="77777777" w:rsidR="00547E97" w:rsidRDefault="00547E97">
      <w:pPr>
        <w:spacing w:after="160"/>
        <w:rPr>
          <w:rStyle w:val="eop"/>
          <w:rFonts w:ascii="Calibri" w:eastAsia="Calibri" w:hAnsi="Calibri" w:cs="Calibri"/>
          <w:bCs/>
          <w:i/>
          <w:color w:val="000000" w:themeColor="text1"/>
        </w:rPr>
      </w:pPr>
      <w:r>
        <w:rPr>
          <w:rStyle w:val="eop"/>
        </w:rPr>
        <w:br w:type="page"/>
      </w:r>
    </w:p>
    <w:p w14:paraId="3463A23B" w14:textId="77777777" w:rsidR="007557C7" w:rsidRPr="007557C7" w:rsidRDefault="00B11C3C" w:rsidP="00423FD0">
      <w:pPr>
        <w:pStyle w:val="PriorityAction-Heading5"/>
        <w:rPr>
          <w:i/>
        </w:rPr>
      </w:pPr>
      <w:r w:rsidRPr="007557C7">
        <w:lastRenderedPageBreak/>
        <w:t xml:space="preserve">Priority </w:t>
      </w:r>
      <w:r w:rsidRPr="00423FD0">
        <w:t>Action</w:t>
      </w:r>
      <w:r w:rsidRPr="007557C7">
        <w:t xml:space="preserve"> 2</w:t>
      </w:r>
    </w:p>
    <w:p w14:paraId="2BAF4BEC" w14:textId="21B19310" w:rsidR="00B11C3C" w:rsidRPr="00423FD0" w:rsidRDefault="00B11C3C" w:rsidP="00423FD0">
      <w:pPr>
        <w:pStyle w:val="PriorityActions-Body"/>
        <w:rPr>
          <w:rStyle w:val="PriorityAction-Bold"/>
        </w:rPr>
      </w:pPr>
      <w:r w:rsidRPr="00423FD0">
        <w:rPr>
          <w:rStyle w:val="PriorityAction-Bold"/>
        </w:rPr>
        <w:t>Cease the 50</w:t>
      </w:r>
      <w:r w:rsidRPr="00423FD0" w:rsidDel="0002240E">
        <w:rPr>
          <w:rStyle w:val="PriorityAction-Bold"/>
        </w:rPr>
        <w:t>%</w:t>
      </w:r>
      <w:r w:rsidRPr="00423FD0">
        <w:rPr>
          <w:rStyle w:val="PriorityAction-Bold"/>
        </w:rPr>
        <w:t xml:space="preserve"> pass rule</w:t>
      </w:r>
      <w:r w:rsidRPr="00423FD0" w:rsidDel="009E5F3D">
        <w:rPr>
          <w:rStyle w:val="PriorityAction-Bold"/>
        </w:rPr>
        <w:t xml:space="preserve">, given its poor equity impacts, </w:t>
      </w:r>
      <w:r w:rsidRPr="00423FD0">
        <w:rPr>
          <w:rStyle w:val="PriorityAction-Bold"/>
        </w:rPr>
        <w:t>and require increased reporting on student progress.</w:t>
      </w:r>
    </w:p>
    <w:p w14:paraId="4C621EA6" w14:textId="5E801A63" w:rsidR="00B11C3C" w:rsidRDefault="00B11C3C" w:rsidP="00547E97">
      <w:pPr>
        <w:pStyle w:val="PriorityActions-Body"/>
        <w:spacing w:after="120"/>
        <w:rPr>
          <w:rStyle w:val="normaltextrun"/>
        </w:rPr>
      </w:pPr>
      <w:r w:rsidRPr="007557C7">
        <w:rPr>
          <w:rStyle w:val="normaltextrun"/>
        </w:rPr>
        <w:t>Introduced as part of the JRG package, the 50</w:t>
      </w:r>
      <w:r w:rsidRPr="007557C7" w:rsidDel="0002240E">
        <w:rPr>
          <w:rStyle w:val="normaltextrun"/>
        </w:rPr>
        <w:t>%</w:t>
      </w:r>
      <w:r w:rsidRPr="007557C7">
        <w:rPr>
          <w:rStyle w:val="normaltextrun"/>
        </w:rPr>
        <w:t xml:space="preserve"> pass rule disproportionately disadvantages students from equity backgrounds. Enhanced reporting on student progress will increase the focus on improving the success rates of at-risk students. While the </w:t>
      </w:r>
      <w:r w:rsidR="00ED219C" w:rsidRPr="007557C7">
        <w:rPr>
          <w:rStyle w:val="normaltextrun"/>
        </w:rPr>
        <w:t xml:space="preserve">Review </w:t>
      </w:r>
      <w:r w:rsidRPr="007557C7">
        <w:rPr>
          <w:rStyle w:val="normaltextrun"/>
        </w:rPr>
        <w:t>believes other aspects of the JRG package need reform, this change should proceed at the first possible opportunity.</w:t>
      </w:r>
    </w:p>
    <w:p w14:paraId="512BEA7C" w14:textId="77777777" w:rsidR="00423FD0" w:rsidRDefault="00423FD0" w:rsidP="00423FD0">
      <w:pPr>
        <w:spacing w:after="0"/>
        <w:rPr>
          <w:rStyle w:val="normaltextrun"/>
          <w:rFonts w:ascii="Calibri" w:hAnsi="Calibri" w:cs="Calibri"/>
          <w:b/>
          <w:bCs/>
        </w:rPr>
      </w:pPr>
    </w:p>
    <w:p w14:paraId="4228B660" w14:textId="77777777" w:rsidR="007557C7" w:rsidRPr="007557C7" w:rsidRDefault="004459C7" w:rsidP="00547E97">
      <w:pPr>
        <w:pStyle w:val="PriorityAction-Heading5"/>
        <w:spacing w:before="120"/>
        <w:rPr>
          <w:i/>
        </w:rPr>
      </w:pPr>
      <w:r w:rsidRPr="007557C7">
        <w:t xml:space="preserve">Priority </w:t>
      </w:r>
      <w:r w:rsidRPr="00423FD0">
        <w:t>Action</w:t>
      </w:r>
      <w:r w:rsidRPr="007557C7">
        <w:t xml:space="preserve"> </w:t>
      </w:r>
      <w:r w:rsidR="00B11C3C" w:rsidRPr="007557C7">
        <w:t>3</w:t>
      </w:r>
      <w:r w:rsidRPr="007557C7">
        <w:t xml:space="preserve"> </w:t>
      </w:r>
    </w:p>
    <w:p w14:paraId="249F3533" w14:textId="5269DBF9" w:rsidR="004459C7" w:rsidRPr="00423FD0" w:rsidRDefault="004459C7" w:rsidP="00423FD0">
      <w:pPr>
        <w:pStyle w:val="PriorityActions-Body"/>
        <w:rPr>
          <w:rStyle w:val="PriorityAction-Bold"/>
        </w:rPr>
      </w:pPr>
      <w:r w:rsidRPr="00423FD0">
        <w:rPr>
          <w:rStyle w:val="PriorityAction-Bold"/>
        </w:rPr>
        <w:t>Ensure that all First Nations students are eligible for a funded place at university, by extending demand driven funding to metropolitan First Nations students.</w:t>
      </w:r>
    </w:p>
    <w:p w14:paraId="0AC8BB53" w14:textId="11E9650B" w:rsidR="004459C7" w:rsidRDefault="004459C7" w:rsidP="00547E97">
      <w:pPr>
        <w:pStyle w:val="PriorityActions-Body"/>
        <w:spacing w:after="120"/>
        <w:rPr>
          <w:rStyle w:val="normaltextrun"/>
        </w:rPr>
      </w:pPr>
      <w:r w:rsidRPr="007557C7">
        <w:rPr>
          <w:rStyle w:val="normaltextrun"/>
        </w:rPr>
        <w:t>Consistent with the principle behind the introduction of guaranteed funding for First Nations students from regional and remote areas in 2021, this funding arrangement should apply to all First Nations people undertaking higher education,</w:t>
      </w:r>
      <w:r w:rsidRPr="007557C7" w:rsidDel="00C85432">
        <w:rPr>
          <w:rStyle w:val="normaltextrun"/>
        </w:rPr>
        <w:t xml:space="preserve"> </w:t>
      </w:r>
      <w:r w:rsidRPr="007557C7">
        <w:rPr>
          <w:rStyle w:val="normaltextrun"/>
        </w:rPr>
        <w:t>including</w:t>
      </w:r>
      <w:r w:rsidR="00F77312" w:rsidRPr="007557C7">
        <w:rPr>
          <w:rStyle w:val="normaltextrun"/>
        </w:rPr>
        <w:t xml:space="preserve"> in</w:t>
      </w:r>
      <w:r w:rsidRPr="007557C7">
        <w:rPr>
          <w:rStyle w:val="normaltextrun"/>
        </w:rPr>
        <w:t xml:space="preserve"> metropolitan areas.  </w:t>
      </w:r>
    </w:p>
    <w:p w14:paraId="0945A945" w14:textId="77777777" w:rsidR="00423FD0" w:rsidRDefault="00423FD0" w:rsidP="00423FD0">
      <w:pPr>
        <w:spacing w:after="0"/>
        <w:rPr>
          <w:rStyle w:val="normaltextrun"/>
        </w:rPr>
      </w:pPr>
    </w:p>
    <w:p w14:paraId="03E3944D" w14:textId="77777777" w:rsidR="007557C7" w:rsidRPr="007557C7" w:rsidRDefault="00CD662B" w:rsidP="00547E97">
      <w:pPr>
        <w:pStyle w:val="PriorityAction-Heading5"/>
        <w:spacing w:before="120"/>
      </w:pPr>
      <w:r w:rsidRPr="007557C7">
        <w:t>Priority Action 4</w:t>
      </w:r>
    </w:p>
    <w:p w14:paraId="54418E77" w14:textId="7D2808B9" w:rsidR="00CD662B" w:rsidRPr="00423FD0" w:rsidRDefault="00B9280E" w:rsidP="00423FD0">
      <w:pPr>
        <w:pStyle w:val="PriorityActions-Body"/>
        <w:rPr>
          <w:rStyle w:val="PriorityAction-Bold"/>
        </w:rPr>
      </w:pPr>
      <w:r w:rsidRPr="00423FD0" w:rsidDel="009E5F3D">
        <w:rPr>
          <w:rStyle w:val="PriorityAction-Bold"/>
        </w:rPr>
        <w:t>P</w:t>
      </w:r>
      <w:r w:rsidR="00CD662B" w:rsidRPr="00423FD0" w:rsidDel="009E5F3D">
        <w:rPr>
          <w:rStyle w:val="PriorityAction-Bold"/>
        </w:rPr>
        <w:t xml:space="preserve">rovide funding certainty, through the extension of </w:t>
      </w:r>
      <w:r w:rsidR="00CD662B" w:rsidRPr="00423FD0">
        <w:rPr>
          <w:rStyle w:val="PriorityAction-Bold"/>
        </w:rPr>
        <w:t>the Higher Education Continuity Guarantee into 2024 and 2025</w:t>
      </w:r>
      <w:r w:rsidR="00CD662B" w:rsidRPr="00423FD0" w:rsidDel="009E5F3D">
        <w:rPr>
          <w:rStyle w:val="PriorityAction-Bold"/>
        </w:rPr>
        <w:t>,</w:t>
      </w:r>
      <w:r w:rsidR="00CD662B" w:rsidRPr="00423FD0">
        <w:rPr>
          <w:rStyle w:val="PriorityAction-Bold"/>
        </w:rPr>
        <w:t xml:space="preserve"> to minimise the risk of unnecessary structural adjustment to the sector. Interim funding arrangements </w:t>
      </w:r>
      <w:r w:rsidR="72B3F9C7" w:rsidRPr="00423FD0">
        <w:rPr>
          <w:rStyle w:val="PriorityAction-Bold"/>
        </w:rPr>
        <w:t xml:space="preserve">must </w:t>
      </w:r>
      <w:r w:rsidR="00CD662B" w:rsidRPr="00423FD0" w:rsidDel="009E5F3D">
        <w:rPr>
          <w:rStyle w:val="PriorityAction-Bold"/>
        </w:rPr>
        <w:t xml:space="preserve">prioritise the delivery of supports </w:t>
      </w:r>
      <w:r w:rsidR="00CD662B" w:rsidRPr="00423FD0">
        <w:rPr>
          <w:rStyle w:val="PriorityAction-Bold"/>
        </w:rPr>
        <w:t>for equity students to accelerate reform towards a high equity, high participation system.</w:t>
      </w:r>
    </w:p>
    <w:p w14:paraId="0245D4B3" w14:textId="59516B2D" w:rsidR="00CD662B" w:rsidRPr="007557C7" w:rsidRDefault="00CD662B" w:rsidP="00423FD0">
      <w:pPr>
        <w:pStyle w:val="PriorityActions-Body"/>
        <w:rPr>
          <w:rStyle w:val="normaltextrun"/>
          <w:b/>
          <w:bCs w:val="0"/>
        </w:rPr>
      </w:pPr>
      <w:r w:rsidRPr="007557C7">
        <w:rPr>
          <w:rStyle w:val="normaltextrun"/>
        </w:rPr>
        <w:t>Universities</w:t>
      </w:r>
      <w:r w:rsidR="00304966" w:rsidRPr="007557C7">
        <w:rPr>
          <w:rStyle w:val="normaltextrun"/>
        </w:rPr>
        <w:t>’</w:t>
      </w:r>
      <w:r w:rsidRPr="007557C7">
        <w:rPr>
          <w:rStyle w:val="normaltextrun"/>
        </w:rPr>
        <w:t xml:space="preserve"> and eligible higher education providers’ Commonwealth Grant Scheme (CGS) funding is currently guaranteed to December 2023 through the Higher Education Continuity Guarantee</w:t>
      </w:r>
      <w:r w:rsidR="00F77312" w:rsidRPr="007557C7">
        <w:rPr>
          <w:rStyle w:val="normaltextrun"/>
        </w:rPr>
        <w:t xml:space="preserve"> (HECG)</w:t>
      </w:r>
      <w:r w:rsidRPr="007557C7">
        <w:rPr>
          <w:rStyle w:val="normaltextrun"/>
        </w:rPr>
        <w:t xml:space="preserve">. </w:t>
      </w:r>
      <w:r w:rsidR="009E5F3D" w:rsidRPr="007557C7">
        <w:rPr>
          <w:rStyle w:val="normaltextrun"/>
        </w:rPr>
        <w:t>The Final Report will propose n</w:t>
      </w:r>
      <w:r w:rsidR="0029200D" w:rsidRPr="007557C7">
        <w:rPr>
          <w:rStyle w:val="normaltextrun"/>
        </w:rPr>
        <w:t xml:space="preserve">ew funding arrangements </w:t>
      </w:r>
      <w:r w:rsidR="009E5F3D" w:rsidRPr="007557C7">
        <w:rPr>
          <w:rStyle w:val="normaltextrun"/>
        </w:rPr>
        <w:t xml:space="preserve">for consideration by </w:t>
      </w:r>
      <w:r w:rsidR="0040281B" w:rsidRPr="007557C7">
        <w:rPr>
          <w:rStyle w:val="normaltextrun"/>
        </w:rPr>
        <w:t>G</w:t>
      </w:r>
      <w:r w:rsidR="009E5F3D" w:rsidRPr="007557C7">
        <w:rPr>
          <w:rStyle w:val="normaltextrun"/>
        </w:rPr>
        <w:t xml:space="preserve">overnment. Extending </w:t>
      </w:r>
      <w:r w:rsidR="00C2314E" w:rsidRPr="007557C7">
        <w:rPr>
          <w:rStyle w:val="normaltextrun"/>
        </w:rPr>
        <w:t xml:space="preserve">the </w:t>
      </w:r>
      <w:r w:rsidR="00635FC5" w:rsidRPr="007557C7">
        <w:rPr>
          <w:rStyle w:val="normaltextrun"/>
        </w:rPr>
        <w:t xml:space="preserve">guarantee </w:t>
      </w:r>
      <w:r w:rsidR="009E5F3D" w:rsidRPr="007557C7">
        <w:rPr>
          <w:rStyle w:val="normaltextrun"/>
        </w:rPr>
        <w:t xml:space="preserve">into 2024 </w:t>
      </w:r>
      <w:r w:rsidR="0029200D" w:rsidRPr="007557C7">
        <w:rPr>
          <w:rStyle w:val="normaltextrun"/>
        </w:rPr>
        <w:t xml:space="preserve">will </w:t>
      </w:r>
      <w:r w:rsidR="009E5F3D" w:rsidRPr="007557C7">
        <w:rPr>
          <w:rStyle w:val="normaltextrun"/>
        </w:rPr>
        <w:t xml:space="preserve">avoid </w:t>
      </w:r>
      <w:r w:rsidRPr="007557C7">
        <w:rPr>
          <w:rStyle w:val="normaltextrun"/>
        </w:rPr>
        <w:t xml:space="preserve">unnecessary disruption to staff, students and the sector. </w:t>
      </w:r>
    </w:p>
    <w:p w14:paraId="36C6F2D5" w14:textId="7825D29C" w:rsidR="00423FD0" w:rsidRDefault="009E5F3D" w:rsidP="00423FD0">
      <w:pPr>
        <w:pStyle w:val="PriorityActions-Body"/>
        <w:rPr>
          <w:rStyle w:val="normaltextrun"/>
        </w:rPr>
      </w:pPr>
      <w:r w:rsidRPr="007557C7">
        <w:rPr>
          <w:rStyle w:val="normaltextrun"/>
        </w:rPr>
        <w:t>T</w:t>
      </w:r>
      <w:r w:rsidR="284B554C" w:rsidRPr="007557C7">
        <w:rPr>
          <w:rStyle w:val="normaltextrun"/>
        </w:rPr>
        <w:t xml:space="preserve">he Review </w:t>
      </w:r>
      <w:r w:rsidRPr="007557C7">
        <w:rPr>
          <w:rStyle w:val="normaltextrun"/>
        </w:rPr>
        <w:t xml:space="preserve">recommends </w:t>
      </w:r>
      <w:r w:rsidR="284B554C" w:rsidRPr="007557C7">
        <w:rPr>
          <w:rStyle w:val="normaltextrun"/>
        </w:rPr>
        <w:t xml:space="preserve">that </w:t>
      </w:r>
      <w:r w:rsidR="5DA8D729" w:rsidRPr="007557C7">
        <w:rPr>
          <w:rStyle w:val="normaltextrun"/>
        </w:rPr>
        <w:t xml:space="preserve">universities and providers </w:t>
      </w:r>
      <w:r w:rsidR="543B41D8" w:rsidRPr="007557C7">
        <w:rPr>
          <w:rStyle w:val="normaltextrun"/>
        </w:rPr>
        <w:t xml:space="preserve">should </w:t>
      </w:r>
      <w:r w:rsidR="543B41D8" w:rsidRPr="007557C7" w:rsidDel="009E5F3D">
        <w:rPr>
          <w:rStyle w:val="normaltextrun"/>
        </w:rPr>
        <w:t xml:space="preserve">be expected to direct </w:t>
      </w:r>
      <w:r w:rsidR="00E41A60" w:rsidRPr="007557C7" w:rsidDel="009E5F3D">
        <w:rPr>
          <w:rStyle w:val="normaltextrun"/>
        </w:rPr>
        <w:t xml:space="preserve">any </w:t>
      </w:r>
      <w:r w:rsidR="00E41A60" w:rsidRPr="007557C7">
        <w:rPr>
          <w:rStyle w:val="normaltextrun"/>
        </w:rPr>
        <w:t xml:space="preserve">funding </w:t>
      </w:r>
      <w:r w:rsidR="00E41A60" w:rsidRPr="007557C7" w:rsidDel="009E5F3D">
        <w:rPr>
          <w:rStyle w:val="normaltextrun"/>
        </w:rPr>
        <w:t xml:space="preserve">resulting </w:t>
      </w:r>
      <w:r w:rsidR="00E41A60" w:rsidRPr="007557C7">
        <w:rPr>
          <w:rStyle w:val="normaltextrun"/>
        </w:rPr>
        <w:t>from this guarantee</w:t>
      </w:r>
      <w:r w:rsidR="543B41D8" w:rsidRPr="007557C7">
        <w:rPr>
          <w:rStyle w:val="normaltextrun"/>
        </w:rPr>
        <w:t xml:space="preserve"> to</w:t>
      </w:r>
      <w:r w:rsidRPr="007557C7">
        <w:rPr>
          <w:rStyle w:val="normaltextrun"/>
        </w:rPr>
        <w:t xml:space="preserve"> support greater </w:t>
      </w:r>
      <w:r w:rsidR="543B41D8" w:rsidRPr="007557C7">
        <w:rPr>
          <w:rStyle w:val="normaltextrun"/>
        </w:rPr>
        <w:t>equity</w:t>
      </w:r>
      <w:r w:rsidR="2F0C0100" w:rsidRPr="007557C7">
        <w:rPr>
          <w:rStyle w:val="normaltextrun"/>
        </w:rPr>
        <w:t xml:space="preserve"> outcomes.</w:t>
      </w:r>
      <w:r w:rsidR="543B41D8" w:rsidRPr="007557C7">
        <w:rPr>
          <w:rStyle w:val="normaltextrun"/>
        </w:rPr>
        <w:t xml:space="preserve"> </w:t>
      </w:r>
      <w:r w:rsidRPr="007557C7">
        <w:rPr>
          <w:rStyle w:val="normaltextrun"/>
        </w:rPr>
        <w:t xml:space="preserve">This </w:t>
      </w:r>
      <w:r w:rsidR="00F242E4" w:rsidRPr="007557C7">
        <w:rPr>
          <w:rStyle w:val="normaltextrun"/>
        </w:rPr>
        <w:t xml:space="preserve">should be directed </w:t>
      </w:r>
      <w:r w:rsidR="00A14E11" w:rsidRPr="007557C7">
        <w:rPr>
          <w:rStyle w:val="normaltextrun"/>
        </w:rPr>
        <w:t>towards a range of assistance,</w:t>
      </w:r>
      <w:r w:rsidR="0036560D" w:rsidRPr="007557C7">
        <w:rPr>
          <w:rStyle w:val="normaltextrun"/>
        </w:rPr>
        <w:t xml:space="preserve"> such as </w:t>
      </w:r>
      <w:r w:rsidR="69601FE9" w:rsidRPr="007557C7">
        <w:rPr>
          <w:rStyle w:val="normaltextrun"/>
        </w:rPr>
        <w:t xml:space="preserve">increased </w:t>
      </w:r>
      <w:r w:rsidR="00F7655B" w:rsidRPr="007557C7">
        <w:rPr>
          <w:rStyle w:val="normaltextrun"/>
        </w:rPr>
        <w:t>support for students in</w:t>
      </w:r>
      <w:r w:rsidR="69601FE9" w:rsidRPr="007557C7">
        <w:rPr>
          <w:rStyle w:val="normaltextrun"/>
        </w:rPr>
        <w:t xml:space="preserve"> enabling courses, improved academic advice and learning support, wraparound </w:t>
      </w:r>
      <w:r w:rsidR="00AD7472" w:rsidRPr="007557C7">
        <w:rPr>
          <w:rStyle w:val="normaltextrun"/>
        </w:rPr>
        <w:t xml:space="preserve">support and </w:t>
      </w:r>
      <w:r w:rsidR="69601FE9" w:rsidRPr="007557C7">
        <w:rPr>
          <w:rStyle w:val="normaltextrun"/>
        </w:rPr>
        <w:t>services (such as mental health</w:t>
      </w:r>
      <w:r w:rsidRPr="007557C7">
        <w:rPr>
          <w:rStyle w:val="normaltextrun"/>
        </w:rPr>
        <w:t xml:space="preserve"> services</w:t>
      </w:r>
      <w:r w:rsidR="69601FE9" w:rsidRPr="007557C7">
        <w:rPr>
          <w:rStyle w:val="normaltextrun"/>
        </w:rPr>
        <w:t xml:space="preserve">), scholarships or other </w:t>
      </w:r>
      <w:r w:rsidRPr="007557C7">
        <w:rPr>
          <w:rStyle w:val="normaltextrun"/>
        </w:rPr>
        <w:t xml:space="preserve">equity-related </w:t>
      </w:r>
      <w:r w:rsidR="69601FE9" w:rsidRPr="007557C7">
        <w:rPr>
          <w:rStyle w:val="normaltextrun"/>
        </w:rPr>
        <w:t>services.</w:t>
      </w:r>
    </w:p>
    <w:p w14:paraId="5E0DAD1F" w14:textId="77777777" w:rsidR="00423FD0" w:rsidRDefault="00423FD0">
      <w:pPr>
        <w:spacing w:after="160"/>
        <w:rPr>
          <w:rStyle w:val="normaltextrun"/>
          <w:rFonts w:ascii="Calibri" w:eastAsia="Calibri" w:hAnsi="Calibri" w:cs="Calibri"/>
          <w:bCs/>
          <w:i/>
          <w:color w:val="000000" w:themeColor="text1"/>
        </w:rPr>
      </w:pPr>
      <w:r>
        <w:rPr>
          <w:rStyle w:val="normaltextrun"/>
        </w:rPr>
        <w:br w:type="page"/>
      </w:r>
    </w:p>
    <w:p w14:paraId="6E10BB16" w14:textId="77777777" w:rsidR="007557C7" w:rsidRPr="007557C7" w:rsidRDefault="004459C7" w:rsidP="00423FD0">
      <w:pPr>
        <w:pStyle w:val="PriorityAction-Heading5"/>
        <w:rPr>
          <w:i/>
        </w:rPr>
      </w:pPr>
      <w:r w:rsidRPr="007557C7">
        <w:lastRenderedPageBreak/>
        <w:t xml:space="preserve">Priority Action </w:t>
      </w:r>
      <w:r w:rsidR="00CD662B" w:rsidRPr="007557C7">
        <w:t>5</w:t>
      </w:r>
    </w:p>
    <w:p w14:paraId="5DDAD554" w14:textId="13563A8C" w:rsidR="004459C7" w:rsidRPr="007557C7" w:rsidRDefault="004459C7" w:rsidP="00423FD0">
      <w:pPr>
        <w:pStyle w:val="PriorityActions-Body"/>
        <w:rPr>
          <w:rStyle w:val="normaltextrun"/>
          <w:rFonts w:eastAsiaTheme="majorEastAsia"/>
          <w:i w:val="0"/>
          <w:iCs/>
        </w:rPr>
      </w:pPr>
      <w:r w:rsidRPr="007557C7" w:rsidDel="009E5F3D">
        <w:rPr>
          <w:rStyle w:val="normaltextrun"/>
          <w:rFonts w:eastAsiaTheme="majorEastAsia"/>
          <w:i w:val="0"/>
          <w:iCs/>
        </w:rPr>
        <w:t xml:space="preserve">Through </w:t>
      </w:r>
      <w:r w:rsidRPr="007557C7">
        <w:rPr>
          <w:rStyle w:val="normaltextrun"/>
          <w:rFonts w:eastAsiaTheme="majorEastAsia"/>
          <w:i w:val="0"/>
          <w:iCs/>
        </w:rPr>
        <w:t>National Cabinet</w:t>
      </w:r>
      <w:r w:rsidRPr="007557C7" w:rsidDel="009E5F3D">
        <w:rPr>
          <w:rStyle w:val="normaltextrun"/>
          <w:rFonts w:eastAsiaTheme="majorEastAsia"/>
          <w:i w:val="0"/>
          <w:iCs/>
        </w:rPr>
        <w:t>,</w:t>
      </w:r>
      <w:r w:rsidRPr="007557C7">
        <w:rPr>
          <w:rStyle w:val="normaltextrun"/>
          <w:rFonts w:eastAsiaTheme="majorEastAsia"/>
          <w:i w:val="0"/>
          <w:iCs/>
        </w:rPr>
        <w:t xml:space="preserve"> immediately engage</w:t>
      </w:r>
      <w:r w:rsidR="009E5F3D" w:rsidRPr="007557C7">
        <w:rPr>
          <w:rStyle w:val="normaltextrun"/>
          <w:rFonts w:eastAsiaTheme="majorEastAsia"/>
          <w:i w:val="0"/>
          <w:iCs/>
        </w:rPr>
        <w:t xml:space="preserve"> </w:t>
      </w:r>
      <w:r w:rsidRPr="007557C7" w:rsidDel="009E5F3D">
        <w:rPr>
          <w:rStyle w:val="normaltextrun"/>
          <w:rFonts w:eastAsiaTheme="majorEastAsia"/>
          <w:i w:val="0"/>
          <w:iCs/>
        </w:rPr>
        <w:t xml:space="preserve">with </w:t>
      </w:r>
      <w:r w:rsidR="00D409D8" w:rsidRPr="007557C7">
        <w:rPr>
          <w:rStyle w:val="normaltextrun"/>
          <w:rFonts w:eastAsiaTheme="majorEastAsia"/>
          <w:i w:val="0"/>
          <w:iCs/>
        </w:rPr>
        <w:t>s</w:t>
      </w:r>
      <w:r w:rsidRPr="007557C7" w:rsidDel="009E5F3D">
        <w:rPr>
          <w:rStyle w:val="normaltextrun"/>
          <w:rFonts w:eastAsiaTheme="majorEastAsia"/>
          <w:i w:val="0"/>
          <w:iCs/>
        </w:rPr>
        <w:t xml:space="preserve">tate </w:t>
      </w:r>
      <w:r w:rsidR="00EB3639" w:rsidRPr="007557C7" w:rsidDel="009E5F3D">
        <w:rPr>
          <w:rStyle w:val="normaltextrun"/>
          <w:rFonts w:eastAsiaTheme="majorEastAsia"/>
          <w:i w:val="0"/>
          <w:iCs/>
        </w:rPr>
        <w:t xml:space="preserve">and </w:t>
      </w:r>
      <w:r w:rsidR="00D409D8" w:rsidRPr="007557C7">
        <w:rPr>
          <w:rStyle w:val="normaltextrun"/>
          <w:rFonts w:eastAsiaTheme="majorEastAsia"/>
          <w:i w:val="0"/>
          <w:iCs/>
        </w:rPr>
        <w:t>t</w:t>
      </w:r>
      <w:r w:rsidR="00EB3639" w:rsidRPr="007557C7" w:rsidDel="009E5F3D">
        <w:rPr>
          <w:rStyle w:val="normaltextrun"/>
          <w:rFonts w:eastAsiaTheme="majorEastAsia"/>
          <w:i w:val="0"/>
          <w:iCs/>
        </w:rPr>
        <w:t xml:space="preserve">erritory </w:t>
      </w:r>
      <w:r w:rsidRPr="007557C7" w:rsidDel="009E5F3D">
        <w:rPr>
          <w:rStyle w:val="normaltextrun"/>
          <w:rFonts w:eastAsiaTheme="majorEastAsia"/>
          <w:i w:val="0"/>
          <w:iCs/>
        </w:rPr>
        <w:t xml:space="preserve">governments and universities to </w:t>
      </w:r>
      <w:r w:rsidRPr="007557C7">
        <w:rPr>
          <w:rStyle w:val="normaltextrun"/>
          <w:rFonts w:eastAsiaTheme="majorEastAsia"/>
          <w:i w:val="0"/>
          <w:iCs/>
        </w:rPr>
        <w:t>improve university governance</w:t>
      </w:r>
      <w:r w:rsidRPr="007557C7" w:rsidDel="009E5F3D">
        <w:rPr>
          <w:rStyle w:val="normaltextrun"/>
          <w:rFonts w:eastAsiaTheme="majorEastAsia"/>
          <w:i w:val="0"/>
          <w:iCs/>
        </w:rPr>
        <w:t>, particularly focusing on:  </w:t>
      </w:r>
    </w:p>
    <w:p w14:paraId="2F36DDCB" w14:textId="707B0351" w:rsidR="004459C7" w:rsidRPr="007557C7" w:rsidRDefault="004459C7" w:rsidP="00423FD0">
      <w:pPr>
        <w:pStyle w:val="PriorityActions-ListBullet"/>
      </w:pPr>
      <w:r w:rsidRPr="007557C7">
        <w:t xml:space="preserve">universities </w:t>
      </w:r>
      <w:r w:rsidRPr="007557C7" w:rsidDel="009E5F3D">
        <w:t>being</w:t>
      </w:r>
      <w:r w:rsidRPr="007557C7">
        <w:t xml:space="preserve"> good employers </w:t>
      </w:r>
    </w:p>
    <w:p w14:paraId="66E78C43" w14:textId="0CA12BAF" w:rsidR="004459C7" w:rsidRPr="007557C7" w:rsidRDefault="004459C7" w:rsidP="00423FD0">
      <w:pPr>
        <w:pStyle w:val="PriorityActions-ListBullet"/>
      </w:pPr>
      <w:r w:rsidRPr="007557C7">
        <w:t>student and staff safety </w:t>
      </w:r>
      <w:r w:rsidRPr="007557C7" w:rsidDel="009E5F3D">
        <w:t> </w:t>
      </w:r>
    </w:p>
    <w:p w14:paraId="5BFCC62C" w14:textId="3E6520F8" w:rsidR="004459C7" w:rsidRPr="007557C7" w:rsidRDefault="004459C7" w:rsidP="00423FD0">
      <w:pPr>
        <w:pStyle w:val="PriorityActions-ListBullet"/>
      </w:pPr>
      <w:r w:rsidRPr="007557C7" w:rsidDel="009E5F3D">
        <w:t>membership of governing bodies, including ensuring additional involvement of people with expertise in the business of universities</w:t>
      </w:r>
      <w:r w:rsidRPr="007557C7">
        <w:t>.</w:t>
      </w:r>
      <w:r w:rsidRPr="007557C7">
        <w:rPr>
          <w:rStyle w:val="eop"/>
          <w:rFonts w:ascii="Calibri" w:hAnsi="Calibri" w:cs="Calibri"/>
          <w:iCs/>
        </w:rPr>
        <w:t> </w:t>
      </w:r>
    </w:p>
    <w:p w14:paraId="52938471" w14:textId="6915052E" w:rsidR="007557C7" w:rsidRPr="007557C7" w:rsidRDefault="004459C7" w:rsidP="00547E97">
      <w:pPr>
        <w:pStyle w:val="PriorityActions-Body"/>
        <w:spacing w:after="480"/>
        <w:rPr>
          <w:rStyle w:val="normaltextrun"/>
          <w:b/>
          <w:bCs w:val="0"/>
        </w:rPr>
      </w:pPr>
      <w:r w:rsidRPr="007557C7" w:rsidDel="004E42B9">
        <w:rPr>
          <w:rStyle w:val="normaltextrun"/>
        </w:rPr>
        <w:t xml:space="preserve">Australian governments should work together to strengthen university governing boards by rebalancing their composition to put greater emphasis on higher education expertise. </w:t>
      </w:r>
      <w:r w:rsidR="009E5F3D" w:rsidRPr="007557C7">
        <w:rPr>
          <w:rStyle w:val="normaltextrun"/>
        </w:rPr>
        <w:t xml:space="preserve">Governing bodies must as a priority do more to improve </w:t>
      </w:r>
      <w:r w:rsidRPr="007557C7">
        <w:rPr>
          <w:rStyle w:val="normaltextrun"/>
        </w:rPr>
        <w:t xml:space="preserve">student </w:t>
      </w:r>
      <w:r w:rsidR="009E5F3D" w:rsidRPr="007557C7">
        <w:rPr>
          <w:rStyle w:val="normaltextrun"/>
        </w:rPr>
        <w:t xml:space="preserve">and staff </w:t>
      </w:r>
      <w:r w:rsidRPr="007557C7">
        <w:rPr>
          <w:rStyle w:val="normaltextrun"/>
        </w:rPr>
        <w:t xml:space="preserve">wellbeing and </w:t>
      </w:r>
      <w:r w:rsidR="009E5F3D" w:rsidRPr="007557C7">
        <w:rPr>
          <w:rStyle w:val="normaltextrun"/>
        </w:rPr>
        <w:t xml:space="preserve">become </w:t>
      </w:r>
      <w:r w:rsidRPr="007557C7">
        <w:rPr>
          <w:rStyle w:val="normaltextrun"/>
        </w:rPr>
        <w:t>exemplary employer</w:t>
      </w:r>
      <w:r w:rsidR="009E5F3D" w:rsidRPr="007557C7">
        <w:rPr>
          <w:rStyle w:val="normaltextrun"/>
        </w:rPr>
        <w:t>s</w:t>
      </w:r>
      <w:r w:rsidRPr="007557C7">
        <w:rPr>
          <w:rStyle w:val="normaltextrun"/>
        </w:rPr>
        <w:t>. </w:t>
      </w:r>
    </w:p>
    <w:p w14:paraId="2E03FCB9" w14:textId="5E1247FF" w:rsidR="004459C7" w:rsidRPr="001E7AA4" w:rsidRDefault="004459C7" w:rsidP="00547E97">
      <w:pPr>
        <w:pStyle w:val="Heading4"/>
      </w:pPr>
      <w:r w:rsidRPr="001E7AA4">
        <w:t>Part 2: Areas for further consideration</w:t>
      </w:r>
    </w:p>
    <w:p w14:paraId="6A0303C5" w14:textId="374C0114" w:rsidR="004459C7" w:rsidRPr="001E7AA4" w:rsidRDefault="004459C7" w:rsidP="004459C7">
      <w:pPr>
        <w:spacing w:line="240" w:lineRule="auto"/>
        <w:rPr>
          <w:rFonts w:ascii="Calibri" w:hAnsi="Calibri" w:cs="Calibri"/>
          <w:color w:val="000000"/>
        </w:rPr>
      </w:pPr>
      <w:r w:rsidRPr="001E7AA4">
        <w:rPr>
          <w:rFonts w:ascii="Calibri" w:hAnsi="Calibri" w:cs="Calibri"/>
          <w:color w:val="000000"/>
        </w:rPr>
        <w:t xml:space="preserve">The Review is considering three main categories: </w:t>
      </w:r>
      <w:r w:rsidR="009E5F3D" w:rsidRPr="001E7AA4">
        <w:rPr>
          <w:rFonts w:ascii="Calibri" w:hAnsi="Calibri" w:cs="Calibri"/>
          <w:color w:val="000000"/>
        </w:rPr>
        <w:t xml:space="preserve">(1) </w:t>
      </w:r>
      <w:r w:rsidRPr="001E7AA4">
        <w:rPr>
          <w:rFonts w:ascii="Calibri" w:hAnsi="Calibri" w:cs="Calibri"/>
          <w:color w:val="000000"/>
        </w:rPr>
        <w:t xml:space="preserve">evolving the mission for higher education; </w:t>
      </w:r>
      <w:r w:rsidR="009E5F3D" w:rsidRPr="001E7AA4">
        <w:rPr>
          <w:rFonts w:ascii="Calibri" w:hAnsi="Calibri" w:cs="Calibri"/>
          <w:color w:val="000000"/>
        </w:rPr>
        <w:t xml:space="preserve">(2) </w:t>
      </w:r>
      <w:r w:rsidRPr="001E7AA4">
        <w:rPr>
          <w:rFonts w:ascii="Calibri" w:hAnsi="Calibri" w:cs="Calibri"/>
          <w:color w:val="000000"/>
        </w:rPr>
        <w:t xml:space="preserve">creating the foundations for a high functioning national system; and </w:t>
      </w:r>
      <w:r w:rsidR="009E5F3D" w:rsidRPr="001E7AA4">
        <w:rPr>
          <w:rFonts w:ascii="Calibri" w:hAnsi="Calibri" w:cs="Calibri"/>
          <w:color w:val="000000"/>
        </w:rPr>
        <w:t xml:space="preserve">(3) </w:t>
      </w:r>
      <w:r w:rsidRPr="001E7AA4">
        <w:rPr>
          <w:rFonts w:ascii="Calibri" w:hAnsi="Calibri" w:cs="Calibri"/>
          <w:color w:val="000000"/>
        </w:rPr>
        <w:t>building an enduring Accord process.</w:t>
      </w:r>
      <w:r w:rsidR="009E5F3D" w:rsidRPr="001E7AA4">
        <w:rPr>
          <w:rFonts w:ascii="Calibri" w:hAnsi="Calibri" w:cs="Calibri"/>
          <w:color w:val="000000"/>
        </w:rPr>
        <w:t xml:space="preserve"> The remainder of this Interim Report outlines the results of the </w:t>
      </w:r>
      <w:r w:rsidR="000A37D4" w:rsidRPr="001E7AA4">
        <w:rPr>
          <w:rFonts w:ascii="Calibri" w:hAnsi="Calibri" w:cs="Calibri"/>
          <w:color w:val="000000"/>
        </w:rPr>
        <w:t>Review</w:t>
      </w:r>
      <w:r w:rsidR="009E5F3D" w:rsidRPr="001E7AA4">
        <w:rPr>
          <w:rFonts w:ascii="Calibri" w:hAnsi="Calibri" w:cs="Calibri"/>
          <w:color w:val="000000"/>
        </w:rPr>
        <w:t>’s discussions and preliminary findings to date on these issues. Final conclusions and recommendations will appear in the Final Report.</w:t>
      </w:r>
    </w:p>
    <w:p w14:paraId="1B80DD6D" w14:textId="513E7F20" w:rsidR="00DB4839" w:rsidRPr="001E7AA4" w:rsidRDefault="00DB4839" w:rsidP="004459C7">
      <w:pPr>
        <w:spacing w:line="240" w:lineRule="auto"/>
        <w:rPr>
          <w:rFonts w:ascii="Calibri" w:hAnsi="Calibri" w:cs="Calibri"/>
          <w:color w:val="000000"/>
        </w:rPr>
      </w:pPr>
      <w:r w:rsidRPr="001E7AA4">
        <w:rPr>
          <w:rFonts w:ascii="Calibri" w:hAnsi="Calibri" w:cs="Calibri"/>
          <w:color w:val="000000"/>
        </w:rPr>
        <w:t>From the start, the Review wants to be clear that it seeks to build a big and broad platform for change across the entire spectrum of higher education in ways that will benefit all Australians.</w:t>
      </w:r>
    </w:p>
    <w:p w14:paraId="10B4901C" w14:textId="77777777" w:rsidR="004459C7" w:rsidRPr="001E7AA4" w:rsidRDefault="004459C7" w:rsidP="00547E97">
      <w:pPr>
        <w:pStyle w:val="Heading5"/>
      </w:pPr>
      <w:r w:rsidRPr="001E7AA4">
        <w:t>Evolving the mission for higher education</w:t>
      </w:r>
    </w:p>
    <w:p w14:paraId="7A093917" w14:textId="79D22864" w:rsidR="004459C7" w:rsidRPr="001E7AA4" w:rsidRDefault="009E5F3D" w:rsidP="00A025B1">
      <w:pPr>
        <w:pStyle w:val="ListParagraph"/>
        <w:numPr>
          <w:ilvl w:val="0"/>
          <w:numId w:val="7"/>
        </w:numPr>
        <w:spacing w:line="240" w:lineRule="auto"/>
        <w:rPr>
          <w:rFonts w:ascii="Calibri" w:hAnsi="Calibri" w:cs="Calibri"/>
          <w:b/>
          <w:bCs/>
          <w:color w:val="000000"/>
        </w:rPr>
      </w:pPr>
      <w:r w:rsidRPr="001E7AA4">
        <w:rPr>
          <w:rFonts w:ascii="Calibri" w:hAnsi="Calibri" w:cs="Calibri"/>
          <w:b/>
          <w:bCs/>
          <w:color w:val="000000"/>
        </w:rPr>
        <w:t xml:space="preserve">Putting </w:t>
      </w:r>
      <w:r w:rsidR="004459C7" w:rsidRPr="001E7AA4">
        <w:rPr>
          <w:rFonts w:ascii="Calibri" w:hAnsi="Calibri" w:cs="Calibri"/>
          <w:b/>
          <w:bCs/>
          <w:color w:val="000000"/>
        </w:rPr>
        <w:t xml:space="preserve">First Nations at the heart of </w:t>
      </w:r>
      <w:r w:rsidRPr="001E7AA4">
        <w:rPr>
          <w:rFonts w:ascii="Calibri" w:hAnsi="Calibri" w:cs="Calibri"/>
          <w:b/>
          <w:bCs/>
          <w:color w:val="000000"/>
        </w:rPr>
        <w:t>Australia’s</w:t>
      </w:r>
      <w:r w:rsidR="004459C7" w:rsidRPr="001E7AA4">
        <w:rPr>
          <w:rFonts w:ascii="Calibri" w:hAnsi="Calibri" w:cs="Calibri"/>
          <w:b/>
          <w:bCs/>
          <w:color w:val="000000"/>
        </w:rPr>
        <w:t xml:space="preserve"> </w:t>
      </w:r>
      <w:r w:rsidRPr="001E7AA4">
        <w:rPr>
          <w:rFonts w:ascii="Calibri" w:hAnsi="Calibri" w:cs="Calibri"/>
          <w:b/>
          <w:bCs/>
          <w:color w:val="000000"/>
        </w:rPr>
        <w:t xml:space="preserve">higher education </w:t>
      </w:r>
      <w:r w:rsidR="004459C7" w:rsidRPr="001E7AA4">
        <w:rPr>
          <w:rFonts w:ascii="Calibri" w:hAnsi="Calibri" w:cs="Calibri"/>
          <w:b/>
          <w:bCs/>
          <w:color w:val="000000"/>
        </w:rPr>
        <w:t>system</w:t>
      </w:r>
    </w:p>
    <w:p w14:paraId="4EE02D07" w14:textId="0E647327" w:rsidR="004459C7" w:rsidRDefault="004459C7" w:rsidP="004459C7">
      <w:pPr>
        <w:spacing w:line="240" w:lineRule="auto"/>
        <w:rPr>
          <w:rFonts w:ascii="Calibri" w:hAnsi="Calibri" w:cs="Calibri"/>
          <w:color w:val="000000"/>
        </w:rPr>
      </w:pPr>
      <w:r w:rsidRPr="001E7AA4">
        <w:rPr>
          <w:rFonts w:ascii="Calibri" w:hAnsi="Calibri" w:cs="Calibri"/>
          <w:color w:val="000000"/>
        </w:rPr>
        <w:t xml:space="preserve">First Nations students, culture, knowledge, research and communities </w:t>
      </w:r>
      <w:r w:rsidR="00DB4839" w:rsidRPr="001E7AA4">
        <w:rPr>
          <w:rFonts w:ascii="Calibri" w:hAnsi="Calibri" w:cs="Calibri"/>
          <w:color w:val="000000"/>
        </w:rPr>
        <w:t>sh</w:t>
      </w:r>
      <w:r w:rsidRPr="001E7AA4">
        <w:rPr>
          <w:rFonts w:ascii="Calibri" w:hAnsi="Calibri" w:cs="Calibri"/>
          <w:color w:val="000000"/>
        </w:rPr>
        <w:t xml:space="preserve">ould be at the heart of the Australian system of higher education. Participation in higher education is a pathway to success for First Nations families and their communities, and </w:t>
      </w:r>
      <w:r w:rsidR="00DB4839" w:rsidRPr="001E7AA4">
        <w:rPr>
          <w:rFonts w:ascii="Calibri" w:hAnsi="Calibri" w:cs="Calibri"/>
          <w:color w:val="000000"/>
        </w:rPr>
        <w:t xml:space="preserve">building </w:t>
      </w:r>
      <w:r w:rsidRPr="001E7AA4">
        <w:rPr>
          <w:rFonts w:ascii="Calibri" w:hAnsi="Calibri" w:cs="Calibri"/>
          <w:color w:val="000000"/>
        </w:rPr>
        <w:t xml:space="preserve">First Nations cultures and knowledge more strongly into the fabric of </w:t>
      </w:r>
      <w:r w:rsidR="00DB4839" w:rsidRPr="001E7AA4">
        <w:rPr>
          <w:rFonts w:ascii="Calibri" w:hAnsi="Calibri" w:cs="Calibri"/>
          <w:color w:val="000000"/>
        </w:rPr>
        <w:t xml:space="preserve">our national </w:t>
      </w:r>
      <w:r w:rsidRPr="001E7AA4">
        <w:rPr>
          <w:rFonts w:ascii="Calibri" w:hAnsi="Calibri" w:cs="Calibri"/>
          <w:color w:val="000000"/>
        </w:rPr>
        <w:t>institutions</w:t>
      </w:r>
      <w:r w:rsidR="00DB4839" w:rsidRPr="001E7AA4">
        <w:rPr>
          <w:rFonts w:ascii="Calibri" w:hAnsi="Calibri" w:cs="Calibri"/>
          <w:color w:val="000000"/>
        </w:rPr>
        <w:t xml:space="preserve"> will enrich </w:t>
      </w:r>
      <w:r w:rsidR="009E5F3D" w:rsidRPr="001E7AA4">
        <w:rPr>
          <w:rFonts w:ascii="Calibri" w:hAnsi="Calibri" w:cs="Calibri"/>
          <w:color w:val="000000"/>
        </w:rPr>
        <w:t>our whole society</w:t>
      </w:r>
      <w:r w:rsidR="00DB4839" w:rsidRPr="001E7AA4">
        <w:rPr>
          <w:rFonts w:ascii="Calibri" w:hAnsi="Calibri" w:cs="Calibri"/>
          <w:color w:val="000000"/>
        </w:rPr>
        <w:t>.</w:t>
      </w:r>
      <w:r w:rsidRPr="001E7AA4">
        <w:rPr>
          <w:rFonts w:ascii="Calibri" w:hAnsi="Calibri" w:cs="Calibri"/>
          <w:color w:val="000000"/>
        </w:rPr>
        <w:t xml:space="preserve"> </w:t>
      </w:r>
    </w:p>
    <w:p w14:paraId="73C088F9" w14:textId="4F1D766F" w:rsidR="005C2F55" w:rsidRDefault="009F6875" w:rsidP="009F6875">
      <w:pPr>
        <w:pStyle w:val="Pulloutboxes"/>
      </w:pPr>
      <w:r w:rsidRPr="00D71585">
        <w:t>The knowledge, understanding and power inherent in higher education will help build a nation of reconciliation and equality.</w:t>
      </w:r>
    </w:p>
    <w:p w14:paraId="38556781" w14:textId="77777777" w:rsidR="005C2F55" w:rsidRDefault="005C2F55">
      <w:pPr>
        <w:spacing w:after="160"/>
        <w:rPr>
          <w:rFonts w:ascii="Calibri" w:hAnsi="Calibri" w:cs="Calibri"/>
          <w:color w:val="000000" w:themeColor="text1"/>
        </w:rPr>
      </w:pPr>
      <w:r>
        <w:br w:type="page"/>
      </w:r>
    </w:p>
    <w:p w14:paraId="78B9D740" w14:textId="77777777" w:rsidR="009F6875" w:rsidRDefault="009F6875" w:rsidP="00560132">
      <w:pPr>
        <w:pStyle w:val="BlueShadedBox-Body"/>
        <w:spacing w:after="120"/>
      </w:pPr>
      <w:r w:rsidRPr="001E7AA4">
        <w:lastRenderedPageBreak/>
        <w:t xml:space="preserve">For these reasons, the Review is giving further consideration to the following policy areas: </w:t>
      </w:r>
    </w:p>
    <w:p w14:paraId="0C83B72D" w14:textId="77777777" w:rsidR="009F6875" w:rsidRPr="00D27B4C" w:rsidRDefault="009F6875" w:rsidP="005C2F55">
      <w:pPr>
        <w:pStyle w:val="BlueShadedBox-ListLetterstest"/>
      </w:pPr>
      <w:r w:rsidRPr="001E7AA4">
        <w:t>creating a new First Nations Higher Education Council to give v</w:t>
      </w:r>
      <w:r w:rsidRPr="00D27B4C">
        <w:t>oice to the needs, aspirations and know-how of community</w:t>
      </w:r>
    </w:p>
    <w:p w14:paraId="3416F5D1" w14:textId="77777777" w:rsidR="009F6875" w:rsidRPr="001E7AA4" w:rsidRDefault="009F6875" w:rsidP="005C2F55">
      <w:pPr>
        <w:pStyle w:val="BlueShadedBox-ListLetterstest"/>
      </w:pPr>
      <w:r w:rsidRPr="00D27B4C">
        <w:t xml:space="preserve">moving towards a self-determined approach to national funding and policy settings in relation to First Nations students, employment, teaching, research and engagement, with universities mirroring this approach within their institutions, as is the case in </w:t>
      </w:r>
      <w:r w:rsidRPr="001E7AA4">
        <w:t>some institutions today</w:t>
      </w:r>
    </w:p>
    <w:p w14:paraId="6FE11CCD" w14:textId="77777777" w:rsidR="009F6875" w:rsidRPr="001E7AA4" w:rsidRDefault="009F6875" w:rsidP="005C2F55">
      <w:pPr>
        <w:pStyle w:val="BlueShadedBox-ListLetterstest"/>
      </w:pPr>
      <w:r w:rsidRPr="001E7AA4">
        <w:t>supporting a First Nations-led review of access, participation and outcomes for First Nations students and staff, research, teaching, use of First Nations knowledges, and First Nations governance and leadership within universities</w:t>
      </w:r>
    </w:p>
    <w:p w14:paraId="53A5BEB5" w14:textId="2EB4CD77" w:rsidR="009F6875" w:rsidRDefault="009F6875" w:rsidP="005C2F55">
      <w:pPr>
        <w:pStyle w:val="BlueShadedBox-ListLetterstest"/>
      </w:pPr>
      <w:r w:rsidRPr="001E7AA4">
        <w:t>enhancing research capability for First Nations knowledges and for collaboration and partnerships between First Nations communities, governments, universities and industry.</w:t>
      </w:r>
    </w:p>
    <w:p w14:paraId="1F29261C" w14:textId="77777777" w:rsidR="009F6875" w:rsidRPr="001E7AA4" w:rsidRDefault="009F6875" w:rsidP="004459C7">
      <w:pPr>
        <w:spacing w:after="0" w:line="240" w:lineRule="auto"/>
        <w:rPr>
          <w:rFonts w:ascii="Calibri" w:eastAsia="Calibri" w:hAnsi="Calibri" w:cs="Calibri"/>
        </w:rPr>
      </w:pPr>
    </w:p>
    <w:p w14:paraId="231D02DA" w14:textId="7243ECE4" w:rsidR="004459C7" w:rsidRPr="001E7AA4" w:rsidRDefault="004459C7" w:rsidP="00A025B1">
      <w:pPr>
        <w:pStyle w:val="ListParagraph"/>
        <w:keepNext/>
        <w:numPr>
          <w:ilvl w:val="0"/>
          <w:numId w:val="7"/>
        </w:numPr>
        <w:spacing w:line="240" w:lineRule="auto"/>
        <w:rPr>
          <w:rFonts w:ascii="Calibri" w:hAnsi="Calibri" w:cs="Calibri"/>
          <w:b/>
          <w:bCs/>
          <w:color w:val="000000"/>
        </w:rPr>
      </w:pPr>
      <w:r w:rsidRPr="001E7AA4">
        <w:rPr>
          <w:rFonts w:ascii="Calibri" w:hAnsi="Calibri" w:cs="Calibri"/>
          <w:b/>
          <w:bCs/>
          <w:color w:val="000000"/>
        </w:rPr>
        <w:t>More students enrolled in higher education, a fair system that ensures access and attainment, and a larger system that better meets national jobs and skills needs</w:t>
      </w:r>
    </w:p>
    <w:p w14:paraId="6313DE8E" w14:textId="32E3CD1B" w:rsidR="004124ED" w:rsidRPr="001E7AA4" w:rsidRDefault="00DB4839" w:rsidP="00BC654C">
      <w:pPr>
        <w:keepNext/>
        <w:spacing w:after="0" w:line="276" w:lineRule="auto"/>
        <w:contextualSpacing/>
        <w:rPr>
          <w:rFonts w:ascii="Calibri" w:eastAsia="Times New Roman" w:hAnsi="Calibri" w:cs="Calibri"/>
          <w:color w:val="000000" w:themeColor="text1"/>
          <w:lang w:eastAsia="en-GB"/>
        </w:rPr>
      </w:pPr>
      <w:r w:rsidRPr="001E7AA4">
        <w:rPr>
          <w:rFonts w:ascii="Calibri" w:eastAsia="Calibri" w:hAnsi="Calibri" w:cs="Calibri"/>
        </w:rPr>
        <w:t>Australia needs to</w:t>
      </w:r>
      <w:r w:rsidR="004459C7" w:rsidRPr="001E7AA4">
        <w:rPr>
          <w:rFonts w:ascii="Calibri" w:eastAsia="Calibri" w:hAnsi="Calibri" w:cs="Calibri"/>
        </w:rPr>
        <w:t xml:space="preserve"> significant</w:t>
      </w:r>
      <w:r w:rsidRPr="001E7AA4">
        <w:rPr>
          <w:rFonts w:ascii="Calibri" w:eastAsia="Calibri" w:hAnsi="Calibri" w:cs="Calibri"/>
        </w:rPr>
        <w:t xml:space="preserve">ly increase </w:t>
      </w:r>
      <w:r w:rsidR="004459C7" w:rsidRPr="001E7AA4">
        <w:rPr>
          <w:rFonts w:ascii="Calibri" w:eastAsia="Calibri" w:hAnsi="Calibri" w:cs="Calibri"/>
        </w:rPr>
        <w:t>tertiary education participation and attainment</w:t>
      </w:r>
      <w:r w:rsidRPr="001E7AA4">
        <w:rPr>
          <w:rFonts w:ascii="Calibri" w:eastAsia="Calibri" w:hAnsi="Calibri" w:cs="Calibri"/>
        </w:rPr>
        <w:t xml:space="preserve"> levels to create a stronger economy and a fairer society </w:t>
      </w:r>
      <w:r w:rsidR="004124ED" w:rsidRPr="001E7AA4">
        <w:rPr>
          <w:rFonts w:ascii="Calibri" w:eastAsia="Times New Roman" w:hAnsi="Calibri" w:cs="Calibri"/>
          <w:color w:val="000000" w:themeColor="text1"/>
          <w:lang w:eastAsia="en-GB"/>
        </w:rPr>
        <w:t>over the next three decades.</w:t>
      </w:r>
    </w:p>
    <w:p w14:paraId="5FA330C7" w14:textId="77777777" w:rsidR="004124ED" w:rsidRPr="001E7AA4" w:rsidRDefault="004124ED" w:rsidP="00BC654C">
      <w:pPr>
        <w:spacing w:line="276" w:lineRule="auto"/>
        <w:contextualSpacing/>
        <w:rPr>
          <w:rFonts w:ascii="Calibri" w:eastAsia="Times New Roman" w:hAnsi="Calibri" w:cs="Calibri"/>
          <w:color w:val="000000" w:themeColor="text1"/>
          <w:lang w:eastAsia="en-GB"/>
        </w:rPr>
      </w:pPr>
    </w:p>
    <w:p w14:paraId="379DDE6B" w14:textId="75356CE3" w:rsidR="0036560D" w:rsidRPr="001E7AA4" w:rsidRDefault="1623FB87" w:rsidP="0036560D">
      <w:pPr>
        <w:rPr>
          <w:rFonts w:ascii="Calibri" w:eastAsia="Times New Roman" w:hAnsi="Calibri" w:cs="Calibri"/>
          <w:color w:val="000000" w:themeColor="text1"/>
          <w:lang w:eastAsia="en-GB"/>
        </w:rPr>
      </w:pPr>
      <w:r w:rsidRPr="001E7AA4">
        <w:rPr>
          <w:rFonts w:ascii="Calibri" w:eastAsia="Times New Roman" w:hAnsi="Calibri" w:cs="Calibri"/>
          <w:color w:val="000000" w:themeColor="text1"/>
          <w:lang w:eastAsia="en-GB"/>
        </w:rPr>
        <w:t xml:space="preserve">The Australian higher education system includes </w:t>
      </w:r>
      <w:r w:rsidR="080DED8D" w:rsidRPr="001E7AA4">
        <w:rPr>
          <w:rFonts w:ascii="Calibri" w:eastAsia="Times New Roman" w:hAnsi="Calibri" w:cs="Calibri"/>
          <w:color w:val="000000" w:themeColor="text1"/>
          <w:lang w:eastAsia="en-GB"/>
        </w:rPr>
        <w:t xml:space="preserve">domestic </w:t>
      </w:r>
      <w:r w:rsidR="1F563874" w:rsidRPr="001E7AA4">
        <w:rPr>
          <w:rFonts w:ascii="Calibri" w:eastAsia="Times New Roman" w:hAnsi="Calibri" w:cs="Calibri"/>
          <w:color w:val="000000" w:themeColor="text1"/>
          <w:lang w:eastAsia="en-GB"/>
        </w:rPr>
        <w:t>students enrolled in both Commonwealth supported and full-fee paying places</w:t>
      </w:r>
      <w:r w:rsidR="6E48F9F6" w:rsidRPr="001E7AA4">
        <w:rPr>
          <w:rFonts w:ascii="Calibri" w:eastAsia="Times New Roman" w:hAnsi="Calibri" w:cs="Calibri"/>
          <w:color w:val="000000" w:themeColor="text1"/>
          <w:lang w:eastAsia="en-GB"/>
        </w:rPr>
        <w:t xml:space="preserve"> across a range of higher education institutions</w:t>
      </w:r>
      <w:r w:rsidR="1F563874" w:rsidRPr="001E7AA4">
        <w:rPr>
          <w:rFonts w:ascii="Calibri" w:eastAsia="Times New Roman" w:hAnsi="Calibri" w:cs="Calibri"/>
          <w:color w:val="000000" w:themeColor="text1"/>
          <w:lang w:eastAsia="en-GB"/>
        </w:rPr>
        <w:t>.</w:t>
      </w:r>
      <w:r w:rsidRPr="001E7AA4">
        <w:rPr>
          <w:rFonts w:ascii="Calibri" w:eastAsia="Times New Roman" w:hAnsi="Calibri" w:cs="Calibri"/>
          <w:color w:val="000000" w:themeColor="text1"/>
          <w:lang w:eastAsia="en-GB"/>
        </w:rPr>
        <w:t xml:space="preserve"> </w:t>
      </w:r>
      <w:r w:rsidR="004C1C05" w:rsidRPr="001E7AA4">
        <w:rPr>
          <w:rFonts w:ascii="Calibri" w:eastAsia="Times New Roman" w:hAnsi="Calibri" w:cs="Calibri"/>
          <w:color w:val="000000" w:themeColor="text1"/>
          <w:lang w:eastAsia="en-GB"/>
        </w:rPr>
        <w:t>T</w:t>
      </w:r>
      <w:r w:rsidRPr="001E7AA4">
        <w:rPr>
          <w:rFonts w:ascii="Calibri" w:eastAsia="Times New Roman" w:hAnsi="Calibri" w:cs="Calibri"/>
          <w:color w:val="000000" w:themeColor="text1"/>
          <w:lang w:eastAsia="en-GB"/>
        </w:rPr>
        <w:t xml:space="preserve">he bulk of heavy lifting in growing higher education </w:t>
      </w:r>
      <w:r w:rsidR="004C1C05" w:rsidRPr="001E7AA4">
        <w:rPr>
          <w:rFonts w:ascii="Calibri" w:eastAsia="Times New Roman" w:hAnsi="Calibri" w:cs="Calibri"/>
          <w:color w:val="000000" w:themeColor="text1"/>
          <w:lang w:eastAsia="en-GB"/>
        </w:rPr>
        <w:t xml:space="preserve">domestic </w:t>
      </w:r>
      <w:r w:rsidRPr="001E7AA4">
        <w:rPr>
          <w:rFonts w:ascii="Calibri" w:eastAsia="Times New Roman" w:hAnsi="Calibri" w:cs="Calibri"/>
          <w:color w:val="000000" w:themeColor="text1"/>
          <w:lang w:eastAsia="en-GB"/>
        </w:rPr>
        <w:t xml:space="preserve">enrolments will </w:t>
      </w:r>
      <w:r w:rsidR="003D240B" w:rsidRPr="001E7AA4">
        <w:rPr>
          <w:rFonts w:ascii="Calibri" w:eastAsia="Times New Roman" w:hAnsi="Calibri" w:cs="Calibri"/>
          <w:color w:val="000000" w:themeColor="text1"/>
          <w:lang w:eastAsia="en-GB"/>
        </w:rPr>
        <w:t xml:space="preserve">need to </w:t>
      </w:r>
      <w:r w:rsidRPr="001E7AA4">
        <w:rPr>
          <w:rFonts w:ascii="Calibri" w:eastAsia="Times New Roman" w:hAnsi="Calibri" w:cs="Calibri"/>
          <w:color w:val="000000" w:themeColor="text1"/>
          <w:lang w:eastAsia="en-GB"/>
        </w:rPr>
        <w:t xml:space="preserve">be through increased </w:t>
      </w:r>
      <w:r w:rsidR="1F6BA1EC" w:rsidRPr="001E7AA4">
        <w:rPr>
          <w:rFonts w:ascii="Calibri" w:eastAsia="Times New Roman" w:hAnsi="Calibri" w:cs="Calibri"/>
          <w:color w:val="000000" w:themeColor="text1"/>
          <w:lang w:eastAsia="en-GB"/>
        </w:rPr>
        <w:t xml:space="preserve">Commonwealth supported </w:t>
      </w:r>
      <w:r w:rsidRPr="001E7AA4">
        <w:rPr>
          <w:rFonts w:ascii="Calibri" w:eastAsia="Times New Roman" w:hAnsi="Calibri" w:cs="Calibri"/>
          <w:color w:val="000000" w:themeColor="text1"/>
          <w:lang w:eastAsia="en-GB"/>
        </w:rPr>
        <w:t xml:space="preserve">enrolments. </w:t>
      </w:r>
      <w:r w:rsidR="00912B0B" w:rsidRPr="001E7AA4">
        <w:rPr>
          <w:rFonts w:ascii="Calibri" w:eastAsia="Times New Roman" w:hAnsi="Calibri" w:cs="Calibri"/>
          <w:color w:val="000000" w:themeColor="text1"/>
          <w:lang w:eastAsia="en-GB"/>
        </w:rPr>
        <w:t>The l</w:t>
      </w:r>
      <w:r w:rsidRPr="001E7AA4">
        <w:rPr>
          <w:rFonts w:ascii="Calibri" w:eastAsia="Times New Roman" w:hAnsi="Calibri" w:cs="Calibri"/>
          <w:color w:val="000000" w:themeColor="text1"/>
          <w:lang w:eastAsia="en-GB"/>
        </w:rPr>
        <w:t>atest data indicate</w:t>
      </w:r>
      <w:r w:rsidR="00D8455D" w:rsidRPr="001E7AA4">
        <w:rPr>
          <w:rFonts w:ascii="Calibri" w:eastAsia="Times New Roman" w:hAnsi="Calibri" w:cs="Calibri"/>
          <w:color w:val="000000" w:themeColor="text1"/>
          <w:lang w:eastAsia="en-GB"/>
        </w:rPr>
        <w:t>s that</w:t>
      </w:r>
      <w:r w:rsidRPr="001E7AA4">
        <w:rPr>
          <w:rFonts w:ascii="Calibri" w:eastAsia="Times New Roman" w:hAnsi="Calibri" w:cs="Calibri"/>
          <w:color w:val="000000" w:themeColor="text1"/>
          <w:lang w:eastAsia="en-GB"/>
        </w:rPr>
        <w:t xml:space="preserve"> Australian universities enrol around 900,000 </w:t>
      </w:r>
      <w:r w:rsidR="73F36F42" w:rsidRPr="001E7AA4">
        <w:rPr>
          <w:rFonts w:ascii="Calibri" w:eastAsia="Times New Roman" w:hAnsi="Calibri" w:cs="Calibri"/>
          <w:color w:val="000000" w:themeColor="text1"/>
          <w:lang w:eastAsia="en-GB"/>
        </w:rPr>
        <w:t xml:space="preserve">Commonwealth supported </w:t>
      </w:r>
      <w:r w:rsidRPr="001E7AA4">
        <w:rPr>
          <w:rFonts w:ascii="Calibri" w:eastAsia="Times New Roman" w:hAnsi="Calibri" w:cs="Calibri"/>
          <w:color w:val="000000" w:themeColor="text1"/>
          <w:lang w:eastAsia="en-GB"/>
        </w:rPr>
        <w:t xml:space="preserve">students, including 760,000 bachelor students. </w:t>
      </w:r>
    </w:p>
    <w:p w14:paraId="7AA7E856" w14:textId="6DA9EE6F" w:rsidR="004124ED" w:rsidRPr="001E7AA4" w:rsidRDefault="00B35C33" w:rsidP="00BC654C">
      <w:pPr>
        <w:spacing w:line="276" w:lineRule="auto"/>
        <w:rPr>
          <w:rFonts w:ascii="Calibri" w:eastAsia="Times New Roman" w:hAnsi="Calibri" w:cs="Calibri"/>
          <w:color w:val="000000" w:themeColor="text1"/>
          <w:lang w:eastAsia="en-GB"/>
        </w:rPr>
      </w:pPr>
      <w:r w:rsidRPr="001E7AA4">
        <w:rPr>
          <w:rFonts w:ascii="Calibri" w:eastAsia="Times New Roman" w:hAnsi="Calibri" w:cs="Calibri"/>
          <w:color w:val="000000" w:themeColor="text1"/>
          <w:lang w:eastAsia="en-GB"/>
        </w:rPr>
        <w:t>Based on Departmental projections, t</w:t>
      </w:r>
      <w:r w:rsidR="00823F71" w:rsidRPr="001E7AA4">
        <w:rPr>
          <w:rFonts w:ascii="Calibri" w:eastAsia="Times New Roman" w:hAnsi="Calibri" w:cs="Calibri"/>
          <w:color w:val="000000" w:themeColor="text1"/>
          <w:lang w:eastAsia="en-GB"/>
        </w:rPr>
        <w:t xml:space="preserve">o reach 55% attainment </w:t>
      </w:r>
      <w:r w:rsidRPr="001E7AA4">
        <w:rPr>
          <w:rFonts w:ascii="Calibri" w:eastAsia="Times New Roman" w:hAnsi="Calibri" w:cs="Calibri"/>
          <w:color w:val="000000" w:themeColor="text1"/>
          <w:lang w:eastAsia="en-GB"/>
        </w:rPr>
        <w:t xml:space="preserve">for </w:t>
      </w:r>
      <w:r w:rsidR="00093FB9" w:rsidRPr="001E7AA4">
        <w:rPr>
          <w:rFonts w:ascii="Calibri" w:eastAsia="Times New Roman" w:hAnsi="Calibri" w:cs="Calibri"/>
          <w:color w:val="000000" w:themeColor="text1"/>
          <w:lang w:eastAsia="en-GB"/>
        </w:rPr>
        <w:t xml:space="preserve">people aged </w:t>
      </w:r>
      <w:r w:rsidRPr="001E7AA4">
        <w:rPr>
          <w:rFonts w:ascii="Calibri" w:eastAsia="Times New Roman" w:hAnsi="Calibri" w:cs="Calibri"/>
          <w:color w:val="000000" w:themeColor="text1"/>
          <w:lang w:eastAsia="en-GB"/>
        </w:rPr>
        <w:t>25 to 34</w:t>
      </w:r>
      <w:r w:rsidR="00093FB9" w:rsidRPr="001E7AA4">
        <w:rPr>
          <w:rFonts w:ascii="Calibri" w:eastAsia="Times New Roman" w:hAnsi="Calibri" w:cs="Calibri"/>
          <w:color w:val="000000" w:themeColor="text1"/>
          <w:lang w:eastAsia="en-GB"/>
        </w:rPr>
        <w:t xml:space="preserve"> </w:t>
      </w:r>
      <w:r w:rsidRPr="001E7AA4">
        <w:rPr>
          <w:rFonts w:ascii="Calibri" w:eastAsia="Times New Roman" w:hAnsi="Calibri" w:cs="Calibri"/>
          <w:color w:val="000000" w:themeColor="text1"/>
          <w:lang w:eastAsia="en-GB"/>
        </w:rPr>
        <w:t>year</w:t>
      </w:r>
      <w:r w:rsidR="00093FB9" w:rsidRPr="001E7AA4">
        <w:rPr>
          <w:rFonts w:ascii="Calibri" w:eastAsia="Times New Roman" w:hAnsi="Calibri" w:cs="Calibri"/>
          <w:color w:val="000000" w:themeColor="text1"/>
          <w:lang w:eastAsia="en-GB"/>
        </w:rPr>
        <w:t>s</w:t>
      </w:r>
      <w:r w:rsidR="00AF6FDB" w:rsidRPr="001E7AA4">
        <w:rPr>
          <w:rFonts w:ascii="Calibri" w:eastAsia="Times New Roman" w:hAnsi="Calibri" w:cs="Calibri"/>
          <w:color w:val="000000" w:themeColor="text1"/>
          <w:lang w:eastAsia="en-GB"/>
        </w:rPr>
        <w:t xml:space="preserve"> </w:t>
      </w:r>
      <w:r w:rsidR="00823F71" w:rsidRPr="001E7AA4">
        <w:rPr>
          <w:rFonts w:ascii="Calibri" w:eastAsia="Times New Roman" w:hAnsi="Calibri" w:cs="Calibri"/>
          <w:color w:val="000000" w:themeColor="text1"/>
          <w:lang w:eastAsia="en-GB"/>
        </w:rPr>
        <w:t xml:space="preserve">by 2050, </w:t>
      </w:r>
      <w:r w:rsidR="00606887" w:rsidRPr="001E7AA4">
        <w:rPr>
          <w:rFonts w:ascii="Calibri" w:eastAsia="Times New Roman" w:hAnsi="Calibri" w:cs="Calibri"/>
          <w:color w:val="000000" w:themeColor="text1"/>
          <w:lang w:eastAsia="en-GB"/>
        </w:rPr>
        <w:t>the Australian higher education system</w:t>
      </w:r>
      <w:r w:rsidR="00823F71" w:rsidRPr="001E7AA4">
        <w:rPr>
          <w:rFonts w:ascii="Calibri" w:eastAsia="Times New Roman" w:hAnsi="Calibri" w:cs="Calibri"/>
          <w:color w:val="000000" w:themeColor="text1"/>
          <w:lang w:eastAsia="en-GB"/>
        </w:rPr>
        <w:t xml:space="preserve"> would need to have a</w:t>
      </w:r>
      <w:r w:rsidR="00B31C3F" w:rsidRPr="001E7AA4">
        <w:rPr>
          <w:rFonts w:ascii="Calibri" w:eastAsia="Times New Roman" w:hAnsi="Calibri" w:cs="Calibri"/>
          <w:color w:val="000000" w:themeColor="text1"/>
          <w:lang w:eastAsia="en-GB"/>
        </w:rPr>
        <w:t>t least</w:t>
      </w:r>
      <w:r w:rsidR="00823F71" w:rsidRPr="001E7AA4">
        <w:rPr>
          <w:rFonts w:ascii="Calibri" w:eastAsia="Times New Roman" w:hAnsi="Calibri" w:cs="Calibri"/>
          <w:color w:val="000000" w:themeColor="text1"/>
          <w:lang w:eastAsia="en-GB"/>
        </w:rPr>
        <w:t xml:space="preserve"> 1.2 million Commonwealth supported students in 2035 and 1.8 million in 2050. </w:t>
      </w:r>
      <w:r w:rsidR="00B31C3F" w:rsidRPr="001E7AA4">
        <w:rPr>
          <w:rFonts w:ascii="Calibri" w:eastAsia="Times New Roman" w:hAnsi="Calibri" w:cs="Calibri"/>
          <w:color w:val="000000" w:themeColor="text1"/>
          <w:lang w:eastAsia="en-GB"/>
        </w:rPr>
        <w:t>T</w:t>
      </w:r>
      <w:r w:rsidR="00823F71" w:rsidRPr="001E7AA4">
        <w:rPr>
          <w:rFonts w:ascii="Calibri" w:eastAsia="Times New Roman" w:hAnsi="Calibri" w:cs="Calibri"/>
          <w:color w:val="000000" w:themeColor="text1"/>
          <w:lang w:eastAsia="en-GB"/>
        </w:rPr>
        <w:t xml:space="preserve">his requires the higher education system to grow by </w:t>
      </w:r>
      <w:r w:rsidR="00E2448D" w:rsidRPr="001E7AA4">
        <w:rPr>
          <w:rFonts w:ascii="Calibri" w:eastAsia="Times New Roman" w:hAnsi="Calibri" w:cs="Calibri"/>
          <w:color w:val="000000" w:themeColor="text1"/>
          <w:lang w:eastAsia="en-GB"/>
        </w:rPr>
        <w:t>at least</w:t>
      </w:r>
      <w:r w:rsidR="00823F71" w:rsidRPr="001E7AA4">
        <w:rPr>
          <w:rFonts w:ascii="Calibri" w:eastAsia="Times New Roman" w:hAnsi="Calibri" w:cs="Calibri"/>
          <w:color w:val="000000" w:themeColor="text1"/>
          <w:lang w:eastAsia="en-GB"/>
        </w:rPr>
        <w:t xml:space="preserve"> 300,000 Commonwealth supported students </w:t>
      </w:r>
      <w:r w:rsidR="00933C73" w:rsidRPr="001E7AA4">
        <w:rPr>
          <w:rFonts w:ascii="Calibri" w:eastAsia="Times New Roman" w:hAnsi="Calibri" w:cs="Calibri"/>
          <w:color w:val="000000" w:themeColor="text1"/>
          <w:lang w:eastAsia="en-GB"/>
        </w:rPr>
        <w:t>by</w:t>
      </w:r>
      <w:r w:rsidR="00823F71" w:rsidRPr="001E7AA4">
        <w:rPr>
          <w:rFonts w:ascii="Calibri" w:eastAsia="Times New Roman" w:hAnsi="Calibri" w:cs="Calibri"/>
          <w:color w:val="000000" w:themeColor="text1"/>
          <w:lang w:eastAsia="en-GB"/>
        </w:rPr>
        <w:t xml:space="preserve"> 2035 and an additional 900,000 Commonwealth supported students </w:t>
      </w:r>
      <w:r w:rsidR="00933C73" w:rsidRPr="001E7AA4">
        <w:rPr>
          <w:rFonts w:ascii="Calibri" w:eastAsia="Times New Roman" w:hAnsi="Calibri" w:cs="Calibri"/>
          <w:color w:val="000000" w:themeColor="text1"/>
          <w:lang w:eastAsia="en-GB"/>
        </w:rPr>
        <w:t>by</w:t>
      </w:r>
      <w:r w:rsidR="00823F71" w:rsidRPr="001E7AA4">
        <w:rPr>
          <w:rFonts w:ascii="Calibri" w:eastAsia="Times New Roman" w:hAnsi="Calibri" w:cs="Calibri"/>
          <w:color w:val="000000" w:themeColor="text1"/>
          <w:lang w:eastAsia="en-GB"/>
        </w:rPr>
        <w:t xml:space="preserve"> 2050.</w:t>
      </w:r>
    </w:p>
    <w:p w14:paraId="2E6C7AD2" w14:textId="24FEA101" w:rsidR="00AF6FDB" w:rsidRPr="001E7AA4" w:rsidRDefault="00B31C3F" w:rsidP="238D153B">
      <w:pPr>
        <w:rPr>
          <w:rFonts w:ascii="Calibri" w:eastAsia="Times New Roman" w:hAnsi="Calibri" w:cs="Calibri"/>
          <w:color w:val="000000" w:themeColor="text1"/>
          <w:lang w:eastAsia="en-GB"/>
        </w:rPr>
      </w:pPr>
      <w:r w:rsidRPr="001E7AA4">
        <w:rPr>
          <w:rFonts w:ascii="Calibri" w:eastAsia="Times New Roman" w:hAnsi="Calibri" w:cs="Calibri"/>
          <w:color w:val="000000" w:themeColor="text1"/>
          <w:lang w:eastAsia="en-GB"/>
        </w:rPr>
        <w:t xml:space="preserve">While these projections focus on attainment for </w:t>
      </w:r>
      <w:r w:rsidR="00093FB9" w:rsidRPr="001E7AA4">
        <w:rPr>
          <w:rFonts w:ascii="Calibri" w:eastAsia="Times New Roman" w:hAnsi="Calibri" w:cs="Calibri"/>
          <w:color w:val="000000" w:themeColor="text1"/>
          <w:lang w:eastAsia="en-GB"/>
        </w:rPr>
        <w:t xml:space="preserve">people aged </w:t>
      </w:r>
      <w:r w:rsidRPr="001E7AA4">
        <w:rPr>
          <w:rFonts w:ascii="Calibri" w:eastAsia="Times New Roman" w:hAnsi="Calibri" w:cs="Calibri"/>
          <w:color w:val="000000" w:themeColor="text1"/>
          <w:lang w:eastAsia="en-GB"/>
        </w:rPr>
        <w:t>25 to 34</w:t>
      </w:r>
      <w:r w:rsidR="00093FB9" w:rsidRPr="001E7AA4">
        <w:rPr>
          <w:rFonts w:ascii="Calibri" w:eastAsia="Times New Roman" w:hAnsi="Calibri" w:cs="Calibri"/>
          <w:color w:val="000000" w:themeColor="text1"/>
          <w:lang w:eastAsia="en-GB"/>
        </w:rPr>
        <w:t xml:space="preserve"> </w:t>
      </w:r>
      <w:r w:rsidRPr="001E7AA4">
        <w:rPr>
          <w:rFonts w:ascii="Calibri" w:eastAsia="Times New Roman" w:hAnsi="Calibri" w:cs="Calibri"/>
          <w:color w:val="000000" w:themeColor="text1"/>
          <w:lang w:eastAsia="en-GB"/>
        </w:rPr>
        <w:t>year</w:t>
      </w:r>
      <w:r w:rsidR="00093FB9" w:rsidRPr="001E7AA4">
        <w:rPr>
          <w:rFonts w:ascii="Calibri" w:eastAsia="Times New Roman" w:hAnsi="Calibri" w:cs="Calibri"/>
          <w:color w:val="000000" w:themeColor="text1"/>
          <w:lang w:eastAsia="en-GB"/>
        </w:rPr>
        <w:t>s</w:t>
      </w:r>
      <w:r w:rsidRPr="001E7AA4">
        <w:rPr>
          <w:rFonts w:ascii="Calibri" w:eastAsia="Times New Roman" w:hAnsi="Calibri" w:cs="Calibri"/>
          <w:color w:val="000000" w:themeColor="text1"/>
          <w:lang w:eastAsia="en-GB"/>
        </w:rPr>
        <w:t xml:space="preserve">, </w:t>
      </w:r>
      <w:r w:rsidR="6DA269E0" w:rsidRPr="001E7AA4">
        <w:rPr>
          <w:rFonts w:ascii="Calibri" w:eastAsia="Times New Roman" w:hAnsi="Calibri" w:cs="Calibri"/>
          <w:color w:val="000000" w:themeColor="text1"/>
          <w:lang w:eastAsia="en-GB"/>
        </w:rPr>
        <w:t xml:space="preserve">the changing nature of the workforce will mean </w:t>
      </w:r>
      <w:r w:rsidR="1B212BC4" w:rsidRPr="001E7AA4">
        <w:rPr>
          <w:rFonts w:ascii="Calibri" w:eastAsia="Times New Roman" w:hAnsi="Calibri" w:cs="Calibri"/>
          <w:color w:val="000000" w:themeColor="text1"/>
          <w:lang w:eastAsia="en-GB"/>
        </w:rPr>
        <w:t xml:space="preserve">we can also expect increased </w:t>
      </w:r>
      <w:r w:rsidR="67950FEB" w:rsidRPr="001E7AA4">
        <w:rPr>
          <w:rFonts w:ascii="Calibri" w:eastAsia="Times New Roman" w:hAnsi="Calibri" w:cs="Calibri"/>
          <w:color w:val="000000" w:themeColor="text1"/>
          <w:lang w:eastAsia="en-GB"/>
        </w:rPr>
        <w:t xml:space="preserve">participation and attainment </w:t>
      </w:r>
      <w:r w:rsidR="1B212BC4" w:rsidRPr="001E7AA4">
        <w:rPr>
          <w:rFonts w:ascii="Calibri" w:eastAsia="Times New Roman" w:hAnsi="Calibri" w:cs="Calibri"/>
          <w:color w:val="000000" w:themeColor="text1"/>
          <w:lang w:eastAsia="en-GB"/>
        </w:rPr>
        <w:t>from</w:t>
      </w:r>
      <w:r w:rsidR="03EF5852" w:rsidRPr="001E7AA4">
        <w:rPr>
          <w:rFonts w:ascii="Calibri" w:eastAsia="Times New Roman" w:hAnsi="Calibri" w:cs="Calibri"/>
          <w:color w:val="000000" w:themeColor="text1"/>
          <w:lang w:eastAsia="en-GB"/>
        </w:rPr>
        <w:t xml:space="preserve"> </w:t>
      </w:r>
      <w:r w:rsidR="0D950BA8" w:rsidRPr="001E7AA4">
        <w:rPr>
          <w:rFonts w:ascii="Calibri" w:eastAsia="Times New Roman" w:hAnsi="Calibri" w:cs="Calibri"/>
          <w:color w:val="000000" w:themeColor="text1"/>
          <w:lang w:eastAsia="en-GB"/>
        </w:rPr>
        <w:t xml:space="preserve">older age cohorts </w:t>
      </w:r>
      <w:r w:rsidR="5319418A" w:rsidRPr="001E7AA4">
        <w:rPr>
          <w:rFonts w:ascii="Calibri" w:eastAsia="Times New Roman" w:hAnsi="Calibri" w:cs="Calibri"/>
          <w:color w:val="000000" w:themeColor="text1"/>
          <w:lang w:eastAsia="en-GB"/>
        </w:rPr>
        <w:t xml:space="preserve">as they </w:t>
      </w:r>
      <w:r w:rsidR="0D950BA8" w:rsidRPr="001E7AA4">
        <w:rPr>
          <w:rFonts w:ascii="Calibri" w:eastAsia="Times New Roman" w:hAnsi="Calibri" w:cs="Calibri"/>
          <w:color w:val="000000" w:themeColor="text1"/>
          <w:lang w:eastAsia="en-GB"/>
        </w:rPr>
        <w:t>upskill, reskill</w:t>
      </w:r>
      <w:r w:rsidR="40C66233" w:rsidRPr="001E7AA4">
        <w:rPr>
          <w:rFonts w:ascii="Calibri" w:eastAsia="Times New Roman" w:hAnsi="Calibri" w:cs="Calibri"/>
          <w:color w:val="000000" w:themeColor="text1"/>
          <w:lang w:eastAsia="en-GB"/>
        </w:rPr>
        <w:t xml:space="preserve">, </w:t>
      </w:r>
      <w:r w:rsidR="2872D22D" w:rsidRPr="001E7AA4">
        <w:rPr>
          <w:rFonts w:ascii="Calibri" w:eastAsia="Times New Roman" w:hAnsi="Calibri" w:cs="Calibri"/>
          <w:color w:val="000000" w:themeColor="text1"/>
          <w:lang w:eastAsia="en-GB"/>
        </w:rPr>
        <w:t xml:space="preserve">or even </w:t>
      </w:r>
      <w:r w:rsidR="40C66233" w:rsidRPr="001E7AA4">
        <w:rPr>
          <w:rFonts w:ascii="Calibri" w:eastAsia="Times New Roman" w:hAnsi="Calibri" w:cs="Calibri"/>
          <w:color w:val="000000" w:themeColor="text1"/>
          <w:lang w:eastAsia="en-GB"/>
        </w:rPr>
        <w:t>gain their first qualification</w:t>
      </w:r>
      <w:r w:rsidR="4C214118" w:rsidRPr="001E7AA4">
        <w:rPr>
          <w:rFonts w:ascii="Calibri" w:eastAsia="Times New Roman" w:hAnsi="Calibri" w:cs="Calibri"/>
          <w:color w:val="000000" w:themeColor="text1"/>
          <w:lang w:eastAsia="en-GB"/>
        </w:rPr>
        <w:t xml:space="preserve">. </w:t>
      </w:r>
    </w:p>
    <w:p w14:paraId="7A39F09B" w14:textId="250C6400" w:rsidR="00DB4839" w:rsidRDefault="00DB4839" w:rsidP="004459C7">
      <w:pPr>
        <w:spacing w:after="0" w:line="240" w:lineRule="auto"/>
        <w:rPr>
          <w:rStyle w:val="normaltextrun"/>
          <w:rFonts w:ascii="Calibri" w:hAnsi="Calibri" w:cs="Calibri"/>
          <w:color w:val="000000" w:themeColor="text1"/>
        </w:rPr>
      </w:pPr>
      <w:r w:rsidRPr="001E7AA4">
        <w:rPr>
          <w:rFonts w:ascii="Calibri" w:eastAsia="Calibri" w:hAnsi="Calibri" w:cs="Calibri"/>
        </w:rPr>
        <w:t xml:space="preserve">Enrolling more students </w:t>
      </w:r>
      <w:r w:rsidR="00C54E93" w:rsidRPr="001E7AA4">
        <w:rPr>
          <w:rFonts w:ascii="Calibri" w:eastAsia="Calibri" w:hAnsi="Calibri" w:cs="Calibri"/>
        </w:rPr>
        <w:t xml:space="preserve">will also </w:t>
      </w:r>
      <w:r w:rsidR="004459C7" w:rsidRPr="001E7AA4">
        <w:rPr>
          <w:rFonts w:ascii="Calibri" w:eastAsia="Calibri" w:hAnsi="Calibri" w:cs="Calibri"/>
        </w:rPr>
        <w:t>require substantial growth in participation from</w:t>
      </w:r>
      <w:r w:rsidR="009E5F3D" w:rsidRPr="001E7AA4">
        <w:rPr>
          <w:rFonts w:ascii="Calibri" w:eastAsia="Calibri" w:hAnsi="Calibri" w:cs="Calibri"/>
        </w:rPr>
        <w:t xml:space="preserve"> groups </w:t>
      </w:r>
      <w:r w:rsidR="004459C7" w:rsidRPr="001E7AA4">
        <w:rPr>
          <w:rFonts w:ascii="Calibri" w:eastAsia="Calibri" w:hAnsi="Calibri" w:cs="Calibri"/>
        </w:rPr>
        <w:t xml:space="preserve">currently </w:t>
      </w:r>
      <w:r w:rsidR="00420EC5" w:rsidRPr="001E7AA4">
        <w:rPr>
          <w:rFonts w:ascii="Calibri" w:eastAsia="Calibri" w:hAnsi="Calibri" w:cs="Calibri"/>
        </w:rPr>
        <w:t xml:space="preserve">underrepresented in Australian </w:t>
      </w:r>
      <w:r w:rsidR="004459C7" w:rsidRPr="001E7AA4">
        <w:rPr>
          <w:rFonts w:ascii="Calibri" w:eastAsia="Calibri" w:hAnsi="Calibri" w:cs="Calibri"/>
        </w:rPr>
        <w:t xml:space="preserve">higher education. </w:t>
      </w:r>
      <w:r w:rsidR="49E81635" w:rsidRPr="001E7AA4">
        <w:rPr>
          <w:rFonts w:ascii="Calibri" w:eastAsia="Calibri" w:hAnsi="Calibri" w:cs="Calibri"/>
        </w:rPr>
        <w:t>Given the increase needed in 2035, and to meet population</w:t>
      </w:r>
      <w:r w:rsidR="495EBFCF" w:rsidRPr="001E7AA4">
        <w:rPr>
          <w:rFonts w:ascii="Calibri" w:eastAsia="Calibri" w:hAnsi="Calibri" w:cs="Calibri"/>
        </w:rPr>
        <w:t xml:space="preserve"> parity</w:t>
      </w:r>
      <w:r w:rsidR="49E81635" w:rsidRPr="001E7AA4">
        <w:rPr>
          <w:rFonts w:ascii="Calibri" w:eastAsia="Calibri" w:hAnsi="Calibri" w:cs="Calibri"/>
        </w:rPr>
        <w:t>, around</w:t>
      </w:r>
      <w:r w:rsidR="004124ED" w:rsidRPr="001E7AA4">
        <w:rPr>
          <w:rFonts w:ascii="Calibri" w:eastAsia="Calibri" w:hAnsi="Calibri" w:cs="Calibri"/>
        </w:rPr>
        <w:t xml:space="preserve"> </w:t>
      </w:r>
      <w:r w:rsidR="004124ED" w:rsidRPr="001E7AA4">
        <w:rPr>
          <w:rStyle w:val="normaltextrun"/>
          <w:rFonts w:ascii="Calibri" w:hAnsi="Calibri" w:cs="Calibri"/>
          <w:color w:val="000000" w:themeColor="text1"/>
        </w:rPr>
        <w:t>60</w:t>
      </w:r>
      <w:r w:rsidR="00C3501F" w:rsidRPr="001E7AA4">
        <w:rPr>
          <w:rStyle w:val="normaltextrun"/>
          <w:rFonts w:ascii="Calibri" w:hAnsi="Calibri" w:cs="Calibri"/>
          <w:color w:val="000000" w:themeColor="text1"/>
        </w:rPr>
        <w:t>%</w:t>
      </w:r>
      <w:r w:rsidR="004124ED" w:rsidRPr="001E7AA4">
        <w:rPr>
          <w:rStyle w:val="normaltextrun"/>
          <w:rFonts w:ascii="Calibri" w:hAnsi="Calibri" w:cs="Calibri"/>
          <w:color w:val="000000" w:themeColor="text1"/>
        </w:rPr>
        <w:t xml:space="preserve"> of the additional students in the system will need to be from low</w:t>
      </w:r>
      <w:r w:rsidR="00856A92" w:rsidRPr="001E7AA4">
        <w:rPr>
          <w:rStyle w:val="normaltextrun"/>
          <w:rFonts w:ascii="Calibri" w:hAnsi="Calibri" w:cs="Calibri"/>
          <w:color w:val="000000" w:themeColor="text1"/>
        </w:rPr>
        <w:t xml:space="preserve"> </w:t>
      </w:r>
      <w:r w:rsidR="004124ED" w:rsidRPr="001E7AA4">
        <w:rPr>
          <w:rStyle w:val="normaltextrun"/>
          <w:rFonts w:ascii="Calibri" w:hAnsi="Calibri" w:cs="Calibri"/>
          <w:color w:val="000000" w:themeColor="text1"/>
        </w:rPr>
        <w:t>SES backgrounds, around 53</w:t>
      </w:r>
      <w:r w:rsidR="00785B57" w:rsidRPr="001E7AA4">
        <w:rPr>
          <w:rStyle w:val="normaltextrun"/>
          <w:rFonts w:ascii="Calibri" w:hAnsi="Calibri" w:cs="Calibri"/>
          <w:color w:val="000000" w:themeColor="text1"/>
        </w:rPr>
        <w:t>%</w:t>
      </w:r>
      <w:r w:rsidR="004124ED" w:rsidRPr="001E7AA4">
        <w:rPr>
          <w:rStyle w:val="normaltextrun"/>
          <w:rFonts w:ascii="Calibri" w:hAnsi="Calibri" w:cs="Calibri"/>
          <w:color w:val="000000" w:themeColor="text1"/>
        </w:rPr>
        <w:t xml:space="preserve"> from regional and remote areas, and around 11</w:t>
      </w:r>
      <w:r w:rsidR="00785B57" w:rsidRPr="001E7AA4">
        <w:rPr>
          <w:rStyle w:val="normaltextrun"/>
          <w:rFonts w:ascii="Calibri" w:hAnsi="Calibri" w:cs="Calibri"/>
          <w:color w:val="000000" w:themeColor="text1"/>
        </w:rPr>
        <w:t>%</w:t>
      </w:r>
      <w:r w:rsidR="004124ED" w:rsidRPr="001E7AA4">
        <w:rPr>
          <w:rStyle w:val="normaltextrun"/>
          <w:rFonts w:ascii="Calibri" w:hAnsi="Calibri" w:cs="Calibri"/>
          <w:color w:val="000000" w:themeColor="text1"/>
        </w:rPr>
        <w:t xml:space="preserve"> would need to be First Nations students.</w:t>
      </w:r>
    </w:p>
    <w:p w14:paraId="1A844708" w14:textId="77777777" w:rsidR="009F6875" w:rsidRPr="00D71585" w:rsidRDefault="009F6875" w:rsidP="009F6875">
      <w:pPr>
        <w:pStyle w:val="Pulloutboxes"/>
        <w:rPr>
          <w:b/>
          <w:bCs/>
        </w:rPr>
      </w:pPr>
      <w:r w:rsidRPr="00D71585">
        <w:t xml:space="preserve">Our goal must be </w:t>
      </w:r>
      <w:r w:rsidRPr="009F6875">
        <w:rPr>
          <w:i/>
          <w:iCs/>
        </w:rPr>
        <w:t>growth for skills through greater equity</w:t>
      </w:r>
      <w:r w:rsidRPr="00D71585">
        <w:t xml:space="preserve">. </w:t>
      </w:r>
    </w:p>
    <w:p w14:paraId="16D6179A" w14:textId="5DAA3565" w:rsidR="00547E97" w:rsidRDefault="00DB4839" w:rsidP="00D338D4">
      <w:r w:rsidRPr="001E7AA4">
        <w:t xml:space="preserve">More ambitious enrolment and equity targets will be crucial. </w:t>
      </w:r>
    </w:p>
    <w:p w14:paraId="65CF3AC2" w14:textId="77777777" w:rsidR="00547E97" w:rsidRDefault="00547E97">
      <w:pPr>
        <w:spacing w:after="160"/>
      </w:pPr>
      <w:r>
        <w:br w:type="page"/>
      </w:r>
    </w:p>
    <w:p w14:paraId="677F158A" w14:textId="77777777" w:rsidR="009F6875" w:rsidRDefault="009F6875" w:rsidP="00560132">
      <w:pPr>
        <w:pStyle w:val="BlueShadedBox-Body"/>
        <w:spacing w:after="120"/>
      </w:pPr>
      <w:r w:rsidRPr="001E7AA4">
        <w:lastRenderedPageBreak/>
        <w:t xml:space="preserve">For these reasons, the Review is giving further consideration to the following policy areas: </w:t>
      </w:r>
    </w:p>
    <w:p w14:paraId="116A3C28" w14:textId="77777777" w:rsidR="009F6875" w:rsidRPr="001E7AA4" w:rsidRDefault="009F6875" w:rsidP="00A025B1">
      <w:pPr>
        <w:pStyle w:val="BlueShadedBox-ListLetterstest"/>
        <w:numPr>
          <w:ilvl w:val="0"/>
          <w:numId w:val="16"/>
        </w:numPr>
        <w:ind w:left="570"/>
      </w:pPr>
      <w:r w:rsidRPr="001E7AA4">
        <w:t>setting targets for tertiary education participation and attainment, including for higher education, through consultation with Jobs and Skills Australia (JSA) and the VET sector</w:t>
      </w:r>
    </w:p>
    <w:p w14:paraId="33928906" w14:textId="77777777" w:rsidR="009F6875" w:rsidRPr="001E7AA4" w:rsidRDefault="009F6875" w:rsidP="00A025B1">
      <w:pPr>
        <w:pStyle w:val="BlueShadedBox-ListLetterstest"/>
        <w:numPr>
          <w:ilvl w:val="0"/>
          <w:numId w:val="16"/>
        </w:numPr>
        <w:ind w:left="570"/>
      </w:pPr>
      <w:r w:rsidRPr="001E7AA4">
        <w:t>setting targets to raise First Nations participation and completion rates in higher education</w:t>
      </w:r>
    </w:p>
    <w:p w14:paraId="179F7164" w14:textId="77777777" w:rsidR="009F6875" w:rsidRPr="001E7AA4" w:rsidRDefault="009F6875" w:rsidP="00A025B1">
      <w:pPr>
        <w:pStyle w:val="BlueShadedBox-ListLetterstest"/>
        <w:numPr>
          <w:ilvl w:val="0"/>
          <w:numId w:val="16"/>
        </w:numPr>
        <w:ind w:left="570"/>
      </w:pPr>
      <w:r w:rsidRPr="001E7AA4">
        <w:t>creating specific higher education participation targets for students from underrepresented backgrounds and equity groups to achieve parity by 2035. These groups will include students from low socio-economic, regional, rural and remote backgrounds and students with a disability</w:t>
      </w:r>
    </w:p>
    <w:p w14:paraId="5ACDC45F" w14:textId="77777777" w:rsidR="009F6875" w:rsidRPr="001E7AA4" w:rsidRDefault="009F6875" w:rsidP="00A025B1">
      <w:pPr>
        <w:pStyle w:val="BlueShadedBox-ListLetterstest"/>
        <w:numPr>
          <w:ilvl w:val="0"/>
          <w:numId w:val="16"/>
        </w:numPr>
        <w:ind w:left="570"/>
      </w:pPr>
      <w:r w:rsidRPr="001E7AA4">
        <w:t>developing a universal learning entitlement to ensure Australians can gain the qualifications and credentials as they need or desire</w:t>
      </w:r>
    </w:p>
    <w:p w14:paraId="22F34F73" w14:textId="77777777" w:rsidR="009F6875" w:rsidRPr="001E7AA4" w:rsidRDefault="009F6875" w:rsidP="00A025B1">
      <w:pPr>
        <w:pStyle w:val="BlueShadedBox-ListLetterstest"/>
        <w:numPr>
          <w:ilvl w:val="0"/>
          <w:numId w:val="16"/>
        </w:numPr>
        <w:ind w:left="570"/>
      </w:pPr>
      <w:r w:rsidRPr="001E7AA4">
        <w:t xml:space="preserve">as a priority element of the universal learning entitlement, ensuring that all students from equity cohorts are eligible for a funded place at university. </w:t>
      </w:r>
    </w:p>
    <w:p w14:paraId="2CB7DD09" w14:textId="40DD7044" w:rsidR="004459C7" w:rsidRPr="001E7AA4" w:rsidRDefault="009E5F3D" w:rsidP="004459C7">
      <w:pPr>
        <w:spacing w:after="0" w:line="240" w:lineRule="auto"/>
        <w:rPr>
          <w:rFonts w:ascii="Calibri" w:eastAsia="Calibri" w:hAnsi="Calibri" w:cs="Calibri"/>
        </w:rPr>
      </w:pPr>
      <w:r w:rsidRPr="001E7AA4">
        <w:rPr>
          <w:rFonts w:ascii="Calibri" w:eastAsia="Calibri" w:hAnsi="Calibri" w:cs="Calibri"/>
        </w:rPr>
        <w:t xml:space="preserve">All such targets must </w:t>
      </w:r>
      <w:r w:rsidR="004459C7" w:rsidRPr="001E7AA4">
        <w:rPr>
          <w:rFonts w:ascii="Calibri" w:eastAsia="Calibri" w:hAnsi="Calibri" w:cs="Calibri"/>
        </w:rPr>
        <w:t>be tightly monitored to ensure accountability and delivery. Long-term targets could be supported by short-term step-change targets</w:t>
      </w:r>
      <w:r w:rsidRPr="001E7AA4">
        <w:rPr>
          <w:rFonts w:ascii="Calibri" w:eastAsia="Calibri" w:hAnsi="Calibri" w:cs="Calibri"/>
        </w:rPr>
        <w:t xml:space="preserve">, </w:t>
      </w:r>
      <w:r w:rsidR="004459C7" w:rsidRPr="001E7AA4">
        <w:rPr>
          <w:rFonts w:ascii="Calibri" w:eastAsia="Calibri" w:hAnsi="Calibri" w:cs="Calibri"/>
        </w:rPr>
        <w:t>disaggregated by state, region</w:t>
      </w:r>
      <w:r w:rsidRPr="001E7AA4">
        <w:rPr>
          <w:rFonts w:ascii="Calibri" w:eastAsia="Calibri" w:hAnsi="Calibri" w:cs="Calibri"/>
        </w:rPr>
        <w:t>,</w:t>
      </w:r>
      <w:r w:rsidR="004459C7" w:rsidRPr="001E7AA4">
        <w:rPr>
          <w:rFonts w:ascii="Calibri" w:eastAsia="Calibri" w:hAnsi="Calibri" w:cs="Calibri"/>
        </w:rPr>
        <w:t xml:space="preserve"> provider</w:t>
      </w:r>
      <w:r w:rsidRPr="001E7AA4">
        <w:rPr>
          <w:rFonts w:ascii="Calibri" w:eastAsia="Calibri" w:hAnsi="Calibri" w:cs="Calibri"/>
        </w:rPr>
        <w:t xml:space="preserve"> and other relevant criteria</w:t>
      </w:r>
      <w:r w:rsidR="004459C7" w:rsidRPr="001E7AA4">
        <w:rPr>
          <w:rFonts w:ascii="Calibri" w:eastAsia="Calibri" w:hAnsi="Calibri" w:cs="Calibri"/>
        </w:rPr>
        <w:t>.</w:t>
      </w:r>
    </w:p>
    <w:p w14:paraId="24A760C3" w14:textId="77777777" w:rsidR="004459C7" w:rsidRPr="001E7AA4" w:rsidRDefault="004459C7" w:rsidP="004459C7">
      <w:pPr>
        <w:spacing w:after="0" w:line="240" w:lineRule="auto"/>
        <w:rPr>
          <w:rFonts w:ascii="Calibri" w:eastAsia="Calibri" w:hAnsi="Calibri" w:cs="Calibri"/>
        </w:rPr>
      </w:pPr>
    </w:p>
    <w:p w14:paraId="4437DF0C" w14:textId="2BEA6CB2" w:rsidR="004459C7" w:rsidRPr="001E7AA4" w:rsidRDefault="004459C7" w:rsidP="00A025B1">
      <w:pPr>
        <w:pStyle w:val="ListParagraph"/>
        <w:numPr>
          <w:ilvl w:val="0"/>
          <w:numId w:val="7"/>
        </w:numPr>
        <w:spacing w:line="240" w:lineRule="auto"/>
        <w:rPr>
          <w:rFonts w:ascii="Calibri" w:hAnsi="Calibri" w:cs="Calibri"/>
          <w:b/>
          <w:bCs/>
          <w:color w:val="000000"/>
        </w:rPr>
      </w:pPr>
      <w:r w:rsidRPr="001E7AA4">
        <w:rPr>
          <w:rFonts w:ascii="Calibri" w:hAnsi="Calibri" w:cs="Calibri"/>
          <w:b/>
          <w:bCs/>
          <w:color w:val="000000"/>
        </w:rPr>
        <w:t xml:space="preserve">Meeting Australia’s </w:t>
      </w:r>
      <w:r w:rsidR="0032296B" w:rsidRPr="001E7AA4">
        <w:rPr>
          <w:rFonts w:ascii="Calibri" w:hAnsi="Calibri" w:cs="Calibri"/>
          <w:b/>
          <w:bCs/>
          <w:color w:val="000000"/>
        </w:rPr>
        <w:t>f</w:t>
      </w:r>
      <w:r w:rsidRPr="001E7AA4">
        <w:rPr>
          <w:rFonts w:ascii="Calibri" w:hAnsi="Calibri" w:cs="Calibri"/>
          <w:b/>
          <w:bCs/>
          <w:color w:val="000000"/>
        </w:rPr>
        <w:t xml:space="preserve">uture </w:t>
      </w:r>
      <w:r w:rsidR="0032296B" w:rsidRPr="001E7AA4">
        <w:rPr>
          <w:rFonts w:ascii="Calibri" w:hAnsi="Calibri" w:cs="Calibri"/>
          <w:b/>
          <w:bCs/>
          <w:color w:val="000000"/>
        </w:rPr>
        <w:t>s</w:t>
      </w:r>
      <w:r w:rsidRPr="001E7AA4">
        <w:rPr>
          <w:rFonts w:ascii="Calibri" w:hAnsi="Calibri" w:cs="Calibri"/>
          <w:b/>
          <w:bCs/>
          <w:color w:val="000000"/>
        </w:rPr>
        <w:t>kills needs</w:t>
      </w:r>
    </w:p>
    <w:p w14:paraId="2E74B0C4" w14:textId="2F2C2D55" w:rsidR="004459C7" w:rsidRPr="001E7AA4" w:rsidRDefault="004459C7" w:rsidP="004459C7">
      <w:pPr>
        <w:spacing w:line="240" w:lineRule="auto"/>
      </w:pPr>
      <w:r w:rsidRPr="001E7AA4">
        <w:t xml:space="preserve">To </w:t>
      </w:r>
      <w:r w:rsidR="009E5F3D" w:rsidRPr="001E7AA4">
        <w:t>meet</w:t>
      </w:r>
      <w:r w:rsidRPr="001E7AA4">
        <w:t xml:space="preserve"> Australia’s </w:t>
      </w:r>
      <w:r w:rsidR="009E5F3D" w:rsidRPr="001E7AA4">
        <w:t xml:space="preserve">future </w:t>
      </w:r>
      <w:r w:rsidRPr="001E7AA4">
        <w:t>skill</w:t>
      </w:r>
      <w:r w:rsidR="00986328" w:rsidRPr="001E7AA4">
        <w:t>s</w:t>
      </w:r>
      <w:r w:rsidRPr="001E7AA4">
        <w:t xml:space="preserve"> and workforce needs</w:t>
      </w:r>
      <w:r w:rsidR="009E5F3D" w:rsidRPr="001E7AA4">
        <w:t>,</w:t>
      </w:r>
      <w:r w:rsidRPr="001E7AA4">
        <w:t xml:space="preserve"> the Review is </w:t>
      </w:r>
      <w:r w:rsidR="00DB4839" w:rsidRPr="001E7AA4">
        <w:t xml:space="preserve">investigating </w:t>
      </w:r>
      <w:r w:rsidRPr="001E7AA4">
        <w:t>further action</w:t>
      </w:r>
      <w:r w:rsidR="00DB4839" w:rsidRPr="001E7AA4">
        <w:t>s</w:t>
      </w:r>
      <w:r w:rsidRPr="001E7AA4">
        <w:t xml:space="preserve"> to </w:t>
      </w:r>
      <w:r w:rsidR="009E5F3D" w:rsidRPr="001E7AA4">
        <w:t xml:space="preserve">improve </w:t>
      </w:r>
      <w:r w:rsidRPr="001E7AA4">
        <w:t xml:space="preserve">the way skills are developed, described </w:t>
      </w:r>
      <w:r w:rsidR="009E5F3D" w:rsidRPr="001E7AA4">
        <w:t xml:space="preserve">and recognised within </w:t>
      </w:r>
      <w:r w:rsidRPr="001E7AA4">
        <w:t>a more integrated tertiary education system.</w:t>
      </w:r>
    </w:p>
    <w:p w14:paraId="3DBF433A" w14:textId="4CD3E4DA" w:rsidR="00DB4839" w:rsidRPr="001E7AA4" w:rsidRDefault="00DB4839" w:rsidP="004459C7">
      <w:pPr>
        <w:spacing w:line="240" w:lineRule="auto"/>
      </w:pPr>
      <w:r w:rsidRPr="001E7AA4">
        <w:t>Australia’s skill</w:t>
      </w:r>
      <w:r w:rsidR="004164FF" w:rsidRPr="001E7AA4">
        <w:t>s</w:t>
      </w:r>
      <w:r w:rsidRPr="001E7AA4">
        <w:t xml:space="preserve"> needs will only be met if </w:t>
      </w:r>
      <w:r w:rsidR="00F14B06" w:rsidRPr="001E7AA4">
        <w:t xml:space="preserve">the </w:t>
      </w:r>
      <w:r w:rsidR="00C85432" w:rsidRPr="001E7AA4">
        <w:t xml:space="preserve">higher education system and </w:t>
      </w:r>
      <w:r w:rsidR="00087CC4" w:rsidRPr="001E7AA4">
        <w:t xml:space="preserve">an expanded </w:t>
      </w:r>
      <w:r w:rsidR="00C85432" w:rsidRPr="001E7AA4">
        <w:t>VET system</w:t>
      </w:r>
      <w:r w:rsidR="00176BD9" w:rsidRPr="001E7AA4">
        <w:t>, with TAFE at its core,</w:t>
      </w:r>
      <w:r w:rsidR="00C85432" w:rsidRPr="001E7AA4">
        <w:t xml:space="preserve"> </w:t>
      </w:r>
      <w:r w:rsidRPr="001E7AA4">
        <w:t xml:space="preserve">work together </w:t>
      </w:r>
      <w:r w:rsidR="009E5F3D" w:rsidRPr="001E7AA4">
        <w:t>with</w:t>
      </w:r>
      <w:r w:rsidRPr="001E7AA4">
        <w:t xml:space="preserve">in a more integrated system to deliver </w:t>
      </w:r>
      <w:r w:rsidR="009E5F3D" w:rsidRPr="001E7AA4">
        <w:t xml:space="preserve">the </w:t>
      </w:r>
      <w:r w:rsidRPr="001E7AA4">
        <w:t>flexible, transferable skills</w:t>
      </w:r>
      <w:r w:rsidR="009E5F3D" w:rsidRPr="001E7AA4">
        <w:t xml:space="preserve"> people want and need.</w:t>
      </w:r>
    </w:p>
    <w:p w14:paraId="11049F5B" w14:textId="725E82B0" w:rsidR="005C2F55" w:rsidRDefault="00DB4839" w:rsidP="004459C7">
      <w:pPr>
        <w:spacing w:line="240" w:lineRule="auto"/>
      </w:pPr>
      <w:r w:rsidRPr="001E7AA4">
        <w:t xml:space="preserve">A national skills passport </w:t>
      </w:r>
      <w:r w:rsidR="009E5F3D" w:rsidRPr="001E7AA4">
        <w:t xml:space="preserve">provides a possible </w:t>
      </w:r>
      <w:r w:rsidRPr="001E7AA4">
        <w:t xml:space="preserve">way to </w:t>
      </w:r>
      <w:r w:rsidR="009E5F3D" w:rsidRPr="001E7AA4">
        <w:t xml:space="preserve">do this – by </w:t>
      </w:r>
      <w:r w:rsidRPr="001E7AA4">
        <w:t>enabl</w:t>
      </w:r>
      <w:r w:rsidR="009E5F3D" w:rsidRPr="001E7AA4">
        <w:t>ing</w:t>
      </w:r>
      <w:r w:rsidRPr="001E7AA4">
        <w:t xml:space="preserve"> Australians to have their full range of qualifications, microcredentials, prior learning, workplace experience and general capabilities recognised </w:t>
      </w:r>
      <w:r w:rsidR="009E5F3D" w:rsidRPr="001E7AA4">
        <w:t xml:space="preserve">across the education and training system and </w:t>
      </w:r>
      <w:r w:rsidRPr="001E7AA4">
        <w:t>in the employment market.</w:t>
      </w:r>
    </w:p>
    <w:p w14:paraId="2EC88E87" w14:textId="77777777" w:rsidR="005C2F55" w:rsidRDefault="005C2F55">
      <w:pPr>
        <w:spacing w:after="160"/>
      </w:pPr>
      <w:r>
        <w:br w:type="page"/>
      </w:r>
    </w:p>
    <w:p w14:paraId="1BBC526E" w14:textId="0B0272A9" w:rsidR="009F6875" w:rsidRDefault="009F6875" w:rsidP="00560132">
      <w:pPr>
        <w:pStyle w:val="BlueShadedBox-Body"/>
        <w:spacing w:after="120"/>
      </w:pPr>
      <w:r w:rsidRPr="001E7AA4">
        <w:lastRenderedPageBreak/>
        <w:t>For these reasons, the Review is giving further consideration to the following policy areas:</w:t>
      </w:r>
    </w:p>
    <w:p w14:paraId="22B3026E" w14:textId="77777777" w:rsidR="009F6875" w:rsidRPr="001E7AA4" w:rsidRDefault="009F6875" w:rsidP="00A025B1">
      <w:pPr>
        <w:pStyle w:val="BlueShadedBox-ListLetterstest"/>
        <w:numPr>
          <w:ilvl w:val="0"/>
          <w:numId w:val="17"/>
        </w:numPr>
        <w:ind w:left="570"/>
      </w:pPr>
      <w:r w:rsidRPr="001E7AA4">
        <w:t>new policy levers to enhance capability across the tertiary education sector, enabling it to respond rapidly to Australia’s skills needs and deliver the necessary numbers of graduates with professional, disciplinary and high order generic skills</w:t>
      </w:r>
    </w:p>
    <w:p w14:paraId="4870FFD7" w14:textId="77777777" w:rsidR="009F6875" w:rsidRPr="001E7AA4" w:rsidRDefault="009F6875" w:rsidP="00A025B1">
      <w:pPr>
        <w:pStyle w:val="BlueShadedBox-ListLetterstest"/>
        <w:numPr>
          <w:ilvl w:val="0"/>
          <w:numId w:val="17"/>
        </w:numPr>
        <w:ind w:left="570"/>
      </w:pPr>
      <w:r w:rsidRPr="001E7AA4">
        <w:t>the creation of a universal learning entitlement that helps all Australians access high-quality tertiary education and makes lifelong learning a reality</w:t>
      </w:r>
    </w:p>
    <w:p w14:paraId="3213B8B1" w14:textId="77777777" w:rsidR="009F6875" w:rsidRPr="001E7AA4" w:rsidRDefault="009F6875" w:rsidP="00A025B1">
      <w:pPr>
        <w:pStyle w:val="BlueShadedBox-ListLetterstest"/>
        <w:numPr>
          <w:ilvl w:val="0"/>
          <w:numId w:val="17"/>
        </w:numPr>
        <w:ind w:left="570"/>
      </w:pPr>
      <w:r w:rsidRPr="001E7AA4">
        <w:t xml:space="preserve">examining new and effective mechanisms for rapid reskilling, including microcredentials </w:t>
      </w:r>
    </w:p>
    <w:p w14:paraId="39A1331F" w14:textId="77777777" w:rsidR="009F6875" w:rsidRPr="001E7AA4" w:rsidRDefault="009F6875" w:rsidP="00A025B1">
      <w:pPr>
        <w:pStyle w:val="BlueShadedBox-ListLetterstest"/>
        <w:numPr>
          <w:ilvl w:val="0"/>
          <w:numId w:val="17"/>
        </w:numPr>
        <w:ind w:left="570"/>
      </w:pPr>
      <w:r w:rsidRPr="001E7AA4">
        <w:t>improving the integration of higher education and VET to create new types of qualifications –starting in areas of national priority – like clean energy, the care economy, and defence</w:t>
      </w:r>
    </w:p>
    <w:p w14:paraId="7832F769" w14:textId="77777777" w:rsidR="009F6875" w:rsidRPr="001E7AA4" w:rsidRDefault="009F6875" w:rsidP="00A025B1">
      <w:pPr>
        <w:pStyle w:val="BlueShadedBox-ListLetterstest"/>
        <w:numPr>
          <w:ilvl w:val="0"/>
          <w:numId w:val="17"/>
        </w:numPr>
        <w:ind w:left="570"/>
      </w:pPr>
      <w:r w:rsidRPr="001E7AA4">
        <w:t xml:space="preserve">improving skills pathways by creating qualifications that are more modular, stackable and transferable between institutions and institution types </w:t>
      </w:r>
    </w:p>
    <w:p w14:paraId="564A7E77" w14:textId="77777777" w:rsidR="009F6875" w:rsidRPr="001E7AA4" w:rsidRDefault="009F6875" w:rsidP="00A025B1">
      <w:pPr>
        <w:pStyle w:val="BlueShadedBox-ListLetterstest"/>
        <w:numPr>
          <w:ilvl w:val="0"/>
          <w:numId w:val="17"/>
        </w:numPr>
        <w:ind w:left="570"/>
      </w:pPr>
      <w:r w:rsidRPr="001E7AA4">
        <w:t>addressing barriers that prevent VET and higher education working together, especially in courses and institutions that involve both sectors</w:t>
      </w:r>
    </w:p>
    <w:p w14:paraId="02E276DF" w14:textId="77777777" w:rsidR="009F6875" w:rsidRPr="001E7AA4" w:rsidRDefault="009F6875" w:rsidP="00A025B1">
      <w:pPr>
        <w:pStyle w:val="BlueShadedBox-ListLetterstest"/>
        <w:numPr>
          <w:ilvl w:val="0"/>
          <w:numId w:val="17"/>
        </w:numPr>
        <w:ind w:left="570"/>
      </w:pPr>
      <w:r w:rsidRPr="001E7AA4">
        <w:t xml:space="preserve">using arrangements between industry, unions and governments to progress the recommendations of the </w:t>
      </w:r>
      <w:r w:rsidRPr="005C2F55">
        <w:rPr>
          <w:i/>
        </w:rPr>
        <w:t>Review of the Australian Qualifications Framework</w:t>
      </w:r>
      <w:r w:rsidRPr="001E7AA4">
        <w:t xml:space="preserve"> (AQF) – this should be a matter of priority</w:t>
      </w:r>
    </w:p>
    <w:p w14:paraId="44F7021B" w14:textId="77777777" w:rsidR="009F6875" w:rsidRPr="001E7AA4" w:rsidRDefault="009F6875" w:rsidP="00A025B1">
      <w:pPr>
        <w:pStyle w:val="BlueShadedBox-ListLetterstest"/>
        <w:numPr>
          <w:ilvl w:val="0"/>
          <w:numId w:val="17"/>
        </w:numPr>
        <w:ind w:left="570"/>
      </w:pPr>
      <w:r w:rsidRPr="001E7AA4">
        <w:t>extending CSPs at some AQF levels to the TAFE sector in areas of crucial skill need</w:t>
      </w:r>
    </w:p>
    <w:p w14:paraId="5318AF62" w14:textId="77777777" w:rsidR="009F6875" w:rsidRPr="001E7AA4" w:rsidRDefault="009F6875" w:rsidP="00A025B1">
      <w:pPr>
        <w:pStyle w:val="BlueShadedBox-ListLetterstest"/>
        <w:numPr>
          <w:ilvl w:val="0"/>
          <w:numId w:val="17"/>
        </w:numPr>
        <w:ind w:left="570"/>
      </w:pPr>
      <w:r w:rsidRPr="001E7AA4">
        <w:t>improving the Recognition of Prior Learning (RPL)</w:t>
      </w:r>
      <w:r w:rsidRPr="001E7AA4">
        <w:rPr>
          <w:rStyle w:val="FootnoteReference"/>
        </w:rPr>
        <w:footnoteReference w:id="3"/>
      </w:r>
      <w:r w:rsidRPr="001E7AA4">
        <w:t xml:space="preserve"> and relevant work experience through a national skills passport or similar mechanism</w:t>
      </w:r>
    </w:p>
    <w:p w14:paraId="750D30D1" w14:textId="77777777" w:rsidR="009F6875" w:rsidRPr="001E7AA4" w:rsidRDefault="009F6875" w:rsidP="00A025B1">
      <w:pPr>
        <w:pStyle w:val="BlueShadedBox-ListLetterstest"/>
        <w:numPr>
          <w:ilvl w:val="0"/>
          <w:numId w:val="17"/>
        </w:numPr>
        <w:ind w:left="570"/>
      </w:pPr>
      <w:r w:rsidRPr="001E7AA4">
        <w:t>increasing the absorptive capacity of new knowledge by Australian employers through greater collaboration with universities</w:t>
      </w:r>
    </w:p>
    <w:p w14:paraId="1616C98D" w14:textId="77777777" w:rsidR="009F6875" w:rsidRPr="001E7AA4" w:rsidRDefault="009F6875" w:rsidP="00A025B1">
      <w:pPr>
        <w:pStyle w:val="BlueShadedBox-ListLetterstest"/>
        <w:numPr>
          <w:ilvl w:val="0"/>
          <w:numId w:val="17"/>
        </w:numPr>
        <w:ind w:left="570"/>
      </w:pPr>
      <w:r w:rsidRPr="001E7AA4">
        <w:t>improving Work Integrated Learning (WIL) and placements by providing participating students with better incentives and financial support</w:t>
      </w:r>
    </w:p>
    <w:p w14:paraId="033ED103" w14:textId="77777777" w:rsidR="009F6875" w:rsidRDefault="009F6875" w:rsidP="00A025B1">
      <w:pPr>
        <w:pStyle w:val="BlueShadedBox-ListLetterstest"/>
        <w:numPr>
          <w:ilvl w:val="0"/>
          <w:numId w:val="17"/>
        </w:numPr>
        <w:ind w:left="570"/>
      </w:pPr>
      <w:r w:rsidRPr="001E7AA4">
        <w:t>establishing a national jobs broker system, to assist students to find work placements and part-time jobs in their fields of study.</w:t>
      </w:r>
    </w:p>
    <w:p w14:paraId="268FA567" w14:textId="45D10126" w:rsidR="004459C7" w:rsidRPr="001E7AA4" w:rsidRDefault="004459C7" w:rsidP="00A025B1">
      <w:pPr>
        <w:pStyle w:val="ListParagraph"/>
        <w:numPr>
          <w:ilvl w:val="0"/>
          <w:numId w:val="7"/>
        </w:numPr>
        <w:spacing w:line="240" w:lineRule="auto"/>
        <w:rPr>
          <w:rFonts w:ascii="Calibri" w:hAnsi="Calibri" w:cs="Calibri"/>
          <w:b/>
          <w:bCs/>
          <w:color w:val="000000"/>
        </w:rPr>
      </w:pPr>
      <w:r w:rsidRPr="001E7AA4">
        <w:rPr>
          <w:rFonts w:ascii="Calibri" w:hAnsi="Calibri" w:cs="Calibri"/>
          <w:b/>
          <w:bCs/>
          <w:color w:val="000000"/>
        </w:rPr>
        <w:t xml:space="preserve">Equity in </w:t>
      </w:r>
      <w:r w:rsidR="00707E67" w:rsidRPr="001E7AA4">
        <w:rPr>
          <w:rFonts w:ascii="Calibri" w:hAnsi="Calibri" w:cs="Calibri"/>
          <w:b/>
          <w:bCs/>
          <w:color w:val="000000"/>
        </w:rPr>
        <w:t>p</w:t>
      </w:r>
      <w:r w:rsidRPr="001E7AA4">
        <w:rPr>
          <w:rFonts w:ascii="Calibri" w:hAnsi="Calibri" w:cs="Calibri"/>
          <w:b/>
          <w:bCs/>
          <w:color w:val="000000"/>
        </w:rPr>
        <w:t xml:space="preserve">articipation, </w:t>
      </w:r>
      <w:r w:rsidR="00707E67" w:rsidRPr="001E7AA4">
        <w:rPr>
          <w:rFonts w:ascii="Calibri" w:hAnsi="Calibri" w:cs="Calibri"/>
          <w:b/>
          <w:bCs/>
          <w:color w:val="000000"/>
        </w:rPr>
        <w:t>a</w:t>
      </w:r>
      <w:r w:rsidRPr="001E7AA4">
        <w:rPr>
          <w:rFonts w:ascii="Calibri" w:hAnsi="Calibri" w:cs="Calibri"/>
          <w:b/>
          <w:bCs/>
          <w:color w:val="000000"/>
        </w:rPr>
        <w:t xml:space="preserve">ccess and </w:t>
      </w:r>
      <w:r w:rsidR="00707E67" w:rsidRPr="001E7AA4">
        <w:rPr>
          <w:rFonts w:ascii="Calibri" w:hAnsi="Calibri" w:cs="Calibri"/>
          <w:b/>
          <w:bCs/>
          <w:color w:val="000000"/>
        </w:rPr>
        <w:t>o</w:t>
      </w:r>
      <w:r w:rsidRPr="001E7AA4">
        <w:rPr>
          <w:rFonts w:ascii="Calibri" w:hAnsi="Calibri" w:cs="Calibri"/>
          <w:b/>
          <w:bCs/>
          <w:color w:val="000000"/>
        </w:rPr>
        <w:t>pportunity</w:t>
      </w:r>
    </w:p>
    <w:p w14:paraId="0B4B1DAA" w14:textId="7BD0F161" w:rsidR="00E4210F" w:rsidRPr="001E7AA4" w:rsidRDefault="00E4210F" w:rsidP="00926F29">
      <w:pPr>
        <w:spacing w:line="240" w:lineRule="auto"/>
      </w:pPr>
      <w:r w:rsidRPr="001E7AA4">
        <w:t>Australia aspires to be a nation that is equitable and provides equal opportunity for all members of society. Education – and higher education – are powerful vehicles for transformative socio-economic change at individual, community and societal levels. It so happens we can’t progress without addressing equity in participation – it</w:t>
      </w:r>
      <w:r w:rsidR="004246A4" w:rsidRPr="001E7AA4">
        <w:t xml:space="preserve"> i</w:t>
      </w:r>
      <w:r w:rsidRPr="001E7AA4">
        <w:t>s not only desirable</w:t>
      </w:r>
      <w:r w:rsidR="004246A4" w:rsidRPr="001E7AA4">
        <w:t xml:space="preserve">, </w:t>
      </w:r>
      <w:r w:rsidR="00694AF9" w:rsidRPr="001E7AA4">
        <w:t>but also</w:t>
      </w:r>
      <w:r w:rsidRPr="001E7AA4">
        <w:t xml:space="preserve"> necessary.</w:t>
      </w:r>
    </w:p>
    <w:p w14:paraId="1D54E02E" w14:textId="5739083A" w:rsidR="00D1111C" w:rsidRDefault="009E5F3D" w:rsidP="004459C7">
      <w:pPr>
        <w:spacing w:line="240" w:lineRule="auto"/>
      </w:pPr>
      <w:r w:rsidRPr="001E7AA4">
        <w:t xml:space="preserve">To gain </w:t>
      </w:r>
      <w:r w:rsidR="00DB4839" w:rsidRPr="001E7AA4">
        <w:t xml:space="preserve">the skilled people </w:t>
      </w:r>
      <w:r w:rsidRPr="001E7AA4">
        <w:t>we</w:t>
      </w:r>
      <w:r w:rsidR="00DB4839" w:rsidRPr="001E7AA4">
        <w:t xml:space="preserve"> need for the future</w:t>
      </w:r>
      <w:r w:rsidRPr="001E7AA4">
        <w:t>, we must</w:t>
      </w:r>
      <w:r w:rsidR="00DB4839" w:rsidRPr="001E7AA4">
        <w:t xml:space="preserve"> significantly increase the </w:t>
      </w:r>
      <w:r w:rsidRPr="001E7AA4">
        <w:t xml:space="preserve">participation of </w:t>
      </w:r>
      <w:r w:rsidR="004459C7" w:rsidRPr="001E7AA4">
        <w:t xml:space="preserve">students from underrepresented </w:t>
      </w:r>
      <w:r w:rsidRPr="001E7AA4">
        <w:t xml:space="preserve">groups – </w:t>
      </w:r>
      <w:r w:rsidR="00F65D21" w:rsidRPr="001E7AA4">
        <w:t>First Nations students</w:t>
      </w:r>
      <w:r w:rsidR="00FE23F8" w:rsidRPr="001E7AA4">
        <w:t xml:space="preserve">, </w:t>
      </w:r>
      <w:r w:rsidRPr="001E7AA4">
        <w:t>students from e</w:t>
      </w:r>
      <w:r w:rsidR="004459C7" w:rsidRPr="001E7AA4">
        <w:t>quity cohorts</w:t>
      </w:r>
      <w:r w:rsidRPr="001E7AA4">
        <w:t xml:space="preserve"> and regional, </w:t>
      </w:r>
      <w:r w:rsidR="005F1078">
        <w:t>rural</w:t>
      </w:r>
      <w:r w:rsidRPr="001E7AA4">
        <w:t>, remote and</w:t>
      </w:r>
      <w:r w:rsidR="00A81F86" w:rsidRPr="001E7AA4">
        <w:t xml:space="preserve"> outer suburban</w:t>
      </w:r>
      <w:r w:rsidRPr="001E7AA4">
        <w:t xml:space="preserve"> locations</w:t>
      </w:r>
      <w:r w:rsidR="004459C7" w:rsidRPr="001E7AA4">
        <w:t xml:space="preserve">. </w:t>
      </w:r>
      <w:r w:rsidRPr="001E7AA4">
        <w:t xml:space="preserve">Existing policies </w:t>
      </w:r>
      <w:r w:rsidR="00DB4839" w:rsidRPr="001E7AA4">
        <w:t xml:space="preserve">are not working well enough. </w:t>
      </w:r>
      <w:r w:rsidRPr="001E7AA4">
        <w:t xml:space="preserve">Australia’s signature policy, the </w:t>
      </w:r>
      <w:r w:rsidR="004459C7" w:rsidRPr="001E7AA4">
        <w:t>Higher Education Loan Program (HELP)</w:t>
      </w:r>
      <w:r w:rsidRPr="001E7AA4">
        <w:t>,</w:t>
      </w:r>
      <w:r w:rsidR="004459C7" w:rsidRPr="001E7AA4">
        <w:t xml:space="preserve"> is now over 30 years old</w:t>
      </w:r>
      <w:r w:rsidRPr="001E7AA4">
        <w:t xml:space="preserve"> and needs a refresh. As a result of this lack of policy attention, </w:t>
      </w:r>
      <w:r w:rsidR="004459C7" w:rsidRPr="001E7AA4">
        <w:t xml:space="preserve">access to student income support is declining, and </w:t>
      </w:r>
      <w:r w:rsidRPr="001E7AA4">
        <w:t>s</w:t>
      </w:r>
      <w:r w:rsidR="004459C7" w:rsidRPr="001E7AA4">
        <w:t xml:space="preserve">ervices </w:t>
      </w:r>
      <w:r w:rsidRPr="001E7AA4">
        <w:t>that might</w:t>
      </w:r>
      <w:r w:rsidR="004459C7" w:rsidRPr="001E7AA4">
        <w:t xml:space="preserve"> support student success are</w:t>
      </w:r>
      <w:r w:rsidRPr="001E7AA4">
        <w:t xml:space="preserve"> lacking</w:t>
      </w:r>
      <w:r w:rsidR="004459C7" w:rsidRPr="001E7AA4">
        <w:t>.</w:t>
      </w:r>
      <w:r w:rsidR="00DB4839" w:rsidRPr="001E7AA4">
        <w:t xml:space="preserve"> </w:t>
      </w:r>
    </w:p>
    <w:p w14:paraId="6B7AAD6D" w14:textId="3C37384B" w:rsidR="009F6875" w:rsidRDefault="0007141C" w:rsidP="0007141C">
      <w:pPr>
        <w:pStyle w:val="Pulloutboxes"/>
      </w:pPr>
      <w:r w:rsidRPr="00D71585">
        <w:t>New ideas must be explored to prevent excessive debt and rising student cost of living pressures from discouraging people of all ages from pursuing higher education and completing their qualifications.</w:t>
      </w:r>
    </w:p>
    <w:p w14:paraId="6DDF77CD" w14:textId="03333820" w:rsidR="00DB4839" w:rsidRDefault="009E5F3D" w:rsidP="004459C7">
      <w:pPr>
        <w:spacing w:line="240" w:lineRule="auto"/>
      </w:pPr>
      <w:r w:rsidRPr="001E7AA4">
        <w:lastRenderedPageBreak/>
        <w:t xml:space="preserve">This should include giving consideration to </w:t>
      </w:r>
      <w:r w:rsidR="00732515" w:rsidRPr="001E7AA4">
        <w:t>revis</w:t>
      </w:r>
      <w:r w:rsidRPr="001E7AA4">
        <w:t>ing</w:t>
      </w:r>
      <w:r w:rsidR="00732515" w:rsidRPr="001E7AA4">
        <w:t xml:space="preserve"> student contribution amounts and </w:t>
      </w:r>
      <w:r w:rsidRPr="001E7AA4">
        <w:t xml:space="preserve">HELP </w:t>
      </w:r>
      <w:r w:rsidR="00DB4839" w:rsidRPr="001E7AA4">
        <w:t xml:space="preserve">repayment arrangements </w:t>
      </w:r>
      <w:r w:rsidRPr="001E7AA4">
        <w:t xml:space="preserve">and </w:t>
      </w:r>
      <w:r w:rsidR="00DB4839" w:rsidRPr="001E7AA4">
        <w:t>providing remuneration for mandatory work placements.</w:t>
      </w:r>
    </w:p>
    <w:p w14:paraId="72FD2EED" w14:textId="407EF6A2" w:rsidR="0007141C" w:rsidRDefault="0007141C" w:rsidP="00560132">
      <w:pPr>
        <w:pStyle w:val="BlueShadedBox-Body"/>
        <w:spacing w:after="120"/>
      </w:pPr>
      <w:r w:rsidRPr="001E7AA4">
        <w:t>For these reasons, the Review is giving consideration to the following policy areas:</w:t>
      </w:r>
    </w:p>
    <w:p w14:paraId="75FE3521" w14:textId="77777777" w:rsidR="0007141C" w:rsidRPr="001E7AA4" w:rsidRDefault="0007141C" w:rsidP="00A025B1">
      <w:pPr>
        <w:pStyle w:val="BlueShadedBox-ListLetterstest"/>
        <w:numPr>
          <w:ilvl w:val="0"/>
          <w:numId w:val="18"/>
        </w:numPr>
        <w:ind w:left="570"/>
      </w:pPr>
      <w:r w:rsidRPr="001E7AA4">
        <w:t xml:space="preserve">encouraging students from underrepresented groups to aspire to higher education and fulfil their potential </w:t>
      </w:r>
    </w:p>
    <w:p w14:paraId="344916B8" w14:textId="77777777" w:rsidR="0007141C" w:rsidRPr="001E7AA4" w:rsidRDefault="0007141C" w:rsidP="00A025B1">
      <w:pPr>
        <w:pStyle w:val="BlueShadedBox-ListLetterstest"/>
        <w:numPr>
          <w:ilvl w:val="0"/>
          <w:numId w:val="18"/>
        </w:numPr>
        <w:ind w:left="570"/>
      </w:pPr>
      <w:r w:rsidRPr="001E7AA4">
        <w:t>making it easier for students to enter, exit and return to higher education through a consistent national approach to tertiary education admission and the recognition of existing learning experience and credentials</w:t>
      </w:r>
    </w:p>
    <w:p w14:paraId="72F961B0" w14:textId="77777777" w:rsidR="0007141C" w:rsidRPr="001E7AA4" w:rsidRDefault="0007141C" w:rsidP="00A025B1">
      <w:pPr>
        <w:pStyle w:val="BlueShadedBox-ListLetterstest"/>
        <w:numPr>
          <w:ilvl w:val="0"/>
          <w:numId w:val="18"/>
        </w:numPr>
        <w:ind w:left="570"/>
      </w:pPr>
      <w:r w:rsidRPr="001E7AA4">
        <w:t xml:space="preserve">increasing access to preparatory and enabling programs to provide more pathways into higher education </w:t>
      </w:r>
    </w:p>
    <w:p w14:paraId="64259CC3" w14:textId="77777777" w:rsidR="0007141C" w:rsidRPr="001E7AA4" w:rsidRDefault="0007141C" w:rsidP="00A025B1">
      <w:pPr>
        <w:pStyle w:val="BlueShadedBox-ListLetterstest"/>
        <w:numPr>
          <w:ilvl w:val="0"/>
          <w:numId w:val="18"/>
        </w:numPr>
        <w:ind w:left="570"/>
      </w:pPr>
      <w:r w:rsidRPr="001E7AA4">
        <w:t>providing scaffolded learning support to help students achieve their qualification in minimum time and with minimum debt</w:t>
      </w:r>
    </w:p>
    <w:p w14:paraId="11FBE08D" w14:textId="77777777" w:rsidR="0007141C" w:rsidRPr="001E7AA4" w:rsidRDefault="0007141C" w:rsidP="00A025B1">
      <w:pPr>
        <w:pStyle w:val="BlueShadedBox-ListLetterstest"/>
        <w:numPr>
          <w:ilvl w:val="0"/>
          <w:numId w:val="18"/>
        </w:numPr>
        <w:ind w:left="570"/>
      </w:pPr>
      <w:r w:rsidRPr="001E7AA4">
        <w:t>through a national jobs broker system, helping students find part-time work in their areas of study</w:t>
      </w:r>
    </w:p>
    <w:p w14:paraId="06E2306E" w14:textId="77777777" w:rsidR="0007141C" w:rsidRPr="001E7AA4" w:rsidRDefault="0007141C" w:rsidP="00A025B1">
      <w:pPr>
        <w:pStyle w:val="BlueShadedBox-ListLetterstest"/>
        <w:numPr>
          <w:ilvl w:val="0"/>
          <w:numId w:val="18"/>
        </w:numPr>
        <w:ind w:left="570"/>
      </w:pPr>
      <w:r w:rsidRPr="001E7AA4">
        <w:t>exploring the potential for a student-centred, needs-based funding model (similar to that used for determining school funding) that recognises the additional costs involved in teaching students from equity groups and underrepresented communities</w:t>
      </w:r>
    </w:p>
    <w:p w14:paraId="69687444" w14:textId="77777777" w:rsidR="0007141C" w:rsidRPr="0007141C" w:rsidRDefault="0007141C" w:rsidP="00A025B1">
      <w:pPr>
        <w:pStyle w:val="BlueShadedBox-ListLetterstest"/>
        <w:numPr>
          <w:ilvl w:val="0"/>
          <w:numId w:val="18"/>
        </w:numPr>
        <w:ind w:left="570"/>
      </w:pPr>
      <w:r w:rsidRPr="0007141C">
        <w:t>reducing the cost of living barriers to higher education through improved income support measures and more opportunities for part-time study</w:t>
      </w:r>
    </w:p>
    <w:p w14:paraId="22FA8776" w14:textId="31F6F02B" w:rsidR="0007141C" w:rsidRDefault="0007141C" w:rsidP="00A025B1">
      <w:pPr>
        <w:pStyle w:val="BlueShadedBox-ListLetterstest"/>
        <w:numPr>
          <w:ilvl w:val="0"/>
          <w:numId w:val="18"/>
        </w:numPr>
        <w:ind w:left="570"/>
      </w:pPr>
      <w:r w:rsidRPr="001E7AA4">
        <w:t>revising student contribution amounts and HELP repayment arrangements to ensure students are not being overly burdened with debt and that repayment arrangements are fair and integrate more effectively with the wider tax and social security system.</w:t>
      </w:r>
    </w:p>
    <w:p w14:paraId="58BDFDDE" w14:textId="335713CD" w:rsidR="004459C7" w:rsidRPr="001E7AA4" w:rsidRDefault="004459C7" w:rsidP="00A025B1">
      <w:pPr>
        <w:pStyle w:val="ListParagraph"/>
        <w:keepNext/>
        <w:numPr>
          <w:ilvl w:val="0"/>
          <w:numId w:val="7"/>
        </w:numPr>
        <w:spacing w:line="240" w:lineRule="auto"/>
        <w:ind w:left="357" w:hanging="357"/>
        <w:rPr>
          <w:rFonts w:ascii="Calibri" w:hAnsi="Calibri" w:cs="Calibri"/>
          <w:b/>
          <w:bCs/>
          <w:color w:val="000000"/>
        </w:rPr>
      </w:pPr>
      <w:r w:rsidRPr="001E7AA4">
        <w:rPr>
          <w:rFonts w:ascii="Calibri" w:hAnsi="Calibri" w:cs="Calibri"/>
          <w:b/>
          <w:bCs/>
          <w:color w:val="000000"/>
        </w:rPr>
        <w:t xml:space="preserve">Excellence in </w:t>
      </w:r>
      <w:r w:rsidR="00707E67" w:rsidRPr="001E7AA4">
        <w:rPr>
          <w:rFonts w:ascii="Calibri" w:hAnsi="Calibri" w:cs="Calibri"/>
          <w:b/>
          <w:bCs/>
          <w:color w:val="000000"/>
        </w:rPr>
        <w:t>l</w:t>
      </w:r>
      <w:r w:rsidRPr="001E7AA4">
        <w:rPr>
          <w:rFonts w:ascii="Calibri" w:hAnsi="Calibri" w:cs="Calibri"/>
          <w:b/>
          <w:bCs/>
          <w:color w:val="000000"/>
        </w:rPr>
        <w:t xml:space="preserve">earning, </w:t>
      </w:r>
      <w:r w:rsidR="00707E67" w:rsidRPr="001E7AA4">
        <w:rPr>
          <w:rFonts w:ascii="Calibri" w:hAnsi="Calibri" w:cs="Calibri"/>
          <w:b/>
          <w:bCs/>
          <w:color w:val="000000"/>
        </w:rPr>
        <w:t>t</w:t>
      </w:r>
      <w:r w:rsidRPr="001E7AA4">
        <w:rPr>
          <w:rFonts w:ascii="Calibri" w:hAnsi="Calibri" w:cs="Calibri"/>
          <w:b/>
          <w:bCs/>
          <w:color w:val="000000"/>
        </w:rPr>
        <w:t xml:space="preserve">eaching and </w:t>
      </w:r>
      <w:r w:rsidR="00707E67" w:rsidRPr="001E7AA4">
        <w:rPr>
          <w:rFonts w:ascii="Calibri" w:hAnsi="Calibri" w:cs="Calibri"/>
          <w:b/>
          <w:bCs/>
          <w:color w:val="000000"/>
        </w:rPr>
        <w:t>s</w:t>
      </w:r>
      <w:r w:rsidRPr="001E7AA4">
        <w:rPr>
          <w:rFonts w:ascii="Calibri" w:hAnsi="Calibri" w:cs="Calibri"/>
          <w:b/>
          <w:bCs/>
          <w:color w:val="000000"/>
        </w:rPr>
        <w:t xml:space="preserve">tudent </w:t>
      </w:r>
      <w:r w:rsidR="00707E67" w:rsidRPr="001E7AA4">
        <w:rPr>
          <w:rFonts w:ascii="Calibri" w:hAnsi="Calibri" w:cs="Calibri"/>
          <w:b/>
          <w:bCs/>
          <w:color w:val="000000"/>
        </w:rPr>
        <w:t>e</w:t>
      </w:r>
      <w:r w:rsidRPr="001E7AA4">
        <w:rPr>
          <w:rFonts w:ascii="Calibri" w:hAnsi="Calibri" w:cs="Calibri"/>
          <w:b/>
          <w:bCs/>
          <w:color w:val="000000"/>
        </w:rPr>
        <w:t>xperience</w:t>
      </w:r>
    </w:p>
    <w:p w14:paraId="18265BF9" w14:textId="4611DD62" w:rsidR="00DB4839" w:rsidRDefault="009E5F3D" w:rsidP="004459C7">
      <w:pPr>
        <w:spacing w:after="0" w:line="240" w:lineRule="auto"/>
      </w:pPr>
      <w:r w:rsidRPr="001E7AA4">
        <w:t>T</w:t>
      </w:r>
      <w:r w:rsidR="004459C7" w:rsidRPr="001E7AA4">
        <w:t>he Review heard that learning and teaching approaches worldwide are undergoing a profound shift</w:t>
      </w:r>
      <w:r w:rsidR="00DB4839" w:rsidRPr="001E7AA4">
        <w:t>,</w:t>
      </w:r>
      <w:r w:rsidRPr="001E7AA4">
        <w:t xml:space="preserve"> including a trend</w:t>
      </w:r>
      <w:r w:rsidR="00DB4839" w:rsidRPr="001E7AA4">
        <w:t xml:space="preserve"> </w:t>
      </w:r>
      <w:r w:rsidR="00FC52E8" w:rsidRPr="001E7AA4">
        <w:t xml:space="preserve">to </w:t>
      </w:r>
      <w:r w:rsidR="00DB4839" w:rsidRPr="001E7AA4">
        <w:t>more affordable courses</w:t>
      </w:r>
      <w:r w:rsidRPr="001E7AA4">
        <w:t xml:space="preserve"> that are more tightly </w:t>
      </w:r>
      <w:r w:rsidR="00DB4839" w:rsidRPr="001E7AA4">
        <w:t xml:space="preserve">tailored to individual student need. </w:t>
      </w:r>
      <w:r w:rsidR="004459C7" w:rsidRPr="001E7AA4">
        <w:t xml:space="preserve">A glimpse of this was </w:t>
      </w:r>
      <w:r w:rsidR="00DB4839" w:rsidRPr="001E7AA4">
        <w:t xml:space="preserve">provided during </w:t>
      </w:r>
      <w:r w:rsidR="004459C7" w:rsidRPr="001E7AA4">
        <w:t xml:space="preserve">the </w:t>
      </w:r>
      <w:r w:rsidR="0006773A" w:rsidRPr="001E7AA4">
        <w:t>C</w:t>
      </w:r>
      <w:r w:rsidR="00426C19" w:rsidRPr="001E7AA4">
        <w:t>OVID</w:t>
      </w:r>
      <w:r w:rsidR="0006773A" w:rsidRPr="001E7AA4">
        <w:t xml:space="preserve">-19 </w:t>
      </w:r>
      <w:r w:rsidR="004459C7" w:rsidRPr="001E7AA4">
        <w:t xml:space="preserve">pandemic when learning </w:t>
      </w:r>
      <w:r w:rsidRPr="001E7AA4">
        <w:t>rapidly moved online.</w:t>
      </w:r>
      <w:r w:rsidR="004459C7" w:rsidRPr="001E7AA4">
        <w:t xml:space="preserve"> </w:t>
      </w:r>
    </w:p>
    <w:p w14:paraId="39F9C4E1" w14:textId="77777777" w:rsidR="0007141C" w:rsidRPr="00032B2A" w:rsidRDefault="0007141C" w:rsidP="0007141C">
      <w:pPr>
        <w:pStyle w:val="Pulloutboxes"/>
        <w:rPr>
          <w:b/>
          <w:bCs/>
        </w:rPr>
      </w:pPr>
      <w:r w:rsidRPr="00032B2A">
        <w:t>Greater priority now needs to be given to educational development and experimentation.</w:t>
      </w:r>
    </w:p>
    <w:p w14:paraId="0BC1119B" w14:textId="34FBCEE0" w:rsidR="005C2F55" w:rsidRDefault="009E5F3D" w:rsidP="0007141C">
      <w:r w:rsidRPr="001E7AA4">
        <w:t xml:space="preserve">The </w:t>
      </w:r>
      <w:r w:rsidR="00600145" w:rsidRPr="001E7AA4">
        <w:t>Review</w:t>
      </w:r>
      <w:r w:rsidR="00DB4839" w:rsidRPr="001E7AA4">
        <w:t xml:space="preserve"> </w:t>
      </w:r>
      <w:r w:rsidRPr="001E7AA4">
        <w:t xml:space="preserve">also heard that </w:t>
      </w:r>
      <w:r w:rsidR="004459C7" w:rsidRPr="001E7AA4">
        <w:t xml:space="preserve">learning </w:t>
      </w:r>
      <w:r w:rsidR="0065483C" w:rsidRPr="001E7AA4">
        <w:t>and teaching</w:t>
      </w:r>
      <w:r w:rsidR="004459C7" w:rsidRPr="001E7AA4">
        <w:t xml:space="preserve"> </w:t>
      </w:r>
      <w:r w:rsidR="00DB4839" w:rsidRPr="001E7AA4">
        <w:t xml:space="preserve">for both domestic and international students </w:t>
      </w:r>
      <w:r w:rsidRPr="001E7AA4">
        <w:t xml:space="preserve">is </w:t>
      </w:r>
      <w:r w:rsidR="004459C7" w:rsidRPr="001E7AA4">
        <w:t>sometimes fall</w:t>
      </w:r>
      <w:r w:rsidRPr="001E7AA4">
        <w:t>ing</w:t>
      </w:r>
      <w:r w:rsidR="004459C7" w:rsidRPr="001E7AA4">
        <w:t xml:space="preserve"> short of </w:t>
      </w:r>
      <w:r w:rsidR="00DB4839" w:rsidRPr="001E7AA4">
        <w:t xml:space="preserve">students’ </w:t>
      </w:r>
      <w:r w:rsidR="004459C7" w:rsidRPr="001E7AA4">
        <w:t>expectations.</w:t>
      </w:r>
    </w:p>
    <w:p w14:paraId="3B3C3BE5" w14:textId="77777777" w:rsidR="005C2F55" w:rsidRDefault="005C2F55">
      <w:pPr>
        <w:spacing w:after="160"/>
      </w:pPr>
      <w:r>
        <w:br w:type="page"/>
      </w:r>
    </w:p>
    <w:p w14:paraId="1354AC39" w14:textId="77777777" w:rsidR="0007141C" w:rsidRDefault="0007141C" w:rsidP="00560132">
      <w:pPr>
        <w:pStyle w:val="BlueShadedBox-Body"/>
        <w:spacing w:after="120"/>
      </w:pPr>
      <w:r w:rsidRPr="001E7AA4">
        <w:lastRenderedPageBreak/>
        <w:t>For these reasons, the Review is giving further consideration to the following policy areas:</w:t>
      </w:r>
    </w:p>
    <w:p w14:paraId="325FBC82" w14:textId="77777777" w:rsidR="0007141C" w:rsidRPr="001E7AA4" w:rsidRDefault="0007141C" w:rsidP="00A025B1">
      <w:pPr>
        <w:pStyle w:val="BlueShadedBox-ListLetterstest"/>
        <w:numPr>
          <w:ilvl w:val="0"/>
          <w:numId w:val="19"/>
        </w:numPr>
        <w:ind w:left="570"/>
      </w:pPr>
      <w:r w:rsidRPr="001E7AA4">
        <w:t>encouraging and rewarding effective learning and teaching practices, including best practice for digital and hybrid delivery modes and use of new technologies and structures, particularly artificial intelligence and knowledge repositories</w:t>
      </w:r>
    </w:p>
    <w:p w14:paraId="1DCF8ABD" w14:textId="77777777" w:rsidR="0007141C" w:rsidRPr="001E7AA4" w:rsidRDefault="0007141C" w:rsidP="00A025B1">
      <w:pPr>
        <w:pStyle w:val="BlueShadedBox-ListLetterstest"/>
        <w:numPr>
          <w:ilvl w:val="0"/>
          <w:numId w:val="19"/>
        </w:numPr>
        <w:ind w:left="570"/>
      </w:pPr>
      <w:r w:rsidRPr="001E7AA4">
        <w:t>enhancing the professional development of academic staff in teaching, especially for those newly employed to teach</w:t>
      </w:r>
    </w:p>
    <w:p w14:paraId="3E0A4163" w14:textId="77777777" w:rsidR="0007141C" w:rsidRPr="001E7AA4" w:rsidRDefault="0007141C" w:rsidP="00A025B1">
      <w:pPr>
        <w:pStyle w:val="BlueShadedBox-ListLetterstest"/>
        <w:numPr>
          <w:ilvl w:val="0"/>
          <w:numId w:val="19"/>
        </w:numPr>
        <w:ind w:left="570"/>
      </w:pPr>
      <w:r w:rsidRPr="001E7AA4">
        <w:t>promoting collaboration and shared best practice in learning and teaching</w:t>
      </w:r>
    </w:p>
    <w:p w14:paraId="2A7B4CCE" w14:textId="77777777" w:rsidR="0007141C" w:rsidRPr="001E7AA4" w:rsidRDefault="0007141C" w:rsidP="00A025B1">
      <w:pPr>
        <w:pStyle w:val="BlueShadedBox-ListLetterstest"/>
        <w:numPr>
          <w:ilvl w:val="0"/>
          <w:numId w:val="19"/>
        </w:numPr>
        <w:ind w:left="570"/>
      </w:pPr>
      <w:r w:rsidRPr="001E7AA4">
        <w:t>ensuring the system encourages improvements in quality learning and teaching, responds to new curriculum approaches that take account of the pace of new knowledge production, and provides for appropriate teaching infrastructure.</w:t>
      </w:r>
    </w:p>
    <w:p w14:paraId="394B8130" w14:textId="77777777" w:rsidR="004459C7" w:rsidRPr="001E7AA4" w:rsidRDefault="004459C7" w:rsidP="00A025B1">
      <w:pPr>
        <w:pStyle w:val="ListParagraph"/>
        <w:numPr>
          <w:ilvl w:val="0"/>
          <w:numId w:val="7"/>
        </w:numPr>
        <w:spacing w:before="240" w:line="240" w:lineRule="auto"/>
        <w:contextualSpacing w:val="0"/>
        <w:rPr>
          <w:rFonts w:ascii="Calibri" w:hAnsi="Calibri" w:cs="Calibri"/>
          <w:b/>
          <w:bCs/>
          <w:color w:val="000000"/>
        </w:rPr>
      </w:pPr>
      <w:r w:rsidRPr="001E7AA4">
        <w:rPr>
          <w:rFonts w:ascii="Calibri" w:hAnsi="Calibri" w:cs="Calibri"/>
          <w:b/>
          <w:bCs/>
          <w:color w:val="000000"/>
        </w:rPr>
        <w:t>Fostering international engagement</w:t>
      </w:r>
    </w:p>
    <w:p w14:paraId="20A7F05F" w14:textId="478AD8DA" w:rsidR="004459C7" w:rsidRDefault="004459C7" w:rsidP="004459C7">
      <w:pPr>
        <w:spacing w:line="240" w:lineRule="auto"/>
      </w:pPr>
      <w:r w:rsidRPr="001E7AA4">
        <w:t xml:space="preserve">The Review is </w:t>
      </w:r>
      <w:r w:rsidR="00DB4839" w:rsidRPr="001E7AA4">
        <w:t xml:space="preserve">considering </w:t>
      </w:r>
      <w:r w:rsidRPr="001E7AA4">
        <w:t>how best to create a sustainable and globally connected international education sector that is c</w:t>
      </w:r>
      <w:r w:rsidR="00DB4839" w:rsidRPr="001E7AA4">
        <w:t>entral</w:t>
      </w:r>
      <w:r w:rsidRPr="001E7AA4">
        <w:t xml:space="preserve"> to the mission of institutions, that benefits Australia and its regions, that builds country to country connections through teaching and research, and that remains internationally competitive for decades to come.</w:t>
      </w:r>
    </w:p>
    <w:p w14:paraId="28B8885D" w14:textId="17E17CC1" w:rsidR="0007141C" w:rsidRDefault="0007141C" w:rsidP="0007141C">
      <w:pPr>
        <w:pStyle w:val="Pulloutboxes"/>
      </w:pPr>
      <w:r w:rsidRPr="00D71585">
        <w:t>The Review sees international education less as an industry and more as a crucial element of Australia’s soft diplomacy, regional prosperity and development.</w:t>
      </w:r>
    </w:p>
    <w:p w14:paraId="1C2989DA" w14:textId="449D4128" w:rsidR="00DB4839" w:rsidRDefault="00DB4839" w:rsidP="004459C7">
      <w:pPr>
        <w:spacing w:line="240" w:lineRule="auto"/>
      </w:pPr>
      <w:r w:rsidRPr="001E7AA4">
        <w:t>This makes the quality of the education we provide even more important.</w:t>
      </w:r>
    </w:p>
    <w:p w14:paraId="66DE541A" w14:textId="428233C5" w:rsidR="0007141C" w:rsidRDefault="0007141C" w:rsidP="00560132">
      <w:pPr>
        <w:pStyle w:val="BlueShadedBox-Body"/>
        <w:spacing w:after="120"/>
      </w:pPr>
      <w:r w:rsidRPr="001E7AA4">
        <w:t>For these reasons, the Review is giving further consideration to the following policy areas:</w:t>
      </w:r>
    </w:p>
    <w:p w14:paraId="7A4D5E08" w14:textId="77777777" w:rsidR="0007141C" w:rsidRPr="001E7AA4" w:rsidRDefault="0007141C" w:rsidP="00A025B1">
      <w:pPr>
        <w:pStyle w:val="BlueShadedBox-ListLetterstest"/>
        <w:numPr>
          <w:ilvl w:val="0"/>
          <w:numId w:val="20"/>
        </w:numPr>
        <w:ind w:left="570"/>
      </w:pPr>
      <w:r w:rsidRPr="001E7AA4">
        <w:t>ensuring that international education supports broader Australian foreign policy objectives, for example, strengthening relationships with India and the Pacific</w:t>
      </w:r>
    </w:p>
    <w:p w14:paraId="051D4B07" w14:textId="77777777" w:rsidR="0007141C" w:rsidRPr="001E7AA4" w:rsidRDefault="0007141C" w:rsidP="00A025B1">
      <w:pPr>
        <w:pStyle w:val="BlueShadedBox-ListLetterstest"/>
        <w:numPr>
          <w:ilvl w:val="0"/>
          <w:numId w:val="20"/>
        </w:numPr>
        <w:ind w:left="570"/>
      </w:pPr>
      <w:r w:rsidRPr="001E7AA4">
        <w:t>making international education more embedded within the mission of the Australian tertiary education system and to the mission and purpose of individual institutions</w:t>
      </w:r>
    </w:p>
    <w:p w14:paraId="4FD3F13B" w14:textId="77777777" w:rsidR="0007141C" w:rsidRPr="001E7AA4" w:rsidRDefault="0007141C" w:rsidP="00A025B1">
      <w:pPr>
        <w:pStyle w:val="BlueShadedBox-ListLetterstest"/>
        <w:numPr>
          <w:ilvl w:val="0"/>
          <w:numId w:val="20"/>
        </w:numPr>
        <w:ind w:left="570"/>
      </w:pPr>
      <w:r w:rsidRPr="001E7AA4">
        <w:t>ensuring the integrity and accessibility of visa pathways for international students</w:t>
      </w:r>
    </w:p>
    <w:p w14:paraId="10DA4C4A" w14:textId="77777777" w:rsidR="0007141C" w:rsidRPr="001E7AA4" w:rsidRDefault="0007141C" w:rsidP="00A025B1">
      <w:pPr>
        <w:pStyle w:val="BlueShadedBox-ListLetterstest"/>
        <w:numPr>
          <w:ilvl w:val="0"/>
          <w:numId w:val="20"/>
        </w:numPr>
        <w:ind w:left="570"/>
      </w:pPr>
      <w:r w:rsidRPr="001E7AA4">
        <w:t>promoting flexibility and innovation in international education, including digital and offshore delivery options</w:t>
      </w:r>
    </w:p>
    <w:p w14:paraId="21AD5CEB" w14:textId="77777777" w:rsidR="0007141C" w:rsidRPr="001E7AA4" w:rsidRDefault="0007141C" w:rsidP="00A025B1">
      <w:pPr>
        <w:pStyle w:val="BlueShadedBox-ListLetterstest"/>
        <w:numPr>
          <w:ilvl w:val="0"/>
          <w:numId w:val="20"/>
        </w:numPr>
        <w:ind w:left="570"/>
      </w:pPr>
      <w:r w:rsidRPr="001E7AA4">
        <w:t>providing</w:t>
      </w:r>
      <w:r w:rsidRPr="001E7AA4" w:rsidDel="00443B6F">
        <w:t xml:space="preserve"> </w:t>
      </w:r>
      <w:r w:rsidRPr="001E7AA4">
        <w:t>a high-quality university experience for international students</w:t>
      </w:r>
    </w:p>
    <w:p w14:paraId="12D27964" w14:textId="77777777" w:rsidR="0007141C" w:rsidRPr="001E7AA4" w:rsidRDefault="0007141C" w:rsidP="00A025B1">
      <w:pPr>
        <w:pStyle w:val="BlueShadedBox-ListLetterstest"/>
        <w:numPr>
          <w:ilvl w:val="0"/>
          <w:numId w:val="20"/>
        </w:numPr>
        <w:ind w:left="570"/>
      </w:pPr>
      <w:r w:rsidRPr="001E7AA4">
        <w:t>improving overseas skills and qualification recognition and expanding international professional qualification accords</w:t>
      </w:r>
    </w:p>
    <w:p w14:paraId="2F87B8E3" w14:textId="77777777" w:rsidR="0007141C" w:rsidRPr="001E7AA4" w:rsidRDefault="0007141C" w:rsidP="00A025B1">
      <w:pPr>
        <w:pStyle w:val="BlueShadedBox-ListLetterstest"/>
        <w:numPr>
          <w:ilvl w:val="0"/>
          <w:numId w:val="20"/>
        </w:numPr>
        <w:ind w:left="570"/>
      </w:pPr>
      <w:r w:rsidRPr="001E7AA4">
        <w:t>promoting international commercial use of Australian research capability</w:t>
      </w:r>
    </w:p>
    <w:p w14:paraId="04CCA1DA" w14:textId="77777777" w:rsidR="0007141C" w:rsidRPr="001E7AA4" w:rsidRDefault="0007141C" w:rsidP="00A025B1">
      <w:pPr>
        <w:pStyle w:val="BlueShadedBox-ListLetterstest"/>
        <w:numPr>
          <w:ilvl w:val="0"/>
          <w:numId w:val="20"/>
        </w:numPr>
        <w:ind w:left="570"/>
      </w:pPr>
      <w:r w:rsidRPr="001E7AA4">
        <w:t>building closer connections between institutions and their international alumni.</w:t>
      </w:r>
    </w:p>
    <w:p w14:paraId="3FB4AF2C" w14:textId="77777777" w:rsidR="004459C7" w:rsidRPr="001E7AA4" w:rsidRDefault="004459C7" w:rsidP="00A025B1">
      <w:pPr>
        <w:pStyle w:val="ListParagraph"/>
        <w:keepNext/>
        <w:numPr>
          <w:ilvl w:val="0"/>
          <w:numId w:val="7"/>
        </w:numPr>
        <w:spacing w:before="240" w:line="240" w:lineRule="auto"/>
        <w:contextualSpacing w:val="0"/>
        <w:rPr>
          <w:rFonts w:ascii="Calibri" w:hAnsi="Calibri" w:cs="Calibri"/>
          <w:b/>
          <w:bCs/>
          <w:color w:val="000000"/>
        </w:rPr>
      </w:pPr>
      <w:r w:rsidRPr="001E7AA4">
        <w:rPr>
          <w:rFonts w:ascii="Calibri" w:hAnsi="Calibri" w:cs="Calibri"/>
          <w:b/>
          <w:bCs/>
          <w:color w:val="000000"/>
        </w:rPr>
        <w:t>Serving our communities</w:t>
      </w:r>
    </w:p>
    <w:p w14:paraId="11B0F983" w14:textId="7B783B46" w:rsidR="005C2F55" w:rsidRDefault="004459C7" w:rsidP="004459C7">
      <w:pPr>
        <w:spacing w:after="160" w:line="240" w:lineRule="auto"/>
      </w:pPr>
      <w:r w:rsidRPr="001E7AA4">
        <w:t>Higher education providers play a c</w:t>
      </w:r>
      <w:r w:rsidR="009E5F3D" w:rsidRPr="001E7AA4">
        <w:t>rucial</w:t>
      </w:r>
      <w:r w:rsidRPr="001E7AA4">
        <w:t xml:space="preserve"> role in their communities, particularly in parts of Australia beyond the inner suburbs</w:t>
      </w:r>
      <w:r w:rsidR="009E5F3D" w:rsidRPr="001E7AA4">
        <w:t>, delivering local jobs, building economic and social connections, providing relevant applied research and bringing many other tangible benefits.</w:t>
      </w:r>
    </w:p>
    <w:p w14:paraId="4E86F27A" w14:textId="77777777" w:rsidR="005C2F55" w:rsidRDefault="005C2F55">
      <w:pPr>
        <w:spacing w:after="160"/>
      </w:pPr>
      <w:r>
        <w:br w:type="page"/>
      </w:r>
    </w:p>
    <w:p w14:paraId="683DA977" w14:textId="77777777" w:rsidR="0026618F" w:rsidRDefault="0026618F" w:rsidP="00560132">
      <w:pPr>
        <w:pStyle w:val="BlueShadedBox-Body"/>
        <w:spacing w:after="120"/>
      </w:pPr>
      <w:r w:rsidRPr="001E7AA4">
        <w:lastRenderedPageBreak/>
        <w:t>For these reasons, the Review is giving further consideration to the following policy areas:</w:t>
      </w:r>
    </w:p>
    <w:p w14:paraId="209B2767" w14:textId="77777777" w:rsidR="0026618F" w:rsidRPr="001E7AA4" w:rsidRDefault="0026618F" w:rsidP="00A025B1">
      <w:pPr>
        <w:pStyle w:val="BlueShadedBox-ListLetterstest"/>
        <w:numPr>
          <w:ilvl w:val="0"/>
          <w:numId w:val="21"/>
        </w:numPr>
        <w:ind w:left="570"/>
      </w:pPr>
      <w:r w:rsidRPr="001E7AA4">
        <w:t>recognising and formalising the crucial role institutions play in their communities through the Accord process and mission-based compacts</w:t>
      </w:r>
    </w:p>
    <w:p w14:paraId="7B4366D7" w14:textId="77777777" w:rsidR="0026618F" w:rsidRPr="001E7AA4" w:rsidRDefault="0026618F" w:rsidP="00A025B1">
      <w:pPr>
        <w:pStyle w:val="BlueShadedBox-ListLetterstest"/>
        <w:numPr>
          <w:ilvl w:val="0"/>
          <w:numId w:val="21"/>
        </w:numPr>
        <w:ind w:left="570"/>
      </w:pPr>
      <w:r w:rsidRPr="001E7AA4">
        <w:t>the creation of stronger links between industry and education, particularly in regional areas and other areas with low participation and attainment rates</w:t>
      </w:r>
    </w:p>
    <w:p w14:paraId="63CD50CC" w14:textId="77777777" w:rsidR="0026618F" w:rsidRPr="001E7AA4" w:rsidRDefault="0026618F" w:rsidP="00A025B1">
      <w:pPr>
        <w:pStyle w:val="BlueShadedBox-ListLetterstest"/>
        <w:numPr>
          <w:ilvl w:val="0"/>
          <w:numId w:val="21"/>
        </w:numPr>
        <w:ind w:left="570"/>
      </w:pPr>
      <w:r w:rsidRPr="001E7AA4">
        <w:t>encouraging institutions to draw on the strengths of their alumni communities.</w:t>
      </w:r>
    </w:p>
    <w:p w14:paraId="460049A7" w14:textId="77777777" w:rsidR="004459C7" w:rsidRPr="001E7AA4" w:rsidRDefault="004459C7" w:rsidP="00A025B1">
      <w:pPr>
        <w:pStyle w:val="ListParagraph"/>
        <w:numPr>
          <w:ilvl w:val="0"/>
          <w:numId w:val="7"/>
        </w:numPr>
        <w:spacing w:before="240" w:line="240" w:lineRule="auto"/>
        <w:contextualSpacing w:val="0"/>
        <w:rPr>
          <w:rFonts w:ascii="Calibri" w:hAnsi="Calibri" w:cs="Calibri"/>
          <w:b/>
          <w:bCs/>
          <w:color w:val="000000"/>
        </w:rPr>
      </w:pPr>
      <w:r w:rsidRPr="001E7AA4">
        <w:rPr>
          <w:rFonts w:ascii="Calibri" w:hAnsi="Calibri" w:cs="Calibri"/>
          <w:b/>
          <w:bCs/>
          <w:color w:val="000000"/>
        </w:rPr>
        <w:t>Research, innovation and research training</w:t>
      </w:r>
    </w:p>
    <w:p w14:paraId="1537FCCA" w14:textId="1F404697" w:rsidR="009E5F3D" w:rsidRPr="001E7AA4" w:rsidRDefault="004459C7" w:rsidP="004459C7">
      <w:pPr>
        <w:spacing w:after="160" w:line="240" w:lineRule="auto"/>
      </w:pPr>
      <w:r w:rsidRPr="001E7AA4">
        <w:t xml:space="preserve">Submissions argued that Australia </w:t>
      </w:r>
      <w:r w:rsidR="009E5F3D" w:rsidRPr="001E7AA4">
        <w:t>sh</w:t>
      </w:r>
      <w:r w:rsidRPr="001E7AA4">
        <w:t xml:space="preserve">ould strengthen its </w:t>
      </w:r>
      <w:r w:rsidR="00FC52E8" w:rsidRPr="001E7AA4">
        <w:t xml:space="preserve">higher education </w:t>
      </w:r>
      <w:r w:rsidRPr="001E7AA4">
        <w:t xml:space="preserve">research, and encourage </w:t>
      </w:r>
      <w:r w:rsidR="009E5F3D" w:rsidRPr="001E7AA4">
        <w:t xml:space="preserve">its </w:t>
      </w:r>
      <w:r w:rsidRPr="001E7AA4">
        <w:t xml:space="preserve">greater use by government, industry and the community. Australia’s R&amp;D reputation depends to a large extent on strong performance in R&amp;D by universities, and this strong performance </w:t>
      </w:r>
      <w:r w:rsidR="00A85961" w:rsidRPr="001E7AA4">
        <w:t xml:space="preserve">could </w:t>
      </w:r>
      <w:r w:rsidRPr="001E7AA4">
        <w:t xml:space="preserve">benefit from </w:t>
      </w:r>
      <w:r w:rsidR="009E5F3D" w:rsidRPr="001E7AA4">
        <w:t xml:space="preserve">sharper </w:t>
      </w:r>
      <w:r w:rsidRPr="001E7AA4">
        <w:t xml:space="preserve">focus in areas where research capability is closely connected to sovereign risk. </w:t>
      </w:r>
    </w:p>
    <w:p w14:paraId="14165BEB" w14:textId="71DB7088" w:rsidR="004459C7" w:rsidRDefault="009E5F3D" w:rsidP="004459C7">
      <w:pPr>
        <w:spacing w:after="160" w:line="240" w:lineRule="auto"/>
      </w:pPr>
      <w:r w:rsidRPr="001E7AA4">
        <w:t xml:space="preserve">A concern raised repeatedly in the Review’s consultations and submissions was the unhealthy degree </w:t>
      </w:r>
      <w:r w:rsidR="004459C7" w:rsidRPr="001E7AA4">
        <w:t xml:space="preserve">to which core research capability </w:t>
      </w:r>
      <w:r w:rsidRPr="001E7AA4">
        <w:t xml:space="preserve">in Australia’s universities </w:t>
      </w:r>
      <w:r w:rsidR="004459C7" w:rsidRPr="001E7AA4">
        <w:t xml:space="preserve">is funded through volatile international education revenue. </w:t>
      </w:r>
      <w:r w:rsidR="00A85961" w:rsidRPr="001E7AA4">
        <w:t>R</w:t>
      </w:r>
      <w:r w:rsidRPr="001E7AA4">
        <w:t xml:space="preserve">esearch </w:t>
      </w:r>
      <w:r w:rsidR="00A85961" w:rsidRPr="001E7AA4">
        <w:t xml:space="preserve">capability </w:t>
      </w:r>
      <w:r w:rsidRPr="001E7AA4">
        <w:t xml:space="preserve">needs to be protected and the </w:t>
      </w:r>
      <w:r w:rsidR="004459C7" w:rsidRPr="001E7AA4">
        <w:t>sharing and translation of university research</w:t>
      </w:r>
      <w:r w:rsidRPr="001E7AA4">
        <w:t xml:space="preserve"> improved.</w:t>
      </w:r>
    </w:p>
    <w:p w14:paraId="2A74DFB7" w14:textId="6EDE6A7D" w:rsidR="0026618F" w:rsidRDefault="0026618F" w:rsidP="0026618F">
      <w:pPr>
        <w:pStyle w:val="Pulloutboxes"/>
      </w:pPr>
      <w:r w:rsidRPr="00D71585">
        <w:t>Many have been arguing for some time that research funding needs to be put on a sounder and more predictable footing.</w:t>
      </w:r>
    </w:p>
    <w:p w14:paraId="209162B7" w14:textId="77777777" w:rsidR="0026618F" w:rsidRDefault="0026618F" w:rsidP="00560132">
      <w:pPr>
        <w:pStyle w:val="BlueShadedBox-Body"/>
        <w:spacing w:after="120"/>
      </w:pPr>
      <w:r w:rsidRPr="0026618F">
        <w:t>To protect research basics, the Review is giving further consideration to the following policy areas:</w:t>
      </w:r>
    </w:p>
    <w:p w14:paraId="0484DD54" w14:textId="44DFA323" w:rsidR="0026618F" w:rsidRPr="0026618F" w:rsidRDefault="0026618F" w:rsidP="00A025B1">
      <w:pPr>
        <w:pStyle w:val="BlueShadedBox-ListLetterstest"/>
        <w:numPr>
          <w:ilvl w:val="0"/>
          <w:numId w:val="22"/>
        </w:numPr>
        <w:ind w:left="570"/>
      </w:pPr>
      <w:r w:rsidRPr="0026618F">
        <w:t>developing a funding mechanism that explicitly recognises the importance of research, innovation and scholarship</w:t>
      </w:r>
    </w:p>
    <w:p w14:paraId="782B80A1" w14:textId="528250E7" w:rsidR="0026618F" w:rsidRPr="0026618F" w:rsidRDefault="0026618F" w:rsidP="00A025B1">
      <w:pPr>
        <w:pStyle w:val="BlueShadedBox-ListLetterstest"/>
        <w:numPr>
          <w:ilvl w:val="0"/>
          <w:numId w:val="22"/>
        </w:numPr>
        <w:ind w:left="570"/>
      </w:pPr>
      <w:r w:rsidRPr="0026618F">
        <w:t xml:space="preserve">how best to ensure sufficient funding for the Australian university research sector to meet national research priorities </w:t>
      </w:r>
    </w:p>
    <w:p w14:paraId="37F2ABA2" w14:textId="6C669850" w:rsidR="0026618F" w:rsidRPr="0026618F" w:rsidRDefault="0026618F" w:rsidP="00A025B1">
      <w:pPr>
        <w:pStyle w:val="BlueShadedBox-ListLetterstest"/>
        <w:numPr>
          <w:ilvl w:val="0"/>
          <w:numId w:val="22"/>
        </w:numPr>
        <w:ind w:left="570"/>
      </w:pPr>
      <w:r w:rsidRPr="0026618F">
        <w:t>moving over time to ensure National Competitive Grants cover the full cost of undertaking research</w:t>
      </w:r>
    </w:p>
    <w:p w14:paraId="73AF252A" w14:textId="36EE3291" w:rsidR="0026618F" w:rsidRPr="0026618F" w:rsidRDefault="0026618F" w:rsidP="00A025B1">
      <w:pPr>
        <w:pStyle w:val="BlueShadedBox-ListLetterstest"/>
        <w:numPr>
          <w:ilvl w:val="0"/>
          <w:numId w:val="22"/>
        </w:numPr>
        <w:ind w:left="570"/>
      </w:pPr>
      <w:r w:rsidRPr="0026618F">
        <w:t>developing a national, holistic policy for research training</w:t>
      </w:r>
    </w:p>
    <w:p w14:paraId="2131A8C2" w14:textId="6B16C81A" w:rsidR="0026618F" w:rsidRPr="0026618F" w:rsidRDefault="0026618F" w:rsidP="00A025B1">
      <w:pPr>
        <w:pStyle w:val="BlueShadedBox-ListLetterstest"/>
        <w:numPr>
          <w:ilvl w:val="0"/>
          <w:numId w:val="22"/>
        </w:numPr>
        <w:ind w:left="570"/>
      </w:pPr>
      <w:r w:rsidRPr="0026618F">
        <w:t>improving the measurement of the quality and impact of Australian research, including by deploying advances in data science to develop a ‘light touch’ automated metrics-based research quality assessment system</w:t>
      </w:r>
    </w:p>
    <w:p w14:paraId="0923CE8E" w14:textId="64078F12" w:rsidR="0026618F" w:rsidRPr="0026618F" w:rsidRDefault="0026618F" w:rsidP="00A025B1">
      <w:pPr>
        <w:pStyle w:val="BlueShadedBox-ListLetterstest"/>
        <w:numPr>
          <w:ilvl w:val="0"/>
          <w:numId w:val="22"/>
        </w:numPr>
        <w:ind w:left="570"/>
      </w:pPr>
      <w:r w:rsidRPr="0026618F">
        <w:t>making the cost of university R&amp;D, innovation and scholarship activities across all universities transparent</w:t>
      </w:r>
    </w:p>
    <w:p w14:paraId="3DB7DA47" w14:textId="58BB4478" w:rsidR="005C2F55" w:rsidRDefault="0026618F" w:rsidP="00A025B1">
      <w:pPr>
        <w:pStyle w:val="BlueShadedBox-ListLetterstest"/>
        <w:numPr>
          <w:ilvl w:val="0"/>
          <w:numId w:val="22"/>
        </w:numPr>
        <w:ind w:left="570"/>
      </w:pPr>
      <w:r w:rsidRPr="0026618F">
        <w:t>ensuring ongoing investment in critical research infrastructure and its maintenance.</w:t>
      </w:r>
    </w:p>
    <w:p w14:paraId="233E9C04" w14:textId="77777777" w:rsidR="005C2F55" w:rsidRDefault="005C2F55">
      <w:pPr>
        <w:spacing w:after="160"/>
      </w:pPr>
      <w:r>
        <w:br w:type="page"/>
      </w:r>
    </w:p>
    <w:p w14:paraId="513DB494" w14:textId="77777777" w:rsidR="0026618F" w:rsidRDefault="0026618F" w:rsidP="00560132">
      <w:pPr>
        <w:pStyle w:val="BlueShadedBox-Body"/>
        <w:spacing w:after="120"/>
      </w:pPr>
      <w:r w:rsidRPr="0026618F">
        <w:lastRenderedPageBreak/>
        <w:t>To share and translate university research more effectively, the Review is giving further consideration to the following policy areas:</w:t>
      </w:r>
    </w:p>
    <w:p w14:paraId="474562FD" w14:textId="59B13B1F" w:rsidR="0026618F" w:rsidRPr="0026618F" w:rsidRDefault="0026618F" w:rsidP="00A025B1">
      <w:pPr>
        <w:pStyle w:val="BlueShadedBox-ListLetterstest"/>
        <w:numPr>
          <w:ilvl w:val="0"/>
          <w:numId w:val="23"/>
        </w:numPr>
        <w:ind w:left="570"/>
      </w:pPr>
      <w:r w:rsidRPr="0026618F">
        <w:t>developing metrics to understand industry/university and government/university research collaboration and translation</w:t>
      </w:r>
    </w:p>
    <w:p w14:paraId="4BF359DA" w14:textId="7F35FC8F" w:rsidR="0026618F" w:rsidRPr="0026618F" w:rsidRDefault="0026618F" w:rsidP="00A025B1">
      <w:pPr>
        <w:pStyle w:val="BlueShadedBox-ListLetterstest"/>
        <w:numPr>
          <w:ilvl w:val="0"/>
          <w:numId w:val="23"/>
        </w:numPr>
        <w:ind w:left="570"/>
      </w:pPr>
      <w:r w:rsidRPr="0026618F">
        <w:t xml:space="preserve">encouraging government to become an exemplary user of university research, using it to address nationally significant complex problems and enhance sovereign capabilities and becoming an example to industry on how to use university research capability </w:t>
      </w:r>
    </w:p>
    <w:p w14:paraId="51CAE725" w14:textId="5526F428" w:rsidR="0026618F" w:rsidRPr="0026618F" w:rsidRDefault="0026618F" w:rsidP="00A025B1">
      <w:pPr>
        <w:pStyle w:val="BlueShadedBox-ListLetterstest"/>
        <w:numPr>
          <w:ilvl w:val="0"/>
          <w:numId w:val="23"/>
        </w:numPr>
        <w:ind w:left="570"/>
      </w:pPr>
      <w:r w:rsidRPr="0026618F">
        <w:t>exploring mechanisms that keep universities, industry and government informed of nationally significant research problems, and of nationally significant research capabilities in the higher education system</w:t>
      </w:r>
    </w:p>
    <w:p w14:paraId="7012664F" w14:textId="52718643" w:rsidR="0026618F" w:rsidRPr="0026618F" w:rsidRDefault="0026618F" w:rsidP="00A025B1">
      <w:pPr>
        <w:pStyle w:val="BlueShadedBox-ListLetterstest"/>
        <w:numPr>
          <w:ilvl w:val="0"/>
          <w:numId w:val="23"/>
        </w:numPr>
        <w:ind w:left="570"/>
      </w:pPr>
      <w:r w:rsidRPr="0026618F">
        <w:t>extending the use of research brokers and research challenge mechanisms and bodies</w:t>
      </w:r>
    </w:p>
    <w:p w14:paraId="0CEBC5CF" w14:textId="6838891C" w:rsidR="0026618F" w:rsidRPr="0026618F" w:rsidRDefault="0026618F" w:rsidP="00A025B1">
      <w:pPr>
        <w:pStyle w:val="BlueShadedBox-ListLetterstest"/>
        <w:numPr>
          <w:ilvl w:val="0"/>
          <w:numId w:val="23"/>
        </w:numPr>
        <w:ind w:left="570"/>
      </w:pPr>
      <w:r w:rsidRPr="0026618F">
        <w:t>encouraging academic consulting, and improving university capability to do such work</w:t>
      </w:r>
    </w:p>
    <w:p w14:paraId="4C105942" w14:textId="5BF0F008" w:rsidR="0026618F" w:rsidRPr="0026618F" w:rsidRDefault="0026618F" w:rsidP="00A025B1">
      <w:pPr>
        <w:pStyle w:val="BlueShadedBox-ListLetterstest"/>
        <w:numPr>
          <w:ilvl w:val="0"/>
          <w:numId w:val="23"/>
        </w:numPr>
        <w:ind w:left="570"/>
      </w:pPr>
      <w:r w:rsidRPr="0026618F">
        <w:t>establishing a target for the number of PhD candidates employed in industry undertaking a PhD relevant to their firm.</w:t>
      </w:r>
    </w:p>
    <w:p w14:paraId="60488B7D" w14:textId="77777777" w:rsidR="004459C7" w:rsidRPr="001E7AA4" w:rsidRDefault="004459C7" w:rsidP="00547E97">
      <w:pPr>
        <w:pStyle w:val="Heading5"/>
      </w:pPr>
      <w:r w:rsidRPr="001E7AA4">
        <w:t>Creating the foundations of a high functioning national system</w:t>
      </w:r>
    </w:p>
    <w:p w14:paraId="5A1C27CE" w14:textId="77777777" w:rsidR="004459C7" w:rsidRPr="001E7AA4" w:rsidRDefault="004459C7" w:rsidP="00A025B1">
      <w:pPr>
        <w:pStyle w:val="ListParagraph"/>
        <w:numPr>
          <w:ilvl w:val="0"/>
          <w:numId w:val="9"/>
        </w:numPr>
        <w:spacing w:line="240" w:lineRule="auto"/>
        <w:rPr>
          <w:rFonts w:ascii="Calibri" w:hAnsi="Calibri" w:cs="Calibri"/>
          <w:b/>
          <w:bCs/>
          <w:color w:val="000000"/>
        </w:rPr>
      </w:pPr>
      <w:r w:rsidRPr="001E7AA4">
        <w:rPr>
          <w:rFonts w:ascii="Calibri" w:hAnsi="Calibri" w:cs="Calibri"/>
          <w:b/>
          <w:bCs/>
          <w:color w:val="000000"/>
        </w:rPr>
        <w:t>A coherent national tertiary system</w:t>
      </w:r>
    </w:p>
    <w:p w14:paraId="052FEB2C" w14:textId="60FCB4D5" w:rsidR="004459C7" w:rsidRDefault="004459C7" w:rsidP="004459C7">
      <w:pPr>
        <w:spacing w:line="240" w:lineRule="auto"/>
      </w:pPr>
      <w:r w:rsidRPr="001E7AA4">
        <w:t xml:space="preserve">The Review is exploring the need for stronger, adaptable and responsive governance and structures that help to build a coherent national tertiary </w:t>
      </w:r>
      <w:r w:rsidR="009E5F3D" w:rsidRPr="001E7AA4">
        <w:t xml:space="preserve">education </w:t>
      </w:r>
      <w:r w:rsidRPr="001E7AA4">
        <w:t>system.</w:t>
      </w:r>
    </w:p>
    <w:p w14:paraId="3421B745" w14:textId="3A9E30FE" w:rsidR="00E827E5" w:rsidRDefault="00E827E5" w:rsidP="00E827E5">
      <w:pPr>
        <w:pStyle w:val="Pulloutboxes"/>
      </w:pPr>
      <w:r w:rsidRPr="009E134D">
        <w:t>The Review considers that Australian higher education would benefit from having a wider range of complementary institutions differentiated by their unique missions.</w:t>
      </w:r>
    </w:p>
    <w:p w14:paraId="72C57CF7" w14:textId="4037BAB3" w:rsidR="00DB4839" w:rsidRPr="001E7AA4" w:rsidRDefault="00DB4839" w:rsidP="004459C7">
      <w:pPr>
        <w:spacing w:line="240" w:lineRule="auto"/>
      </w:pPr>
      <w:r w:rsidRPr="001E7AA4">
        <w:t xml:space="preserve">The </w:t>
      </w:r>
      <w:r w:rsidR="00600145" w:rsidRPr="001E7AA4">
        <w:t>Review</w:t>
      </w:r>
      <w:r w:rsidRPr="001E7AA4">
        <w:t xml:space="preserve"> </w:t>
      </w:r>
      <w:r w:rsidR="000B5D21" w:rsidRPr="001E7AA4">
        <w:t xml:space="preserve">notes </w:t>
      </w:r>
      <w:r w:rsidRPr="001E7AA4">
        <w:t xml:space="preserve">that Australian higher education comprises a big and at times strongly contested system. Changing it requires a predicable pathway and stable funding system capable of uniting stakeholders and convincing them that substantial improvements are possible. </w:t>
      </w:r>
      <w:r w:rsidR="00E47144" w:rsidRPr="001E7AA4">
        <w:t xml:space="preserve">There is growing </w:t>
      </w:r>
      <w:r w:rsidR="004D4831" w:rsidRPr="001E7AA4">
        <w:t>discussion</w:t>
      </w:r>
      <w:r w:rsidR="00E47144" w:rsidRPr="001E7AA4">
        <w:t xml:space="preserve"> in the sector of the </w:t>
      </w:r>
      <w:r w:rsidR="00404BCD" w:rsidRPr="001E7AA4">
        <w:t xml:space="preserve">possible </w:t>
      </w:r>
      <w:r w:rsidR="00F56F2D" w:rsidRPr="001E7AA4">
        <w:t>merits</w:t>
      </w:r>
      <w:r w:rsidR="00E47144" w:rsidRPr="001E7AA4">
        <w:t xml:space="preserve"> of</w:t>
      </w:r>
      <w:r w:rsidR="004D4831" w:rsidRPr="001E7AA4">
        <w:t xml:space="preserve"> re</w:t>
      </w:r>
      <w:r w:rsidR="0029728E" w:rsidRPr="001E7AA4">
        <w:t>-e</w:t>
      </w:r>
      <w:r w:rsidR="004D4831" w:rsidRPr="001E7AA4">
        <w:t xml:space="preserve">stablishing </w:t>
      </w:r>
      <w:r w:rsidRPr="001E7AA4">
        <w:t>a Tertiary Education Commission</w:t>
      </w:r>
      <w:r w:rsidR="00404BCD" w:rsidRPr="001E7AA4">
        <w:t xml:space="preserve">. </w:t>
      </w:r>
      <w:r w:rsidRPr="001E7AA4">
        <w:t xml:space="preserve"> </w:t>
      </w:r>
      <w:r w:rsidR="00A24697" w:rsidRPr="001E7AA4">
        <w:t>T</w:t>
      </w:r>
      <w:r w:rsidRPr="001E7AA4">
        <w:t xml:space="preserve">he </w:t>
      </w:r>
      <w:r w:rsidR="00600145" w:rsidRPr="001E7AA4">
        <w:t>Review</w:t>
      </w:r>
      <w:r w:rsidRPr="001E7AA4">
        <w:t xml:space="preserve"> is considering how such a commission might work. </w:t>
      </w:r>
    </w:p>
    <w:p w14:paraId="7694D093" w14:textId="5F7764F9" w:rsidR="00DB31BF" w:rsidRDefault="00DB4839" w:rsidP="004459C7">
      <w:pPr>
        <w:spacing w:line="240" w:lineRule="auto"/>
      </w:pPr>
      <w:r w:rsidRPr="001E7AA4">
        <w:t xml:space="preserve">Other large changes to the structure of the system are also being investigated, including how we create more innovation and diversity between institutions by expanding the scope of mission-based compacts and </w:t>
      </w:r>
      <w:r w:rsidR="00D771D5" w:rsidRPr="001E7AA4">
        <w:t xml:space="preserve">possible </w:t>
      </w:r>
      <w:r w:rsidRPr="001E7AA4">
        <w:t>mission-based funding for universities and</w:t>
      </w:r>
      <w:r w:rsidR="00273D29" w:rsidRPr="001E7AA4">
        <w:t xml:space="preserve"> exploring the creation of</w:t>
      </w:r>
      <w:r w:rsidRPr="001E7AA4">
        <w:t xml:space="preserve"> a second </w:t>
      </w:r>
      <w:r w:rsidR="004D486C" w:rsidRPr="001E7AA4">
        <w:t>‘</w:t>
      </w:r>
      <w:r w:rsidRPr="001E7AA4">
        <w:t>national university</w:t>
      </w:r>
      <w:r w:rsidR="004D486C" w:rsidRPr="001E7AA4">
        <w:t>’</w:t>
      </w:r>
      <w:r w:rsidRPr="001E7AA4">
        <w:t xml:space="preserve"> – a National Regional University.</w:t>
      </w:r>
    </w:p>
    <w:p w14:paraId="0269954E" w14:textId="77777777" w:rsidR="00DB31BF" w:rsidRDefault="00DB31BF">
      <w:pPr>
        <w:spacing w:after="160"/>
      </w:pPr>
      <w:r>
        <w:br w:type="page"/>
      </w:r>
    </w:p>
    <w:tbl>
      <w:tblPr>
        <w:tblStyle w:val="BlueTable"/>
        <w:tblW w:w="0" w:type="auto"/>
        <w:tblLook w:val="04A0" w:firstRow="1" w:lastRow="0" w:firstColumn="1" w:lastColumn="0" w:noHBand="0" w:noVBand="1"/>
      </w:tblPr>
      <w:tblGrid>
        <w:gridCol w:w="9016"/>
      </w:tblGrid>
      <w:tr w:rsidR="00DB31BF" w14:paraId="6B49AA2C" w14:textId="77777777" w:rsidTr="00DB31BF">
        <w:tc>
          <w:tcPr>
            <w:tcW w:w="9016" w:type="dxa"/>
          </w:tcPr>
          <w:p w14:paraId="5FF095AE" w14:textId="77777777" w:rsidR="00DB31BF" w:rsidRDefault="00DB31BF" w:rsidP="00C44495">
            <w:pPr>
              <w:spacing w:before="120"/>
              <w:ind w:left="153"/>
            </w:pPr>
            <w:r w:rsidRPr="001E7AA4">
              <w:lastRenderedPageBreak/>
              <w:t>To develop a more coherent tertiary education system, the Review is giving further consideration to the following policy areas:</w:t>
            </w:r>
          </w:p>
          <w:p w14:paraId="2BAB2654" w14:textId="77777777" w:rsidR="00DB31BF" w:rsidRPr="001E7AA4" w:rsidRDefault="00DB31BF" w:rsidP="00560132">
            <w:pPr>
              <w:pStyle w:val="List2"/>
              <w:spacing w:after="120"/>
              <w:ind w:left="570"/>
            </w:pPr>
            <w:r w:rsidRPr="001E7AA4">
              <w:t xml:space="preserve">the benefits of establishing a new </w:t>
            </w:r>
            <w:r w:rsidRPr="00DB31BF">
              <w:t>national</w:t>
            </w:r>
            <w:r w:rsidRPr="001E7AA4">
              <w:t xml:space="preserve"> body, a Tertiary Education Commission, working with the Minister and Department, which could:</w:t>
            </w:r>
          </w:p>
          <w:p w14:paraId="5FEA307E" w14:textId="77777777" w:rsidR="00DB31BF" w:rsidRPr="00DB31BF" w:rsidRDefault="00DB31BF" w:rsidP="00C44495">
            <w:pPr>
              <w:pStyle w:val="List3"/>
              <w:ind w:left="927"/>
            </w:pPr>
            <w:r w:rsidRPr="001E7AA4">
              <w:t xml:space="preserve">be based on the </w:t>
            </w:r>
            <w:r w:rsidRPr="00DB31BF">
              <w:t xml:space="preserve">principles of independence and expert decision-making to provide oversight, coordination and expert advice to the higher education sector </w:t>
            </w:r>
          </w:p>
          <w:p w14:paraId="365332A8" w14:textId="77777777" w:rsidR="00DB31BF" w:rsidRPr="00DB31BF" w:rsidRDefault="00DB31BF" w:rsidP="00C44495">
            <w:pPr>
              <w:pStyle w:val="List3"/>
              <w:ind w:left="927"/>
            </w:pPr>
            <w:r w:rsidRPr="00DB31BF">
              <w:t xml:space="preserve">lead relevant analysis, including with other agencies, to provide advice to government on policy and funding settings to enhance student, teaching and research outcomes </w:t>
            </w:r>
          </w:p>
          <w:p w14:paraId="30CB2B8D" w14:textId="77777777" w:rsidR="00DB31BF" w:rsidRPr="00DB31BF" w:rsidRDefault="00DB31BF" w:rsidP="00C44495">
            <w:pPr>
              <w:pStyle w:val="List3"/>
              <w:ind w:left="927"/>
            </w:pPr>
            <w:r w:rsidRPr="00DB31BF">
              <w:t xml:space="preserve">function as a pricing authority for Commonwealth higher education funding for the purposes of a potential student-centred, needs-based funding model </w:t>
            </w:r>
          </w:p>
          <w:p w14:paraId="7D5295DD" w14:textId="77777777" w:rsidR="00DB31BF" w:rsidRPr="00DB31BF" w:rsidRDefault="00DB31BF" w:rsidP="00C44495">
            <w:pPr>
              <w:pStyle w:val="List3"/>
              <w:ind w:left="927"/>
            </w:pPr>
            <w:r w:rsidRPr="00DB31BF">
              <w:t>negotiate new mission-based compacts with institutions to deliver against local, regional and national priorities and needs</w:t>
            </w:r>
          </w:p>
          <w:p w14:paraId="644C30BA" w14:textId="77777777" w:rsidR="00DB31BF" w:rsidRPr="00C44495" w:rsidRDefault="00DB31BF" w:rsidP="00C44495">
            <w:pPr>
              <w:pStyle w:val="List3"/>
              <w:ind w:left="927"/>
            </w:pPr>
            <w:r w:rsidRPr="00C44495">
              <w:t>over time, and in partnership with the states and territories, be expanded from higher education to encompass the whole tertiary education system to pursue greater opportunities for alignment and collaboration between the higher education and VET sectors.</w:t>
            </w:r>
          </w:p>
          <w:p w14:paraId="59F629B5" w14:textId="77777777" w:rsidR="00DB31BF" w:rsidRPr="001E7AA4" w:rsidRDefault="00DB31BF" w:rsidP="00560132">
            <w:pPr>
              <w:pStyle w:val="List2"/>
              <w:spacing w:after="120"/>
              <w:ind w:left="570"/>
            </w:pPr>
            <w:r w:rsidRPr="001E7AA4">
              <w:t>how to facilitate and encourage change and evolution in the type, diversity, size and number of tertiary education institutions, including:</w:t>
            </w:r>
          </w:p>
          <w:p w14:paraId="53AAF24C" w14:textId="77777777" w:rsidR="00DB31BF" w:rsidRPr="001E7AA4" w:rsidRDefault="00DB31BF" w:rsidP="00C44495">
            <w:pPr>
              <w:pStyle w:val="List3"/>
              <w:ind w:left="927"/>
            </w:pPr>
            <w:r w:rsidRPr="001E7AA4">
              <w:t>the merits of a new National Regional University as Australia’s second national university</w:t>
            </w:r>
          </w:p>
          <w:p w14:paraId="601E3CE0" w14:textId="77777777" w:rsidR="00DB31BF" w:rsidRPr="001E7AA4" w:rsidRDefault="00DB31BF" w:rsidP="00C44495">
            <w:pPr>
              <w:pStyle w:val="List3"/>
              <w:ind w:left="927"/>
            </w:pPr>
            <w:r w:rsidRPr="001E7AA4">
              <w:t>encouraging and incentivising new models of delivery and collaboration to increase tertiary education and research provision, particularly in regional and under-serviced areas</w:t>
            </w:r>
          </w:p>
          <w:p w14:paraId="03125377" w14:textId="77777777" w:rsidR="00DB31BF" w:rsidRPr="001E7AA4" w:rsidRDefault="00DB31BF" w:rsidP="00C44495">
            <w:pPr>
              <w:pStyle w:val="List3"/>
              <w:ind w:left="927"/>
            </w:pPr>
            <w:r w:rsidRPr="001E7AA4">
              <w:t>facilitating the emergence of institutions specialising to a greater or lesser extent in teaching or research</w:t>
            </w:r>
          </w:p>
          <w:p w14:paraId="7118B9E5" w14:textId="77777777" w:rsidR="00DB31BF" w:rsidRPr="001E7AA4" w:rsidRDefault="00DB31BF" w:rsidP="00C44495">
            <w:pPr>
              <w:pStyle w:val="List2"/>
              <w:ind w:left="570"/>
            </w:pPr>
            <w:r w:rsidRPr="001E7AA4">
              <w:t>ensuring tertiary education regulation, including the role of the Tertiary Education Quality and Standards Agency (TEQSA), enables innovation in the tertiary education system</w:t>
            </w:r>
          </w:p>
          <w:p w14:paraId="6532DCB3" w14:textId="7A137AC5" w:rsidR="00DB31BF" w:rsidRDefault="00DB31BF" w:rsidP="004459C7">
            <w:pPr>
              <w:pStyle w:val="List2"/>
              <w:ind w:left="570"/>
            </w:pPr>
            <w:r w:rsidRPr="001E7AA4">
              <w:t xml:space="preserve">continually working towards an aligned tertiary education system, including encouraging parity of esteem between the VET and higher education sectors.  </w:t>
            </w:r>
          </w:p>
        </w:tc>
      </w:tr>
    </w:tbl>
    <w:p w14:paraId="76A59511" w14:textId="6B2BDD06" w:rsidR="004459C7" w:rsidRPr="001E7AA4" w:rsidRDefault="004459C7" w:rsidP="00A025B1">
      <w:pPr>
        <w:pStyle w:val="ListParagraph"/>
        <w:numPr>
          <w:ilvl w:val="0"/>
          <w:numId w:val="9"/>
        </w:numPr>
        <w:spacing w:before="240" w:line="240" w:lineRule="auto"/>
        <w:rPr>
          <w:rFonts w:ascii="Calibri" w:hAnsi="Calibri" w:cs="Calibri"/>
          <w:b/>
          <w:bCs/>
          <w:color w:val="000000"/>
        </w:rPr>
      </w:pPr>
      <w:r w:rsidRPr="001E7AA4">
        <w:rPr>
          <w:rFonts w:ascii="Calibri" w:hAnsi="Calibri" w:cs="Calibri"/>
          <w:b/>
          <w:bCs/>
          <w:color w:val="000000"/>
        </w:rPr>
        <w:t xml:space="preserve">Strengthening institutional governance </w:t>
      </w:r>
    </w:p>
    <w:p w14:paraId="52D60C75" w14:textId="3CDEEA0C" w:rsidR="009E5F3D" w:rsidRPr="001E7AA4" w:rsidRDefault="004459C7" w:rsidP="00D90653">
      <w:pPr>
        <w:spacing w:after="160" w:line="240" w:lineRule="auto"/>
      </w:pPr>
      <w:r w:rsidRPr="001E7AA4">
        <w:t xml:space="preserve">To build the workforce necessary to drive teaching, research and community engagement priorities, </w:t>
      </w:r>
      <w:r w:rsidR="007B3636" w:rsidRPr="001E7AA4">
        <w:t>high</w:t>
      </w:r>
      <w:r w:rsidR="00CB0525" w:rsidRPr="001E7AA4">
        <w:t>e</w:t>
      </w:r>
      <w:r w:rsidR="007B3636" w:rsidRPr="001E7AA4">
        <w:t xml:space="preserve">r education institutions </w:t>
      </w:r>
      <w:r w:rsidRPr="001E7AA4">
        <w:t xml:space="preserve">need to be better and safer places to work, consistently and reliably meeting workplace obligations. </w:t>
      </w:r>
      <w:r w:rsidR="00DB4839" w:rsidRPr="001E7AA4">
        <w:t xml:space="preserve">The </w:t>
      </w:r>
      <w:r w:rsidR="00600145" w:rsidRPr="001E7AA4">
        <w:t>Review</w:t>
      </w:r>
      <w:r w:rsidR="00DB4839" w:rsidRPr="001E7AA4">
        <w:t xml:space="preserve"> acknowledges that great progress towards this has been made by many institutions, but </w:t>
      </w:r>
      <w:r w:rsidR="009E5F3D" w:rsidRPr="001E7AA4">
        <w:t xml:space="preserve">that </w:t>
      </w:r>
      <w:r w:rsidR="00DB4839" w:rsidRPr="001E7AA4">
        <w:t xml:space="preserve">more obviously needs to be done. </w:t>
      </w:r>
      <w:r w:rsidRPr="001E7AA4">
        <w:t xml:space="preserve">Staff and student safety, including in relation to sexual assault and sexual harassment, requires concerted action. </w:t>
      </w:r>
    </w:p>
    <w:p w14:paraId="50193928" w14:textId="0E2F550F" w:rsidR="005C2F55" w:rsidRDefault="009E5F3D" w:rsidP="00D90653">
      <w:pPr>
        <w:spacing w:after="160" w:line="240" w:lineRule="auto"/>
      </w:pPr>
      <w:r w:rsidRPr="001E7AA4">
        <w:t>University g</w:t>
      </w:r>
      <w:r w:rsidR="004459C7" w:rsidRPr="001E7AA4">
        <w:t xml:space="preserve">overnance </w:t>
      </w:r>
      <w:r w:rsidRPr="001E7AA4">
        <w:t xml:space="preserve">in general needs reforming to </w:t>
      </w:r>
      <w:r w:rsidR="004459C7" w:rsidRPr="001E7AA4">
        <w:t xml:space="preserve">more effectively embed collaboration, </w:t>
      </w:r>
      <w:r w:rsidRPr="001E7AA4">
        <w:t xml:space="preserve">include </w:t>
      </w:r>
      <w:r w:rsidR="004459C7" w:rsidRPr="001E7AA4">
        <w:t>First Nations leadership and expertise</w:t>
      </w:r>
      <w:r w:rsidRPr="001E7AA4">
        <w:t xml:space="preserve">, and include more </w:t>
      </w:r>
      <w:r w:rsidR="004459C7" w:rsidRPr="001E7AA4">
        <w:t>leaders in teaching and research.</w:t>
      </w:r>
    </w:p>
    <w:p w14:paraId="48DECED4" w14:textId="77777777" w:rsidR="005C2F55" w:rsidRDefault="005C2F55">
      <w:pPr>
        <w:spacing w:after="160"/>
      </w:pPr>
      <w:r>
        <w:br w:type="page"/>
      </w:r>
    </w:p>
    <w:p w14:paraId="1A662872" w14:textId="77777777" w:rsidR="00D67D00" w:rsidRDefault="00D67D00" w:rsidP="00560132">
      <w:pPr>
        <w:pStyle w:val="BlueShadedBox-Body"/>
        <w:spacing w:after="120"/>
      </w:pPr>
      <w:r w:rsidRPr="001E7AA4">
        <w:lastRenderedPageBreak/>
        <w:t>For these reasons, the Review is giving further consideration to the following policy areas:</w:t>
      </w:r>
    </w:p>
    <w:p w14:paraId="5C2A4F17" w14:textId="77777777" w:rsidR="00D67D00" w:rsidRPr="00C44495" w:rsidRDefault="00D67D00" w:rsidP="00A025B1">
      <w:pPr>
        <w:pStyle w:val="BlueShadedBox-ListLetterstest"/>
        <w:numPr>
          <w:ilvl w:val="0"/>
          <w:numId w:val="24"/>
        </w:numPr>
        <w:ind w:left="570"/>
      </w:pPr>
      <w:r w:rsidRPr="00C44495">
        <w:t>improving student wellbeing and safety, including empowering students on matters that affect them</w:t>
      </w:r>
    </w:p>
    <w:p w14:paraId="5E290F9A" w14:textId="77777777" w:rsidR="00D67D00" w:rsidRPr="00C44495" w:rsidRDefault="00D67D00" w:rsidP="00A025B1">
      <w:pPr>
        <w:pStyle w:val="BlueShadedBox-ListLetterstest"/>
        <w:numPr>
          <w:ilvl w:val="0"/>
          <w:numId w:val="24"/>
        </w:numPr>
        <w:ind w:left="570"/>
      </w:pPr>
      <w:r w:rsidRPr="00C44495">
        <w:t>improving operational practices and supporting governing bodies to improve their effectiveness</w:t>
      </w:r>
    </w:p>
    <w:p w14:paraId="68487683" w14:textId="77777777" w:rsidR="00D67D00" w:rsidRPr="00C44495" w:rsidRDefault="00D67D00" w:rsidP="00A025B1">
      <w:pPr>
        <w:pStyle w:val="BlueShadedBox-ListLetterstest"/>
        <w:numPr>
          <w:ilvl w:val="0"/>
          <w:numId w:val="24"/>
        </w:numPr>
        <w:ind w:left="570"/>
      </w:pPr>
      <w:r w:rsidRPr="00C44495">
        <w:t>enhancing wellbeing for staff, and appropriate workforce arrangements</w:t>
      </w:r>
    </w:p>
    <w:p w14:paraId="3EF76B30" w14:textId="77777777" w:rsidR="00D67D00" w:rsidRPr="00C44495" w:rsidRDefault="00D67D00" w:rsidP="00A025B1">
      <w:pPr>
        <w:pStyle w:val="BlueShadedBox-ListLetterstest"/>
        <w:numPr>
          <w:ilvl w:val="0"/>
          <w:numId w:val="24"/>
        </w:numPr>
        <w:ind w:left="570"/>
      </w:pPr>
      <w:r w:rsidRPr="00C44495">
        <w:t xml:space="preserve">ensuring higher education institutions develop appropriate governance frameworks to avoid underpayment of staff </w:t>
      </w:r>
    </w:p>
    <w:p w14:paraId="34D7E3FC" w14:textId="77777777" w:rsidR="00D67D00" w:rsidRPr="00C44495" w:rsidRDefault="00D67D00" w:rsidP="00A025B1">
      <w:pPr>
        <w:pStyle w:val="BlueShadedBox-ListLetterstest"/>
        <w:numPr>
          <w:ilvl w:val="0"/>
          <w:numId w:val="24"/>
        </w:numPr>
        <w:ind w:left="570"/>
      </w:pPr>
      <w:r w:rsidRPr="00C44495">
        <w:t>through an ongoing Accord process, bringing together staff, unions, institutions and governments to consider policy settings, awards and institutional workforce structures</w:t>
      </w:r>
    </w:p>
    <w:p w14:paraId="59520254" w14:textId="77777777" w:rsidR="00D67D00" w:rsidRPr="00C44495" w:rsidRDefault="00D67D00" w:rsidP="00A025B1">
      <w:pPr>
        <w:pStyle w:val="BlueShadedBox-ListLetterstest"/>
        <w:numPr>
          <w:ilvl w:val="0"/>
          <w:numId w:val="24"/>
        </w:numPr>
        <w:ind w:left="570"/>
      </w:pPr>
      <w:r w:rsidRPr="00C44495">
        <w:t>providing explicit support for tutors, research trainees and others on the boundary between student and staff status, and enhancing career stability for early career academic staff</w:t>
      </w:r>
    </w:p>
    <w:p w14:paraId="3A302ACE" w14:textId="77777777" w:rsidR="00D67D00" w:rsidRPr="00C44495" w:rsidRDefault="00D67D00" w:rsidP="00A025B1">
      <w:pPr>
        <w:pStyle w:val="BlueShadedBox-ListLetterstest"/>
        <w:numPr>
          <w:ilvl w:val="0"/>
          <w:numId w:val="24"/>
        </w:numPr>
        <w:ind w:left="570"/>
      </w:pPr>
      <w:r w:rsidRPr="00C44495">
        <w:t>considering improvements to the voluntary national code of practice and governance for university councils, and council composition to recognise the importance of expertise and leadership in teaching and research</w:t>
      </w:r>
    </w:p>
    <w:p w14:paraId="64E6F5F4" w14:textId="77777777" w:rsidR="00D67D00" w:rsidRPr="00C44495" w:rsidRDefault="00D67D00" w:rsidP="00A025B1">
      <w:pPr>
        <w:pStyle w:val="BlueShadedBox-ListLetterstest"/>
        <w:numPr>
          <w:ilvl w:val="0"/>
          <w:numId w:val="24"/>
        </w:numPr>
        <w:ind w:left="570"/>
      </w:pPr>
      <w:r w:rsidRPr="00C44495">
        <w:t>examining whether current reporting arrangements demonstrate effective and efficient use of government funds by higher education institutions</w:t>
      </w:r>
    </w:p>
    <w:p w14:paraId="0B7678AC" w14:textId="77777777" w:rsidR="00D67D00" w:rsidRPr="00C44495" w:rsidRDefault="00D67D00" w:rsidP="00A025B1">
      <w:pPr>
        <w:pStyle w:val="BlueShadedBox-ListLetterstest"/>
        <w:numPr>
          <w:ilvl w:val="0"/>
          <w:numId w:val="24"/>
        </w:numPr>
        <w:ind w:left="570"/>
      </w:pPr>
      <w:r w:rsidRPr="00C44495">
        <w:t>considering development of a national student charter to ensure a consistent national approach to the welfare, safety and wellbeing of all students.</w:t>
      </w:r>
    </w:p>
    <w:p w14:paraId="2F35713D" w14:textId="77777777" w:rsidR="00C44495" w:rsidRPr="00C44495" w:rsidRDefault="00C44495" w:rsidP="00A025B1">
      <w:pPr>
        <w:pStyle w:val="BlueShadedBox-ListLetterstest"/>
        <w:numPr>
          <w:ilvl w:val="0"/>
          <w:numId w:val="24"/>
        </w:numPr>
        <w:ind w:left="570"/>
      </w:pPr>
      <w:r w:rsidRPr="00C44495">
        <w:t>encouraging academic consulting, and improving university capability to do such work</w:t>
      </w:r>
    </w:p>
    <w:p w14:paraId="30460B00" w14:textId="77777777" w:rsidR="00C44495" w:rsidRPr="00C44495" w:rsidRDefault="00C44495" w:rsidP="00A025B1">
      <w:pPr>
        <w:pStyle w:val="BlueShadedBox-ListLetterstest"/>
        <w:numPr>
          <w:ilvl w:val="0"/>
          <w:numId w:val="24"/>
        </w:numPr>
        <w:ind w:left="570"/>
      </w:pPr>
      <w:r w:rsidRPr="00C44495">
        <w:t>establishing a target for the number of PhD candidates employed in industry undertaking a PhD relevant to their firm.</w:t>
      </w:r>
    </w:p>
    <w:p w14:paraId="7503D2A8" w14:textId="3F25BD90" w:rsidR="004459C7" w:rsidRPr="001E7AA4" w:rsidRDefault="004459C7" w:rsidP="00A025B1">
      <w:pPr>
        <w:pStyle w:val="ListParagraph"/>
        <w:numPr>
          <w:ilvl w:val="0"/>
          <w:numId w:val="9"/>
        </w:numPr>
        <w:spacing w:before="240" w:line="240" w:lineRule="auto"/>
        <w:rPr>
          <w:rFonts w:ascii="Calibri" w:hAnsi="Calibri" w:cs="Calibri"/>
          <w:b/>
          <w:bCs/>
          <w:color w:val="000000"/>
        </w:rPr>
      </w:pPr>
      <w:r w:rsidRPr="001E7AA4">
        <w:rPr>
          <w:rFonts w:ascii="Calibri" w:hAnsi="Calibri" w:cs="Calibri"/>
          <w:b/>
          <w:bCs/>
          <w:color w:val="000000"/>
        </w:rPr>
        <w:t>Sustainable funding and financing</w:t>
      </w:r>
    </w:p>
    <w:p w14:paraId="5CAF689E" w14:textId="4CB974E2" w:rsidR="004F0623" w:rsidRPr="001E7AA4" w:rsidRDefault="004459C7" w:rsidP="004459C7">
      <w:pPr>
        <w:spacing w:after="160" w:line="240" w:lineRule="auto"/>
      </w:pPr>
      <w:r w:rsidRPr="001E7AA4">
        <w:t xml:space="preserve">The success of the Australian higher education system relies on a secure, predictable, enduring and sustainable funding system. Over the past </w:t>
      </w:r>
      <w:r w:rsidR="00513E22" w:rsidRPr="001E7AA4">
        <w:t xml:space="preserve">15 </w:t>
      </w:r>
      <w:r w:rsidRPr="001E7AA4">
        <w:t>years, there have been a number of significant changes to the funding system, including the introduction and subsequent removal of demand</w:t>
      </w:r>
      <w:r w:rsidR="006B6BF8" w:rsidRPr="001E7AA4">
        <w:t xml:space="preserve"> </w:t>
      </w:r>
      <w:r w:rsidRPr="001E7AA4">
        <w:t xml:space="preserve">driven funding. </w:t>
      </w:r>
    </w:p>
    <w:p w14:paraId="6AAE0F30" w14:textId="4C1AA4BC" w:rsidR="009E5F3D" w:rsidRPr="001E7AA4" w:rsidRDefault="004459C7" w:rsidP="00D90653">
      <w:r w:rsidRPr="001E7AA4">
        <w:t xml:space="preserve">The Review heard significant concerns </w:t>
      </w:r>
      <w:r w:rsidR="009E5F3D" w:rsidRPr="001E7AA4">
        <w:t>about</w:t>
      </w:r>
      <w:r w:rsidRPr="001E7AA4">
        <w:t xml:space="preserve"> these rapid </w:t>
      </w:r>
      <w:r w:rsidR="009E5F3D" w:rsidRPr="001E7AA4">
        <w:t xml:space="preserve">policy </w:t>
      </w:r>
      <w:r w:rsidRPr="001E7AA4">
        <w:t xml:space="preserve">shifts, </w:t>
      </w:r>
      <w:r w:rsidR="009E5F3D" w:rsidRPr="001E7AA4">
        <w:t xml:space="preserve">including </w:t>
      </w:r>
      <w:r w:rsidR="00D340F0" w:rsidRPr="001E7AA4">
        <w:t xml:space="preserve">the </w:t>
      </w:r>
      <w:r w:rsidRPr="001E7AA4">
        <w:t xml:space="preserve">JRG package, which had a significant </w:t>
      </w:r>
      <w:r w:rsidR="009E5F3D" w:rsidRPr="001E7AA4">
        <w:t>effect</w:t>
      </w:r>
      <w:r w:rsidRPr="001E7AA4">
        <w:t xml:space="preserve"> on student </w:t>
      </w:r>
      <w:r w:rsidR="008E66E7" w:rsidRPr="001E7AA4">
        <w:t xml:space="preserve">fees </w:t>
      </w:r>
      <w:r w:rsidRPr="001E7AA4">
        <w:t>and funding for teaching</w:t>
      </w:r>
      <w:r w:rsidR="00F91AF5" w:rsidRPr="001E7AA4">
        <w:t>, learning</w:t>
      </w:r>
      <w:r w:rsidRPr="001E7AA4">
        <w:t xml:space="preserve"> and </w:t>
      </w:r>
      <w:r w:rsidR="00F91AF5" w:rsidRPr="001E7AA4">
        <w:t>research</w:t>
      </w:r>
      <w:r w:rsidRPr="001E7AA4">
        <w:t xml:space="preserve">. </w:t>
      </w:r>
      <w:r w:rsidR="00A607C8">
        <w:t xml:space="preserve">The </w:t>
      </w:r>
      <w:r w:rsidR="00D00081" w:rsidRPr="001E7AA4">
        <w:t>JRG</w:t>
      </w:r>
      <w:r w:rsidR="00A607C8">
        <w:t xml:space="preserve"> package</w:t>
      </w:r>
      <w:r w:rsidR="00D00081" w:rsidRPr="001E7AA4">
        <w:t xml:space="preserve"> introduced </w:t>
      </w:r>
      <w:r w:rsidR="00B06EB1" w:rsidRPr="001E7AA4">
        <w:t xml:space="preserve">increases in student contributions of </w:t>
      </w:r>
      <w:r w:rsidR="007B0FF0" w:rsidRPr="001E7AA4">
        <w:t>113</w:t>
      </w:r>
      <w:r w:rsidR="007B0FF0" w:rsidRPr="001E7AA4" w:rsidDel="0002240E">
        <w:t>%</w:t>
      </w:r>
      <w:r w:rsidR="007B0FF0" w:rsidRPr="001E7AA4">
        <w:t xml:space="preserve"> for students in social sciences</w:t>
      </w:r>
      <w:r w:rsidR="002D3E72" w:rsidRPr="001E7AA4">
        <w:t xml:space="preserve">, </w:t>
      </w:r>
      <w:r w:rsidR="007B0FF0" w:rsidRPr="001E7AA4">
        <w:t>humanities</w:t>
      </w:r>
      <w:r w:rsidR="002D3E72" w:rsidRPr="001E7AA4">
        <w:t xml:space="preserve"> and communications</w:t>
      </w:r>
      <w:r w:rsidR="007B0FF0" w:rsidRPr="001E7AA4">
        <w:t xml:space="preserve">, </w:t>
      </w:r>
      <w:r w:rsidR="009E5F3D" w:rsidRPr="001E7AA4">
        <w:t xml:space="preserve">which have meant higher </w:t>
      </w:r>
      <w:r w:rsidR="00466C71" w:rsidRPr="001E7AA4">
        <w:t xml:space="preserve">average </w:t>
      </w:r>
      <w:r w:rsidR="007B0FF0" w:rsidRPr="001E7AA4">
        <w:t xml:space="preserve">increases for females and </w:t>
      </w:r>
      <w:r w:rsidR="00646269" w:rsidRPr="001E7AA4">
        <w:t>First Nations students</w:t>
      </w:r>
      <w:r w:rsidR="00466C71" w:rsidRPr="001E7AA4">
        <w:t>.</w:t>
      </w:r>
      <w:r w:rsidR="008E5F5A" w:rsidRPr="001E7AA4">
        <w:rPr>
          <w:rStyle w:val="FootnoteReference"/>
        </w:rPr>
        <w:footnoteReference w:id="4"/>
      </w:r>
      <w:r w:rsidR="00A27339" w:rsidRPr="001E7AA4">
        <w:t xml:space="preserve"> </w:t>
      </w:r>
    </w:p>
    <w:p w14:paraId="4797CBA2" w14:textId="38099068" w:rsidR="00454346" w:rsidRDefault="009E5F3D" w:rsidP="00D90653">
      <w:r w:rsidRPr="001E7AA4">
        <w:t>T</w:t>
      </w:r>
      <w:r w:rsidR="00A27339" w:rsidRPr="001E7AA4">
        <w:t>he 50</w:t>
      </w:r>
      <w:r w:rsidR="00A27339" w:rsidRPr="001E7AA4" w:rsidDel="0002240E">
        <w:t>%</w:t>
      </w:r>
      <w:r w:rsidR="00A27339" w:rsidRPr="001E7AA4">
        <w:t xml:space="preserve"> pass </w:t>
      </w:r>
      <w:r w:rsidR="00454346" w:rsidRPr="001E7AA4">
        <w:t>rule implemented through</w:t>
      </w:r>
      <w:r w:rsidR="00A607C8">
        <w:t xml:space="preserve"> the</w:t>
      </w:r>
      <w:r w:rsidR="00454346" w:rsidRPr="001E7AA4">
        <w:t xml:space="preserve"> JRG</w:t>
      </w:r>
      <w:r w:rsidR="00A607C8">
        <w:t xml:space="preserve"> package</w:t>
      </w:r>
      <w:r w:rsidR="00454346" w:rsidRPr="001E7AA4">
        <w:t xml:space="preserve"> is </w:t>
      </w:r>
      <w:r w:rsidRPr="001E7AA4">
        <w:t xml:space="preserve">also </w:t>
      </w:r>
      <w:r w:rsidR="00454346" w:rsidRPr="001E7AA4">
        <w:t>causing undue stress for</w:t>
      </w:r>
      <w:r w:rsidR="00021199" w:rsidRPr="001E7AA4">
        <w:t xml:space="preserve"> many</w:t>
      </w:r>
      <w:r w:rsidR="00454346" w:rsidRPr="001E7AA4">
        <w:t xml:space="preserve"> students</w:t>
      </w:r>
      <w:r w:rsidR="00C334C9" w:rsidRPr="001E7AA4">
        <w:t>. Most of th</w:t>
      </w:r>
      <w:r w:rsidRPr="001E7AA4">
        <w:t>e students</w:t>
      </w:r>
      <w:r w:rsidR="00C334C9" w:rsidRPr="001E7AA4">
        <w:t xml:space="preserve"> affected </w:t>
      </w:r>
      <w:r w:rsidRPr="001E7AA4">
        <w:t xml:space="preserve">by this rule are from </w:t>
      </w:r>
      <w:r w:rsidR="00454346" w:rsidRPr="001E7AA4">
        <w:t>underrepresented groups</w:t>
      </w:r>
      <w:r w:rsidRPr="001E7AA4">
        <w:t>, including</w:t>
      </w:r>
      <w:r w:rsidR="00454346" w:rsidRPr="001E7AA4">
        <w:t xml:space="preserve"> First Nations students</w:t>
      </w:r>
      <w:r w:rsidRPr="001E7AA4">
        <w:t>, who</w:t>
      </w:r>
      <w:r w:rsidR="00454346" w:rsidRPr="001E7AA4">
        <w:t xml:space="preserve"> are around twice as likely to be affected as other students.</w:t>
      </w:r>
    </w:p>
    <w:p w14:paraId="79C1A422" w14:textId="089F7527" w:rsidR="00B552EB" w:rsidRDefault="00B552EB" w:rsidP="00B552EB">
      <w:pPr>
        <w:pStyle w:val="Pulloutboxes"/>
      </w:pPr>
      <w:r w:rsidRPr="009E134D">
        <w:t>It is clear the funding system, as changed through the JRG package, needs to be redesigned before it causes long-term and entrenched damage to Australian higher education.</w:t>
      </w:r>
    </w:p>
    <w:p w14:paraId="2EB560E8" w14:textId="5C8E5649" w:rsidR="004459C7" w:rsidRPr="001E7AA4" w:rsidRDefault="004459C7" w:rsidP="004459C7">
      <w:pPr>
        <w:spacing w:after="160" w:line="240" w:lineRule="auto"/>
      </w:pPr>
      <w:r w:rsidRPr="001E7AA4">
        <w:lastRenderedPageBreak/>
        <w:t xml:space="preserve">The Accord process is examining </w:t>
      </w:r>
      <w:r w:rsidR="00DB4839" w:rsidRPr="001E7AA4">
        <w:t xml:space="preserve">these recent policy changes and </w:t>
      </w:r>
      <w:r w:rsidRPr="001E7AA4">
        <w:t xml:space="preserve">the need for significant </w:t>
      </w:r>
      <w:r w:rsidR="009E5F3D" w:rsidRPr="001E7AA4">
        <w:t xml:space="preserve">improvement in </w:t>
      </w:r>
      <w:r w:rsidRPr="001E7AA4">
        <w:t xml:space="preserve">the way funding, </w:t>
      </w:r>
      <w:r w:rsidR="00A223DD" w:rsidRPr="001E7AA4">
        <w:t xml:space="preserve">student contributions </w:t>
      </w:r>
      <w:r w:rsidRPr="001E7AA4">
        <w:t xml:space="preserve">and HELP repayments operate. </w:t>
      </w:r>
    </w:p>
    <w:p w14:paraId="7F537114" w14:textId="148A5CD1" w:rsidR="004459C7" w:rsidRDefault="00DB4839" w:rsidP="00D90653">
      <w:pPr>
        <w:spacing w:after="160" w:line="240" w:lineRule="auto"/>
        <w:rPr>
          <w:rStyle w:val="CommentReference"/>
        </w:rPr>
      </w:pPr>
      <w:r w:rsidRPr="001E7AA4">
        <w:t xml:space="preserve">It is also investigating proposals to </w:t>
      </w:r>
      <w:r w:rsidR="00240F38" w:rsidRPr="001E7AA4">
        <w:t>support infrastructure needs and other national priorities.</w:t>
      </w:r>
      <w:r w:rsidR="00A223DD" w:rsidRPr="001E7AA4">
        <w:t xml:space="preserve"> This could include considering a </w:t>
      </w:r>
      <w:r w:rsidR="00356F6D" w:rsidRPr="001E7AA4">
        <w:t xml:space="preserve">levy on international student </w:t>
      </w:r>
      <w:r w:rsidR="00356F6D" w:rsidRPr="001E7AA4" w:rsidDel="005A03BA">
        <w:t xml:space="preserve">fee </w:t>
      </w:r>
      <w:r w:rsidR="00CD59F6" w:rsidRPr="001E7AA4">
        <w:t>incom</w:t>
      </w:r>
      <w:r w:rsidR="006C1E89" w:rsidRPr="001E7AA4">
        <w:rPr>
          <w:rStyle w:val="CommentReference"/>
          <w:sz w:val="22"/>
          <w:szCs w:val="22"/>
        </w:rPr>
        <w:t>e.</w:t>
      </w:r>
      <w:r w:rsidR="00A223DD" w:rsidRPr="001E7AA4">
        <w:rPr>
          <w:rStyle w:val="CommentReference"/>
        </w:rPr>
        <w:t xml:space="preserve"> </w:t>
      </w:r>
    </w:p>
    <w:tbl>
      <w:tblPr>
        <w:tblStyle w:val="BlueTable"/>
        <w:tblW w:w="0" w:type="auto"/>
        <w:tblLook w:val="04A0" w:firstRow="1" w:lastRow="0" w:firstColumn="1" w:lastColumn="0" w:noHBand="0" w:noVBand="1"/>
      </w:tblPr>
      <w:tblGrid>
        <w:gridCol w:w="9016"/>
      </w:tblGrid>
      <w:tr w:rsidR="00321345" w14:paraId="63050028" w14:textId="77777777" w:rsidTr="00321345">
        <w:tc>
          <w:tcPr>
            <w:tcW w:w="9016" w:type="dxa"/>
          </w:tcPr>
          <w:p w14:paraId="542929E1" w14:textId="77777777" w:rsidR="00321345" w:rsidRDefault="00321345" w:rsidP="00560132">
            <w:pPr>
              <w:pStyle w:val="Considerations"/>
            </w:pPr>
            <w:r w:rsidRPr="001E7AA4">
              <w:t>For these reasons, the Review is giving further consideration to the following policy areas:</w:t>
            </w:r>
          </w:p>
          <w:p w14:paraId="4A38821E" w14:textId="77777777" w:rsidR="00321345" w:rsidRPr="001E7AA4" w:rsidRDefault="00321345" w:rsidP="00A025B1">
            <w:pPr>
              <w:pStyle w:val="List2"/>
              <w:numPr>
                <w:ilvl w:val="1"/>
                <w:numId w:val="49"/>
              </w:numPr>
              <w:ind w:left="607"/>
            </w:pPr>
            <w:r w:rsidRPr="001E7AA4">
              <w:t>stablishing a framework of strong values and clear principles for public and private investment that underpins the higher education funding system</w:t>
            </w:r>
          </w:p>
          <w:p w14:paraId="74E48985" w14:textId="77777777" w:rsidR="00321345" w:rsidRPr="001E7AA4" w:rsidRDefault="00321345" w:rsidP="00A025B1">
            <w:pPr>
              <w:pStyle w:val="List2"/>
              <w:numPr>
                <w:ilvl w:val="1"/>
                <w:numId w:val="49"/>
              </w:numPr>
              <w:ind w:left="607"/>
            </w:pPr>
            <w:r w:rsidRPr="001E7AA4">
              <w:t>how best to design a funding model which provides longer-term stability, that is dynamic in responding to changes in student mix and demand, and that protects against rapid shifts in funding that are beyond the capacity of institutions to adapt</w:t>
            </w:r>
          </w:p>
          <w:p w14:paraId="7E7C9E3C" w14:textId="77777777" w:rsidR="00321345" w:rsidRPr="001E7AA4" w:rsidRDefault="00321345" w:rsidP="00A025B1">
            <w:pPr>
              <w:pStyle w:val="List2"/>
              <w:numPr>
                <w:ilvl w:val="1"/>
                <w:numId w:val="49"/>
              </w:numPr>
              <w:ind w:left="607"/>
            </w:pPr>
            <w:r w:rsidRPr="001E7AA4">
              <w:t>how to establish a new funding model for higher education, that:</w:t>
            </w:r>
          </w:p>
          <w:p w14:paraId="0DCF6BCC" w14:textId="77777777" w:rsidR="00321345" w:rsidRPr="001E7AA4" w:rsidRDefault="00321345" w:rsidP="00321345">
            <w:pPr>
              <w:pStyle w:val="List3"/>
              <w:ind w:left="927"/>
            </w:pPr>
            <w:r w:rsidRPr="001E7AA4">
              <w:t>is student-centred, needs-based, ensuring the funding available is sufficient to provide access to high-quality higher education for students from equity backgrounds and from different locations</w:t>
            </w:r>
          </w:p>
          <w:p w14:paraId="6967184B" w14:textId="77777777" w:rsidR="00321345" w:rsidRPr="001E7AA4" w:rsidRDefault="00321345" w:rsidP="00321345">
            <w:pPr>
              <w:pStyle w:val="List3"/>
              <w:ind w:left="927"/>
            </w:pPr>
            <w:r w:rsidRPr="001E7AA4">
              <w:t>helps achieve attainment and equity targets, and recognises the different costs of delivery in regional Australia</w:t>
            </w:r>
          </w:p>
          <w:p w14:paraId="331BF560" w14:textId="77777777" w:rsidR="00321345" w:rsidRPr="001E7AA4" w:rsidRDefault="00321345" w:rsidP="00321345">
            <w:pPr>
              <w:pStyle w:val="List3"/>
              <w:ind w:left="927"/>
            </w:pPr>
            <w:r w:rsidRPr="001E7AA4">
              <w:t>strengthens Australia’s higher education research capacity</w:t>
            </w:r>
          </w:p>
          <w:p w14:paraId="52A12E94" w14:textId="77777777" w:rsidR="00321345" w:rsidRPr="001E7AA4" w:rsidRDefault="00321345" w:rsidP="00321345">
            <w:pPr>
              <w:pStyle w:val="List2"/>
              <w:ind w:left="570"/>
            </w:pPr>
            <w:r w:rsidRPr="001E7AA4">
              <w:t>developing a stronger understanding of the true costs of the core activities in higher education, increasing transparency and improving pricing, quality, performance and efficiency</w:t>
            </w:r>
          </w:p>
          <w:p w14:paraId="0C84C148" w14:textId="77777777" w:rsidR="00321345" w:rsidRPr="001E7AA4" w:rsidRDefault="00321345" w:rsidP="00321345">
            <w:pPr>
              <w:pStyle w:val="List2"/>
              <w:ind w:left="570"/>
            </w:pPr>
            <w:r w:rsidRPr="001E7AA4">
              <w:t xml:space="preserve">ensuring the ongoing affordability of higher education for students, including adjusting student contributions instituted by the JRG package </w:t>
            </w:r>
          </w:p>
          <w:p w14:paraId="5BF78EA4" w14:textId="77777777" w:rsidR="00321345" w:rsidRPr="001E7AA4" w:rsidRDefault="00321345" w:rsidP="00321345">
            <w:pPr>
              <w:pStyle w:val="List2"/>
              <w:ind w:left="570"/>
            </w:pPr>
            <w:r w:rsidRPr="001E7AA4">
              <w:t xml:space="preserve">examining changes to HELP to make it fairer and support growth in participation </w:t>
            </w:r>
          </w:p>
          <w:p w14:paraId="43281F37" w14:textId="77777777" w:rsidR="00321345" w:rsidRPr="001E7AA4" w:rsidRDefault="00321345" w:rsidP="00321345">
            <w:pPr>
              <w:pStyle w:val="List2"/>
              <w:ind w:left="570"/>
            </w:pPr>
            <w:r w:rsidRPr="001E7AA4">
              <w:t>identifying ways to support and maintain critical teaching and research infrastructure</w:t>
            </w:r>
          </w:p>
          <w:p w14:paraId="7542618F" w14:textId="77777777" w:rsidR="00321345" w:rsidRPr="001E7AA4" w:rsidRDefault="00321345" w:rsidP="00321345">
            <w:pPr>
              <w:pStyle w:val="List2"/>
              <w:ind w:left="570"/>
            </w:pPr>
            <w:r w:rsidRPr="001E7AA4">
              <w:t>reducing the extent to which core higher education functions rely on funding from insecure income streams, and decreasing the extent of cross-subsidisation throughout the system</w:t>
            </w:r>
          </w:p>
          <w:p w14:paraId="6A79F04F" w14:textId="00ACFD60" w:rsidR="00321345" w:rsidRPr="00321345" w:rsidRDefault="00321345" w:rsidP="00321345">
            <w:pPr>
              <w:pStyle w:val="List2"/>
              <w:spacing w:after="120"/>
              <w:ind w:left="570"/>
              <w:rPr>
                <w:rStyle w:val="CommentReference"/>
                <w:sz w:val="22"/>
                <w:szCs w:val="22"/>
              </w:rPr>
            </w:pPr>
            <w:r w:rsidRPr="001E7AA4">
              <w:t xml:space="preserve">examining a funding mechanism such as a levy on international student fee </w:t>
            </w:r>
            <w:r w:rsidRPr="001E7AA4" w:rsidDel="00A223DD">
              <w:t>income</w:t>
            </w:r>
            <w:r w:rsidRPr="001E7AA4">
              <w:t xml:space="preserve">. Such a mechanism could provide insurance against future economic, policy or other shocks, or fund national and sector priorities such as infrastructure and research. </w:t>
            </w:r>
          </w:p>
        </w:tc>
      </w:tr>
    </w:tbl>
    <w:p w14:paraId="494EC728" w14:textId="77777777" w:rsidR="004459C7" w:rsidRPr="001E7AA4" w:rsidRDefault="2258BFA1" w:rsidP="00B65F5B">
      <w:pPr>
        <w:pStyle w:val="Heading4"/>
      </w:pPr>
      <w:bookmarkStart w:id="17" w:name="_Toc137829516"/>
      <w:bookmarkStart w:id="18" w:name="_Toc1803326554"/>
      <w:bookmarkStart w:id="19" w:name="_Toc139028847"/>
      <w:r w:rsidRPr="001E7AA4">
        <w:t>Building an enduring Accord</w:t>
      </w:r>
      <w:bookmarkEnd w:id="17"/>
      <w:bookmarkEnd w:id="18"/>
      <w:bookmarkEnd w:id="19"/>
    </w:p>
    <w:p w14:paraId="6E3B1E3C" w14:textId="05C89F53" w:rsidR="004459C7" w:rsidRDefault="004459C7" w:rsidP="004459C7">
      <w:pPr>
        <w:spacing w:line="240" w:lineRule="auto"/>
      </w:pPr>
      <w:r w:rsidRPr="001E7AA4">
        <w:t>Delivering the kinds of opportunities envisaged in this Interim Report, and ongoing cycles of continuous improvement and sector development, w</w:t>
      </w:r>
      <w:r w:rsidR="00AB0DAF" w:rsidRPr="001E7AA4">
        <w:t>ill</w:t>
      </w:r>
      <w:r w:rsidRPr="001E7AA4">
        <w:t xml:space="preserve"> require collaborative effort across a range of stakeholders including universities themselves, governments, unions, staff, students, business representatives and community organisations. This could take the form of an ongoing Accord to ensure Australia’s higher education sector continues to grow and develop, as part of a broader tertiary education system and as part of a wider innovation and research ecosystem. The Review is considering this area further as it prepares for its Final Report.</w:t>
      </w:r>
    </w:p>
    <w:p w14:paraId="693CBFE1" w14:textId="5D37CFFC" w:rsidR="00B552EB" w:rsidRDefault="00B552EB" w:rsidP="00B552EB">
      <w:pPr>
        <w:pStyle w:val="Pulloutboxes"/>
      </w:pPr>
      <w:r w:rsidRPr="009E134D">
        <w:t>The Review will be offering its Final Report as a platform to gain consensus for change across the whole spectrum of higher education in a way that will benefit Australians well into the future.</w:t>
      </w:r>
    </w:p>
    <w:p w14:paraId="6D03DE14" w14:textId="77777777" w:rsidR="004459C7" w:rsidRPr="001E7AA4" w:rsidRDefault="2258BFA1" w:rsidP="00B65F5B">
      <w:pPr>
        <w:pStyle w:val="Heading4"/>
      </w:pPr>
      <w:bookmarkStart w:id="20" w:name="_Toc137829517"/>
      <w:bookmarkStart w:id="21" w:name="_Toc1946832204"/>
      <w:bookmarkStart w:id="22" w:name="_Toc139028848"/>
      <w:r w:rsidRPr="001E7AA4">
        <w:lastRenderedPageBreak/>
        <w:t>Next steps and further engagement</w:t>
      </w:r>
      <w:bookmarkEnd w:id="20"/>
      <w:bookmarkEnd w:id="21"/>
      <w:bookmarkEnd w:id="22"/>
    </w:p>
    <w:p w14:paraId="2530D059" w14:textId="77777777" w:rsidR="00C4112C" w:rsidRPr="001E7AA4" w:rsidRDefault="00C4112C" w:rsidP="00C4112C">
      <w:pPr>
        <w:spacing w:line="240" w:lineRule="auto"/>
      </w:pPr>
      <w:r w:rsidRPr="001E7AA4">
        <w:rPr>
          <w:rFonts w:ascii="Calibri" w:hAnsi="Calibri" w:cs="Calibri"/>
          <w:color w:val="000000"/>
        </w:rPr>
        <w:t>The Review considers that bold reform will be required, which means that substantive debate, discussion and dialogue will be important as it continues its task. The Review has chosen to present ideas and areas for further consideration to continue engagement, test the Review’s thinking and build consensus for change. In this spirit, t</w:t>
      </w:r>
      <w:r w:rsidRPr="001E7AA4">
        <w:t xml:space="preserve">he Review now welcomes feedback, ideas and insights through a further submission process. </w:t>
      </w:r>
    </w:p>
    <w:p w14:paraId="5CB59E4D" w14:textId="77777777" w:rsidR="00C4112C" w:rsidRPr="001E7AA4" w:rsidRDefault="00C4112C" w:rsidP="00C4112C">
      <w:pPr>
        <w:spacing w:line="240" w:lineRule="auto"/>
      </w:pPr>
      <w:r w:rsidRPr="001E7AA4">
        <w:t xml:space="preserve">Submissions in response to this Interim Report will help to ensure that the Review’s final recommendations provide clear direction for change and can </w:t>
      </w:r>
      <w:r w:rsidRPr="001E7AA4">
        <w:rPr>
          <w:rFonts w:ascii="Calibri" w:hAnsi="Calibri" w:cs="Calibri"/>
        </w:rPr>
        <w:t>achieve the best possible outcomes for the future.</w:t>
      </w:r>
    </w:p>
    <w:p w14:paraId="3E86E41D" w14:textId="77777777" w:rsidR="00C4112C" w:rsidRPr="001E7AA4" w:rsidRDefault="00C4112C" w:rsidP="00C4112C">
      <w:pPr>
        <w:spacing w:line="240" w:lineRule="auto"/>
      </w:pPr>
      <w:r w:rsidRPr="001E7AA4">
        <w:t xml:space="preserve">For further information on how to make a submission, see the </w:t>
      </w:r>
      <w:hyperlink r:id="rId17" w:history="1">
        <w:r w:rsidRPr="001E7AA4">
          <w:rPr>
            <w:rStyle w:val="Hyperlink"/>
          </w:rPr>
          <w:t>Accord website</w:t>
        </w:r>
      </w:hyperlink>
      <w:r w:rsidRPr="001E7AA4">
        <w:t>.</w:t>
      </w:r>
    </w:p>
    <w:p w14:paraId="617BE396" w14:textId="0118DAFF" w:rsidR="004459C7" w:rsidRPr="001E7AA4" w:rsidRDefault="004459C7" w:rsidP="004459C7">
      <w:pPr>
        <w:spacing w:line="240" w:lineRule="auto"/>
        <w:rPr>
          <w:rFonts w:ascii="Calibri" w:hAnsi="Calibri" w:cs="Calibri"/>
          <w:color w:val="000000"/>
        </w:rPr>
      </w:pPr>
      <w:r w:rsidRPr="001E7AA4">
        <w:rPr>
          <w:rFonts w:ascii="Calibri" w:hAnsi="Calibri" w:cs="Calibri"/>
          <w:color w:val="000000"/>
        </w:rPr>
        <w:t xml:space="preserve">Bold reform will require ongoing, collegiate and constructive leadership. In an environment where fiscal resources are limited, and where human and institutional capacity has constraints, </w:t>
      </w:r>
      <w:r w:rsidR="009E5F3D" w:rsidRPr="001E7AA4">
        <w:rPr>
          <w:rFonts w:ascii="Calibri" w:hAnsi="Calibri" w:cs="Calibri"/>
          <w:color w:val="000000"/>
        </w:rPr>
        <w:t xml:space="preserve">reform must </w:t>
      </w:r>
      <w:r w:rsidRPr="001E7AA4">
        <w:rPr>
          <w:rFonts w:ascii="Calibri" w:hAnsi="Calibri" w:cs="Calibri"/>
          <w:color w:val="000000"/>
        </w:rPr>
        <w:t>be prioritised and sequenced over time, an</w:t>
      </w:r>
      <w:r w:rsidR="009E5F3D" w:rsidRPr="001E7AA4">
        <w:rPr>
          <w:rFonts w:ascii="Calibri" w:hAnsi="Calibri" w:cs="Calibri"/>
          <w:color w:val="000000"/>
        </w:rPr>
        <w:t>d</w:t>
      </w:r>
      <w:r w:rsidRPr="001E7AA4">
        <w:rPr>
          <w:rFonts w:ascii="Calibri" w:hAnsi="Calibri" w:cs="Calibri"/>
          <w:color w:val="000000"/>
        </w:rPr>
        <w:t xml:space="preserve"> individual institutions and stakeholders </w:t>
      </w:r>
      <w:r w:rsidR="009E5F3D" w:rsidRPr="001E7AA4">
        <w:rPr>
          <w:rFonts w:ascii="Calibri" w:hAnsi="Calibri" w:cs="Calibri"/>
          <w:color w:val="000000"/>
        </w:rPr>
        <w:t xml:space="preserve">must be encouraged to put </w:t>
      </w:r>
      <w:r w:rsidRPr="001E7AA4">
        <w:rPr>
          <w:rFonts w:ascii="Calibri" w:hAnsi="Calibri" w:cs="Calibri"/>
          <w:color w:val="000000"/>
        </w:rPr>
        <w:t xml:space="preserve">overall change in the higher education sector </w:t>
      </w:r>
      <w:r w:rsidR="009E5F3D" w:rsidRPr="001E7AA4">
        <w:rPr>
          <w:rFonts w:ascii="Calibri" w:hAnsi="Calibri" w:cs="Calibri"/>
          <w:color w:val="000000"/>
        </w:rPr>
        <w:t xml:space="preserve">above </w:t>
      </w:r>
      <w:r w:rsidRPr="001E7AA4">
        <w:rPr>
          <w:rFonts w:ascii="Calibri" w:hAnsi="Calibri" w:cs="Calibri"/>
          <w:color w:val="000000"/>
        </w:rPr>
        <w:t xml:space="preserve">narrower </w:t>
      </w:r>
      <w:r w:rsidR="009E5F3D" w:rsidRPr="001E7AA4">
        <w:rPr>
          <w:rFonts w:ascii="Calibri" w:hAnsi="Calibri" w:cs="Calibri"/>
          <w:color w:val="000000"/>
        </w:rPr>
        <w:t xml:space="preserve">sectional </w:t>
      </w:r>
      <w:r w:rsidRPr="001E7AA4">
        <w:rPr>
          <w:rFonts w:ascii="Calibri" w:hAnsi="Calibri" w:cs="Calibri"/>
          <w:color w:val="000000"/>
        </w:rPr>
        <w:t>interests. The Review seeks feedback on its views about areas for further consideration, including how best to build and sustain a successful and enduring reform agenda.</w:t>
      </w:r>
    </w:p>
    <w:p w14:paraId="68D6CF73" w14:textId="7DE0F1BB" w:rsidR="004459C7" w:rsidRPr="001E7AA4" w:rsidRDefault="004459C7" w:rsidP="004459C7">
      <w:pPr>
        <w:spacing w:line="240" w:lineRule="auto"/>
        <w:rPr>
          <w:rFonts w:ascii="Calibri" w:hAnsi="Calibri" w:cs="Calibri"/>
          <w:color w:val="000000"/>
        </w:rPr>
      </w:pPr>
      <w:r w:rsidRPr="001E7AA4">
        <w:rPr>
          <w:rFonts w:ascii="Calibri" w:hAnsi="Calibri" w:cs="Calibri"/>
          <w:color w:val="000000"/>
        </w:rPr>
        <w:t xml:space="preserve">The Review also looks forward to further engagement and dialogue with other reform processes underway, including the </w:t>
      </w:r>
      <w:r w:rsidRPr="001E7AA4">
        <w:rPr>
          <w:rFonts w:ascii="Calibri" w:hAnsi="Calibri" w:cs="Calibri"/>
          <w:i/>
          <w:color w:val="000000"/>
        </w:rPr>
        <w:t>Employment White Paper</w:t>
      </w:r>
      <w:r w:rsidRPr="001E7AA4">
        <w:rPr>
          <w:rFonts w:ascii="Calibri" w:hAnsi="Calibri" w:cs="Calibri"/>
          <w:color w:val="000000"/>
        </w:rPr>
        <w:t xml:space="preserve"> commissioned by the Treasurer, The Hon Jim Chalmers MP, work led by </w:t>
      </w:r>
      <w:r w:rsidR="003079AF" w:rsidRPr="001E7AA4">
        <w:rPr>
          <w:rFonts w:ascii="Calibri" w:hAnsi="Calibri" w:cs="Calibri"/>
          <w:color w:val="000000"/>
        </w:rPr>
        <w:t>T</w:t>
      </w:r>
      <w:r w:rsidRPr="001E7AA4">
        <w:rPr>
          <w:rFonts w:ascii="Calibri" w:hAnsi="Calibri" w:cs="Calibri"/>
          <w:color w:val="000000"/>
        </w:rPr>
        <w:t xml:space="preserve">he Hon Brendan O’Connor MP to build a new </w:t>
      </w:r>
      <w:r w:rsidRPr="001E7AA4">
        <w:rPr>
          <w:rFonts w:ascii="Calibri" w:hAnsi="Calibri" w:cs="Calibri"/>
          <w:i/>
          <w:color w:val="000000"/>
        </w:rPr>
        <w:t>National Skills Agreement</w:t>
      </w:r>
      <w:r w:rsidRPr="001E7AA4">
        <w:rPr>
          <w:rFonts w:ascii="Calibri" w:hAnsi="Calibri" w:cs="Calibri"/>
          <w:color w:val="000000"/>
        </w:rPr>
        <w:t xml:space="preserve"> between the Australia</w:t>
      </w:r>
      <w:r w:rsidR="00275732" w:rsidRPr="001E7AA4">
        <w:rPr>
          <w:rFonts w:ascii="Calibri" w:hAnsi="Calibri" w:cs="Calibri"/>
          <w:color w:val="000000"/>
        </w:rPr>
        <w:t>n</w:t>
      </w:r>
      <w:r w:rsidRPr="001E7AA4">
        <w:rPr>
          <w:rFonts w:ascii="Calibri" w:hAnsi="Calibri" w:cs="Calibri"/>
          <w:color w:val="000000"/>
        </w:rPr>
        <w:t xml:space="preserve"> Government and the</w:t>
      </w:r>
      <w:r w:rsidR="00690976" w:rsidRPr="001E7AA4">
        <w:rPr>
          <w:rFonts w:ascii="Calibri" w:hAnsi="Calibri" w:cs="Calibri"/>
          <w:color w:val="000000"/>
        </w:rPr>
        <w:t xml:space="preserve"> </w:t>
      </w:r>
      <w:r w:rsidR="00044486" w:rsidRPr="001E7AA4">
        <w:rPr>
          <w:rFonts w:ascii="Calibri" w:hAnsi="Calibri" w:cs="Calibri"/>
          <w:color w:val="000000"/>
        </w:rPr>
        <w:t>states and territories</w:t>
      </w:r>
      <w:r w:rsidRPr="001E7AA4">
        <w:rPr>
          <w:rFonts w:ascii="Calibri" w:hAnsi="Calibri" w:cs="Calibri"/>
          <w:color w:val="000000"/>
        </w:rPr>
        <w:t xml:space="preserve">, the </w:t>
      </w:r>
      <w:r w:rsidR="00212D6B" w:rsidRPr="001E7AA4">
        <w:rPr>
          <w:rFonts w:ascii="Calibri" w:hAnsi="Calibri" w:cs="Calibri"/>
          <w:i/>
          <w:color w:val="000000"/>
        </w:rPr>
        <w:t>Review</w:t>
      </w:r>
      <w:r w:rsidRPr="001E7AA4">
        <w:rPr>
          <w:rFonts w:ascii="Calibri" w:hAnsi="Calibri" w:cs="Calibri"/>
          <w:i/>
          <w:color w:val="000000"/>
        </w:rPr>
        <w:t xml:space="preserve"> to Inform a Better and Fairer School System</w:t>
      </w:r>
      <w:r w:rsidR="00DB4839" w:rsidRPr="001E7AA4">
        <w:rPr>
          <w:rFonts w:ascii="Calibri" w:hAnsi="Calibri" w:cs="Calibri"/>
          <w:color w:val="000000"/>
        </w:rPr>
        <w:t>,</w:t>
      </w:r>
      <w:r w:rsidRPr="001E7AA4">
        <w:rPr>
          <w:rFonts w:ascii="Calibri" w:hAnsi="Calibri" w:cs="Calibri"/>
          <w:color w:val="000000"/>
        </w:rPr>
        <w:t xml:space="preserve"> and the Productivity Commission </w:t>
      </w:r>
      <w:r w:rsidR="00FD143C" w:rsidRPr="001E7AA4">
        <w:rPr>
          <w:rFonts w:ascii="Calibri" w:hAnsi="Calibri" w:cs="Calibri"/>
          <w:i/>
          <w:color w:val="000000"/>
        </w:rPr>
        <w:t>I</w:t>
      </w:r>
      <w:r w:rsidRPr="001E7AA4">
        <w:rPr>
          <w:rFonts w:ascii="Calibri" w:hAnsi="Calibri" w:cs="Calibri"/>
          <w:i/>
          <w:color w:val="000000"/>
        </w:rPr>
        <w:t xml:space="preserve">nquiry into </w:t>
      </w:r>
      <w:r w:rsidR="00D10D60" w:rsidRPr="001E7AA4">
        <w:rPr>
          <w:rFonts w:ascii="Calibri" w:hAnsi="Calibri" w:cs="Calibri"/>
          <w:i/>
          <w:iCs/>
          <w:color w:val="000000"/>
        </w:rPr>
        <w:t>Australia’s</w:t>
      </w:r>
      <w:r w:rsidRPr="001E7AA4">
        <w:rPr>
          <w:rFonts w:ascii="Calibri" w:hAnsi="Calibri" w:cs="Calibri"/>
          <w:i/>
          <w:iCs/>
          <w:color w:val="000000"/>
        </w:rPr>
        <w:t xml:space="preserve"> </w:t>
      </w:r>
      <w:r w:rsidR="00044E23" w:rsidRPr="001E7AA4">
        <w:rPr>
          <w:rFonts w:ascii="Calibri" w:hAnsi="Calibri" w:cs="Calibri"/>
          <w:i/>
          <w:iCs/>
          <w:color w:val="000000"/>
        </w:rPr>
        <w:t>E</w:t>
      </w:r>
      <w:r w:rsidRPr="001E7AA4">
        <w:rPr>
          <w:rFonts w:ascii="Calibri" w:hAnsi="Calibri" w:cs="Calibri"/>
          <w:i/>
          <w:iCs/>
          <w:color w:val="000000"/>
        </w:rPr>
        <w:t xml:space="preserve">arly </w:t>
      </w:r>
      <w:r w:rsidR="00044E23" w:rsidRPr="001E7AA4">
        <w:rPr>
          <w:rFonts w:ascii="Calibri" w:hAnsi="Calibri" w:cs="Calibri"/>
          <w:i/>
          <w:iCs/>
          <w:color w:val="000000"/>
        </w:rPr>
        <w:t>Ch</w:t>
      </w:r>
      <w:r w:rsidRPr="001E7AA4">
        <w:rPr>
          <w:rFonts w:ascii="Calibri" w:hAnsi="Calibri" w:cs="Calibri"/>
          <w:i/>
          <w:iCs/>
          <w:color w:val="000000"/>
        </w:rPr>
        <w:t xml:space="preserve">ildhood </w:t>
      </w:r>
      <w:r w:rsidR="00044E23" w:rsidRPr="001E7AA4">
        <w:rPr>
          <w:rFonts w:ascii="Calibri" w:hAnsi="Calibri" w:cs="Calibri"/>
          <w:i/>
          <w:iCs/>
          <w:color w:val="000000"/>
        </w:rPr>
        <w:t>E</w:t>
      </w:r>
      <w:r w:rsidRPr="001E7AA4">
        <w:rPr>
          <w:rFonts w:ascii="Calibri" w:hAnsi="Calibri" w:cs="Calibri"/>
          <w:i/>
          <w:color w:val="000000"/>
        </w:rPr>
        <w:t xml:space="preserve">ducation and </w:t>
      </w:r>
      <w:r w:rsidR="00044E23" w:rsidRPr="001E7AA4">
        <w:rPr>
          <w:rFonts w:ascii="Calibri" w:hAnsi="Calibri" w:cs="Calibri"/>
          <w:i/>
          <w:iCs/>
          <w:color w:val="000000"/>
        </w:rPr>
        <w:t>C</w:t>
      </w:r>
      <w:r w:rsidRPr="001E7AA4">
        <w:rPr>
          <w:rFonts w:ascii="Calibri" w:hAnsi="Calibri" w:cs="Calibri"/>
          <w:i/>
          <w:color w:val="000000"/>
        </w:rPr>
        <w:t>are</w:t>
      </w:r>
      <w:r w:rsidRPr="001E7AA4">
        <w:rPr>
          <w:rFonts w:ascii="Calibri" w:hAnsi="Calibri" w:cs="Calibri"/>
          <w:color w:val="000000"/>
        </w:rPr>
        <w:t xml:space="preserve">. </w:t>
      </w:r>
    </w:p>
    <w:p w14:paraId="13E16671" w14:textId="77777777" w:rsidR="004459C7" w:rsidRPr="001E7AA4" w:rsidRDefault="004459C7" w:rsidP="004459C7">
      <w:pPr>
        <w:spacing w:line="240" w:lineRule="auto"/>
        <w:rPr>
          <w:rFonts w:ascii="Calibri" w:hAnsi="Calibri" w:cs="Calibri"/>
          <w:color w:val="000000"/>
        </w:rPr>
      </w:pPr>
      <w:r w:rsidRPr="001E7AA4">
        <w:rPr>
          <w:rFonts w:ascii="Calibri" w:hAnsi="Calibri" w:cs="Calibri"/>
          <w:color w:val="000000"/>
        </w:rPr>
        <w:t>During the remainder of 2023, there will be further opportunities to engage with the Review, provide feedback, and participate in debate. The Universities Accord Ministerial Reference Group will play a key role during this period. Information on further engagement opportunities will be made available on the Australian Universities Accord website as the year progresses.</w:t>
      </w:r>
    </w:p>
    <w:p w14:paraId="66154517" w14:textId="77777777" w:rsidR="009E5F3D" w:rsidRPr="001E7AA4" w:rsidRDefault="009E5F3D">
      <w:pPr>
        <w:spacing w:after="160"/>
        <w:rPr>
          <w:rFonts w:asciiTheme="majorHAnsi" w:eastAsiaTheme="majorEastAsia" w:hAnsiTheme="majorHAnsi" w:cstheme="majorBidi"/>
          <w:b/>
          <w:color w:val="008599" w:themeColor="accent1"/>
          <w:sz w:val="32"/>
          <w:szCs w:val="24"/>
          <w:lang w:eastAsia="en-AU"/>
        </w:rPr>
      </w:pPr>
      <w:r w:rsidRPr="001E7AA4">
        <w:rPr>
          <w:lang w:eastAsia="en-AU"/>
        </w:rPr>
        <w:br w:type="page"/>
      </w:r>
    </w:p>
    <w:p w14:paraId="38A5EEA7" w14:textId="25CDDFF3" w:rsidR="00427216" w:rsidRPr="001E7AA4" w:rsidRDefault="00DD7731" w:rsidP="00B65F5B">
      <w:pPr>
        <w:pStyle w:val="Heading2"/>
        <w:rPr>
          <w:lang w:eastAsia="en-AU"/>
        </w:rPr>
      </w:pPr>
      <w:bookmarkStart w:id="23" w:name="_Toc139028849"/>
      <w:r w:rsidRPr="001E7AA4">
        <w:rPr>
          <w:lang w:eastAsia="en-AU"/>
        </w:rPr>
        <w:lastRenderedPageBreak/>
        <w:t>A</w:t>
      </w:r>
      <w:r w:rsidR="00427216" w:rsidRPr="001E7AA4">
        <w:rPr>
          <w:lang w:eastAsia="en-AU"/>
        </w:rPr>
        <w:t xml:space="preserve"> vision for Australia’s future higher education system</w:t>
      </w:r>
      <w:bookmarkEnd w:id="23"/>
    </w:p>
    <w:p w14:paraId="23CA2B2D" w14:textId="11436B55" w:rsidR="009E5F3D" w:rsidRPr="001E7AA4" w:rsidRDefault="00522EDA" w:rsidP="00427216">
      <w:pPr>
        <w:spacing w:line="240" w:lineRule="auto"/>
        <w:rPr>
          <w:lang w:eastAsia="en-AU"/>
        </w:rPr>
      </w:pPr>
      <w:r w:rsidRPr="001E7AA4">
        <w:rPr>
          <w:lang w:eastAsia="en-AU"/>
        </w:rPr>
        <w:t>To provide greater clarity about an overall approach to reform</w:t>
      </w:r>
      <w:r w:rsidR="00427216" w:rsidRPr="001E7AA4">
        <w:rPr>
          <w:lang w:eastAsia="en-AU"/>
        </w:rPr>
        <w:t>, the Review offers the following vision for</w:t>
      </w:r>
      <w:r w:rsidRPr="001E7AA4">
        <w:rPr>
          <w:lang w:eastAsia="en-AU"/>
        </w:rPr>
        <w:t xml:space="preserve"> the future of</w:t>
      </w:r>
      <w:r w:rsidR="00427216" w:rsidRPr="001E7AA4">
        <w:rPr>
          <w:lang w:eastAsia="en-AU"/>
        </w:rPr>
        <w:t xml:space="preserve"> Australian higher education</w:t>
      </w:r>
      <w:r w:rsidR="00865B7C" w:rsidRPr="001E7AA4">
        <w:rPr>
          <w:lang w:eastAsia="en-AU"/>
        </w:rPr>
        <w:t xml:space="preserve"> for consideration</w:t>
      </w:r>
      <w:r w:rsidR="00427216" w:rsidRPr="001E7AA4">
        <w:rPr>
          <w:lang w:eastAsia="en-AU"/>
        </w:rPr>
        <w:t xml:space="preserve">. </w:t>
      </w:r>
      <w:r w:rsidR="005C7E47" w:rsidRPr="001E7AA4">
        <w:rPr>
          <w:lang w:eastAsia="en-AU"/>
        </w:rPr>
        <w:t>This vision will develop and change through the remaining period of the Review, including in response to feedback through the consultation process.</w:t>
      </w:r>
      <w:r w:rsidR="00427216" w:rsidRPr="001E7AA4">
        <w:rPr>
          <w:lang w:eastAsia="en-AU"/>
        </w:rPr>
        <w:t xml:space="preserve"> </w:t>
      </w:r>
    </w:p>
    <w:p w14:paraId="016638A9" w14:textId="77777777" w:rsidR="009E5F3D" w:rsidRPr="001E7AA4" w:rsidRDefault="00427216" w:rsidP="00427216">
      <w:pPr>
        <w:spacing w:line="240" w:lineRule="auto"/>
        <w:rPr>
          <w:i/>
          <w:iCs/>
        </w:rPr>
      </w:pPr>
      <w:r w:rsidRPr="001E7AA4">
        <w:rPr>
          <w:i/>
          <w:iCs/>
        </w:rPr>
        <w:t>By 2035</w:t>
      </w:r>
      <w:r w:rsidR="009E5F3D" w:rsidRPr="001E7AA4">
        <w:rPr>
          <w:i/>
          <w:iCs/>
        </w:rPr>
        <w:t>…</w:t>
      </w:r>
    </w:p>
    <w:p w14:paraId="21F5C3DC" w14:textId="119246E8" w:rsidR="00427216" w:rsidRPr="001E7AA4" w:rsidRDefault="009E5F3D" w:rsidP="00427216">
      <w:pPr>
        <w:spacing w:line="240" w:lineRule="auto"/>
        <w:rPr>
          <w:i/>
          <w:iCs/>
        </w:rPr>
      </w:pPr>
      <w:r w:rsidRPr="001E7AA4">
        <w:rPr>
          <w:i/>
          <w:iCs/>
        </w:rPr>
        <w:t>T</w:t>
      </w:r>
      <w:r w:rsidR="00427216" w:rsidRPr="001E7AA4">
        <w:rPr>
          <w:i/>
          <w:iCs/>
        </w:rPr>
        <w:t xml:space="preserve">argets for attainment and participation have been met and recommendations made by the Review have helped Australia to become a highly skilled, productive and knowledgeable nation. </w:t>
      </w:r>
      <w:r w:rsidR="00AB3E28" w:rsidRPr="001E7AA4">
        <w:rPr>
          <w:i/>
        </w:rPr>
        <w:t>Higher education is creating opportunities for socio-economic transformation to people from all sectors of the Australian community.</w:t>
      </w:r>
      <w:r w:rsidR="00AB3E28" w:rsidRPr="001E7AA4">
        <w:rPr>
          <w:i/>
          <w:iCs/>
        </w:rPr>
        <w:t xml:space="preserve"> </w:t>
      </w:r>
      <w:r w:rsidR="00427216" w:rsidRPr="001E7AA4">
        <w:rPr>
          <w:i/>
          <w:iCs/>
        </w:rPr>
        <w:t xml:space="preserve">We are producing enough graduates to meet our skills needs and drive a globally competitive, </w:t>
      </w:r>
      <w:r w:rsidR="00427216" w:rsidRPr="001E7AA4">
        <w:rPr>
          <w:rStyle w:val="normaltextrun"/>
          <w:rFonts w:cstheme="minorHAnsi"/>
          <w:i/>
          <w:iCs/>
          <w:lang w:eastAsia="en-AU"/>
        </w:rPr>
        <w:t xml:space="preserve">knowledge-intense </w:t>
      </w:r>
      <w:r w:rsidR="00427216" w:rsidRPr="001E7AA4">
        <w:rPr>
          <w:i/>
          <w:iCs/>
        </w:rPr>
        <w:t xml:space="preserve">economy. The great majority of the community now has tertiary-level skills and qualifications, and Australia sits within the top group of </w:t>
      </w:r>
      <w:r w:rsidR="00AC2A51" w:rsidRPr="001E7AA4">
        <w:rPr>
          <w:i/>
          <w:iCs/>
        </w:rPr>
        <w:t>the Organisation for Economic Co-operation and Development (</w:t>
      </w:r>
      <w:r w:rsidR="00427216" w:rsidRPr="001E7AA4">
        <w:rPr>
          <w:i/>
          <w:iCs/>
        </w:rPr>
        <w:t>OECD</w:t>
      </w:r>
      <w:r w:rsidR="00AC2A51" w:rsidRPr="001E7AA4">
        <w:rPr>
          <w:i/>
          <w:iCs/>
        </w:rPr>
        <w:t>)</w:t>
      </w:r>
      <w:r w:rsidR="00427216" w:rsidRPr="001E7AA4">
        <w:rPr>
          <w:i/>
          <w:iCs/>
        </w:rPr>
        <w:t xml:space="preserve"> nations in terms of attainment and performance. There is population parity in Australian higher education participation by equity groups.</w:t>
      </w:r>
      <w:r w:rsidR="00427216" w:rsidRPr="001E7AA4">
        <w:rPr>
          <w:b/>
          <w:i/>
          <w:iCs/>
        </w:rPr>
        <w:t xml:space="preserve"> </w:t>
      </w:r>
    </w:p>
    <w:p w14:paraId="6C679E0B" w14:textId="06E120AD" w:rsidR="00427216" w:rsidRPr="001E7AA4" w:rsidRDefault="00427216" w:rsidP="00427216">
      <w:pPr>
        <w:rPr>
          <w:i/>
          <w:iCs/>
        </w:rPr>
      </w:pPr>
      <w:r w:rsidRPr="001E7AA4">
        <w:rPr>
          <w:i/>
          <w:iCs/>
        </w:rPr>
        <w:t xml:space="preserve">The higher education sector, working closely in partnership with the VET sector in the tertiary education system, has expanded significantly to deliver this. The sector has become adept at ensuring its graduates have generic skills of a high order. It has developed ways to adapt its courses quickly and offer new styles of courses, including flexible stackable microcredentials, to cover high-end skills when there is demand. It is also good at meeting the needs of business and industry by providing much needed work experience through effective placement and </w:t>
      </w:r>
      <w:r w:rsidR="00812AB4" w:rsidRPr="001E7AA4">
        <w:rPr>
          <w:i/>
          <w:iCs/>
        </w:rPr>
        <w:t>WIL</w:t>
      </w:r>
      <w:r w:rsidRPr="001E7AA4">
        <w:rPr>
          <w:i/>
          <w:iCs/>
        </w:rPr>
        <w:t xml:space="preserve"> arrangements at scale. </w:t>
      </w:r>
    </w:p>
    <w:p w14:paraId="5E270501" w14:textId="07E7ADBE" w:rsidR="00427216" w:rsidRPr="001E7AA4" w:rsidRDefault="00427216" w:rsidP="00427216">
      <w:pPr>
        <w:rPr>
          <w:rStyle w:val="eop"/>
          <w:rFonts w:ascii="Calibri" w:hAnsi="Calibri" w:cs="Calibri"/>
          <w:i/>
          <w:iCs/>
          <w:color w:val="000000" w:themeColor="text1"/>
        </w:rPr>
      </w:pPr>
      <w:r w:rsidRPr="001E7AA4">
        <w:rPr>
          <w:rStyle w:val="normaltextrun"/>
          <w:rFonts w:ascii="Calibri" w:hAnsi="Calibri" w:cs="Calibri"/>
          <w:i/>
          <w:iCs/>
          <w:color w:val="000000" w:themeColor="text1"/>
        </w:rPr>
        <w:t xml:space="preserve">There </w:t>
      </w:r>
      <w:r w:rsidRPr="001E7AA4">
        <w:rPr>
          <w:i/>
          <w:iCs/>
        </w:rPr>
        <w:t>is strong scaffolding in place for those requiring academic and other support, helping all students access, move through and succeed in Australia’s tertiary system</w:t>
      </w:r>
      <w:r w:rsidR="00334223" w:rsidRPr="001E7AA4">
        <w:rPr>
          <w:i/>
          <w:iCs/>
        </w:rPr>
        <w:t xml:space="preserve"> wherever possible, and </w:t>
      </w:r>
      <w:r w:rsidRPr="001E7AA4">
        <w:rPr>
          <w:i/>
          <w:iCs/>
        </w:rPr>
        <w:t xml:space="preserve">without </w:t>
      </w:r>
      <w:r w:rsidR="00334223" w:rsidRPr="001E7AA4">
        <w:rPr>
          <w:i/>
          <w:iCs/>
        </w:rPr>
        <w:t xml:space="preserve">financial or other forms of </w:t>
      </w:r>
      <w:r w:rsidRPr="001E7AA4">
        <w:rPr>
          <w:i/>
          <w:iCs/>
        </w:rPr>
        <w:t>hardship. First Nations students who seek higher education to transform their lives and communities have the opportunity to do so and to find a place in Australia’s workforce. This is also true for m</w:t>
      </w:r>
      <w:r w:rsidRPr="001E7AA4">
        <w:rPr>
          <w:rStyle w:val="normaltextrun"/>
          <w:rFonts w:ascii="Calibri" w:hAnsi="Calibri" w:cs="Calibri"/>
          <w:i/>
          <w:iCs/>
          <w:color w:val="000000" w:themeColor="text1"/>
        </w:rPr>
        <w:t xml:space="preserve">any equity graduates, who now </w:t>
      </w:r>
      <w:r w:rsidR="007D3EC3" w:rsidRPr="001E7AA4">
        <w:rPr>
          <w:rStyle w:val="normaltextrun"/>
          <w:rFonts w:ascii="Calibri" w:hAnsi="Calibri" w:cs="Calibri"/>
          <w:i/>
          <w:iCs/>
          <w:color w:val="000000" w:themeColor="text1"/>
        </w:rPr>
        <w:t>play</w:t>
      </w:r>
      <w:r w:rsidRPr="001E7AA4">
        <w:rPr>
          <w:rStyle w:val="normaltextrun"/>
          <w:rFonts w:ascii="Calibri" w:hAnsi="Calibri" w:cs="Calibri"/>
          <w:i/>
          <w:iCs/>
          <w:color w:val="000000" w:themeColor="text1"/>
        </w:rPr>
        <w:t xml:space="preserve"> senior leadership roles across industry, community and the public sector. </w:t>
      </w:r>
      <w:r w:rsidRPr="001E7AA4">
        <w:rPr>
          <w:rStyle w:val="eop"/>
          <w:rFonts w:ascii="Calibri" w:hAnsi="Calibri" w:cs="Calibri"/>
          <w:i/>
        </w:rPr>
        <w:t xml:space="preserve">Through these alumni, but also through industry and the cultural sectors, universities are vitally connected to their communities. The ongoing involvement of higher education in </w:t>
      </w:r>
      <w:r w:rsidR="009E5F3D" w:rsidRPr="001E7AA4">
        <w:rPr>
          <w:rStyle w:val="eop"/>
          <w:rFonts w:ascii="Calibri" w:hAnsi="Calibri" w:cs="Calibri"/>
          <w:i/>
        </w:rPr>
        <w:t xml:space="preserve">the </w:t>
      </w:r>
      <w:r w:rsidRPr="001E7AA4">
        <w:rPr>
          <w:rStyle w:val="eop"/>
          <w:rFonts w:ascii="Calibri" w:hAnsi="Calibri" w:cs="Calibri"/>
          <w:i/>
        </w:rPr>
        <w:t>community has been vital to the nation’s social fabric, particularly in the regions.</w:t>
      </w:r>
    </w:p>
    <w:p w14:paraId="19F7DEB1" w14:textId="05AF4E90" w:rsidR="00427216" w:rsidRPr="001E7AA4" w:rsidRDefault="00427216" w:rsidP="00427216">
      <w:pPr>
        <w:rPr>
          <w:rFonts w:eastAsia="Calibri"/>
          <w:i/>
          <w:iCs/>
          <w:color w:val="000000" w:themeColor="text1"/>
        </w:rPr>
      </w:pPr>
      <w:r w:rsidRPr="001E7AA4">
        <w:rPr>
          <w:rFonts w:ascii="Calibri" w:eastAsia="Calibri" w:hAnsi="Calibri" w:cs="Calibri"/>
          <w:i/>
          <w:iCs/>
          <w:color w:val="000000" w:themeColor="text1"/>
        </w:rPr>
        <w:t xml:space="preserve">The quality of learning and teaching has been, and continues to be, enhanced by technological developments and an approach to pedagogical change that is evidence-based, data-driven and student-focused. The sector effectively collaborates to innovate and share best-practice teaching methodologies, knowledge repositories, and evolving, contemporary curricula. </w:t>
      </w:r>
      <w:r w:rsidRPr="001E7AA4">
        <w:rPr>
          <w:rFonts w:eastAsia="Calibri" w:cstheme="minorHAnsi"/>
          <w:i/>
          <w:iCs/>
        </w:rPr>
        <w:t>The</w:t>
      </w:r>
      <w:r w:rsidRPr="001E7AA4">
        <w:rPr>
          <w:rFonts w:eastAsia="Calibri"/>
          <w:i/>
          <w:iCs/>
        </w:rPr>
        <w:t xml:space="preserve"> </w:t>
      </w:r>
      <w:r w:rsidRPr="001E7AA4">
        <w:rPr>
          <w:rFonts w:eastAsia="Calibri"/>
          <w:i/>
          <w:iCs/>
          <w:color w:val="000000" w:themeColor="text1"/>
        </w:rPr>
        <w:t xml:space="preserve">commitment of academics to </w:t>
      </w:r>
      <w:r w:rsidRPr="001E7AA4">
        <w:rPr>
          <w:rStyle w:val="normaltextrun"/>
          <w:rFonts w:ascii="Calibri" w:hAnsi="Calibri" w:cs="Calibri"/>
          <w:i/>
          <w:iCs/>
          <w:color w:val="000000"/>
        </w:rPr>
        <w:t>high-quality course offerings,</w:t>
      </w:r>
      <w:r w:rsidRPr="001E7AA4">
        <w:rPr>
          <w:rFonts w:eastAsia="Calibri"/>
          <w:i/>
          <w:iCs/>
          <w:color w:val="000000" w:themeColor="text1"/>
        </w:rPr>
        <w:t xml:space="preserve"> teaching excellence and innovative practice</w:t>
      </w:r>
      <w:r w:rsidR="00D81532" w:rsidRPr="001E7AA4">
        <w:rPr>
          <w:rFonts w:eastAsia="Calibri"/>
          <w:i/>
          <w:iCs/>
          <w:color w:val="000000" w:themeColor="text1"/>
        </w:rPr>
        <w:t>,</w:t>
      </w:r>
      <w:r w:rsidRPr="001E7AA4">
        <w:rPr>
          <w:rFonts w:eastAsia="Calibri"/>
          <w:i/>
          <w:iCs/>
          <w:color w:val="000000" w:themeColor="text1"/>
        </w:rPr>
        <w:t xml:space="preserve"> is matched by the esteem in which they are held by their students, institutions and the wider community. This is reflected in attractive career pathways and opportunities for professional development. </w:t>
      </w:r>
      <w:r w:rsidRPr="001E7AA4">
        <w:rPr>
          <w:rFonts w:ascii="Calibri" w:eastAsia="Calibri" w:hAnsi="Calibri" w:cs="Calibri"/>
          <w:i/>
          <w:iCs/>
          <w:lang w:val="en-GB"/>
        </w:rPr>
        <w:t xml:space="preserve">Increased investment in workforce, teaching and research capability has enabled effective recruitment and retention of talented staff, and </w:t>
      </w:r>
      <w:r w:rsidRPr="001E7AA4">
        <w:rPr>
          <w:i/>
          <w:iCs/>
        </w:rPr>
        <w:t xml:space="preserve">Australian universities are </w:t>
      </w:r>
      <w:r w:rsidRPr="001E7AA4">
        <w:rPr>
          <w:rFonts w:ascii="Calibri" w:eastAsia="Calibri" w:hAnsi="Calibri" w:cs="Calibri"/>
          <w:i/>
          <w:iCs/>
          <w:lang w:val="en-GB"/>
        </w:rPr>
        <w:t xml:space="preserve">seen as exemplary employers and attractive places to work. </w:t>
      </w:r>
    </w:p>
    <w:p w14:paraId="5526F248" w14:textId="5A0989E1" w:rsidR="00427216" w:rsidRPr="001E7AA4" w:rsidRDefault="00427216" w:rsidP="00427216">
      <w:pPr>
        <w:rPr>
          <w:rFonts w:ascii="Calibri" w:hAnsi="Calibri" w:cs="Calibri"/>
          <w:i/>
          <w:iCs/>
        </w:rPr>
      </w:pPr>
      <w:r w:rsidRPr="001E7AA4">
        <w:rPr>
          <w:rStyle w:val="normaltextrun"/>
          <w:rFonts w:ascii="Calibri" w:hAnsi="Calibri" w:cs="Calibri"/>
          <w:i/>
          <w:iCs/>
          <w:color w:val="000000"/>
        </w:rPr>
        <w:lastRenderedPageBreak/>
        <w:t>A stronger</w:t>
      </w:r>
      <w:r w:rsidR="00D81532" w:rsidRPr="001E7AA4">
        <w:rPr>
          <w:rStyle w:val="normaltextrun"/>
          <w:rFonts w:ascii="Calibri" w:hAnsi="Calibri" w:cs="Calibri"/>
          <w:i/>
          <w:iCs/>
          <w:color w:val="000000"/>
        </w:rPr>
        <w:t>, more engaged</w:t>
      </w:r>
      <w:r w:rsidRPr="001E7AA4">
        <w:rPr>
          <w:rStyle w:val="normaltextrun"/>
          <w:rFonts w:ascii="Calibri" w:hAnsi="Calibri" w:cs="Calibri"/>
          <w:i/>
          <w:iCs/>
          <w:color w:val="000000"/>
        </w:rPr>
        <w:t xml:space="preserve"> workforce and increased investment have also seen universities become even better at leveraging their research knowledge and expertise.</w:t>
      </w:r>
      <w:r w:rsidRPr="001E7AA4">
        <w:rPr>
          <w:rStyle w:val="normaltextrun"/>
          <w:rFonts w:ascii="Calibri" w:hAnsi="Calibri" w:cs="Calibri"/>
          <w:i/>
          <w:iCs/>
        </w:rPr>
        <w:t xml:space="preserve"> </w:t>
      </w:r>
      <w:r w:rsidR="00D57DCD" w:rsidRPr="001E7AA4">
        <w:rPr>
          <w:rStyle w:val="normaltextrun"/>
          <w:rFonts w:ascii="Calibri" w:hAnsi="Calibri" w:cs="Calibri"/>
          <w:i/>
          <w:iCs/>
        </w:rPr>
        <w:t xml:space="preserve">Research expertise is built on stronger financial foundations, allowing more stable employment and ensuring continued sovereign capability. </w:t>
      </w:r>
      <w:r w:rsidRPr="001E7AA4">
        <w:rPr>
          <w:rStyle w:val="normaltextrun"/>
          <w:rFonts w:ascii="Calibri" w:hAnsi="Calibri" w:cs="Calibri"/>
          <w:i/>
          <w:iCs/>
        </w:rPr>
        <w:t xml:space="preserve">As a result, </w:t>
      </w:r>
      <w:r w:rsidRPr="001E7AA4">
        <w:rPr>
          <w:i/>
          <w:iCs/>
        </w:rPr>
        <w:t>Australia is very strong at solving complex and wicked problems – we now rank in the top ten nations on the Global Innovation Index. This success is underpinned by continuing strong fundamentals in basic, strategic basic and applied research and a newfound ability to translate innovation inputs to outputs. Australian Governments and industry have become exemplary users of Australia’s excellent university research capacity and are increasingly using universities for consulting and advice.</w:t>
      </w:r>
      <w:r w:rsidR="00295DA2" w:rsidRPr="001E7AA4">
        <w:rPr>
          <w:i/>
          <w:iCs/>
        </w:rPr>
        <w:t xml:space="preserve"> </w:t>
      </w:r>
      <w:r w:rsidR="007461EC" w:rsidRPr="001E7AA4">
        <w:rPr>
          <w:i/>
          <w:iCs/>
        </w:rPr>
        <w:t>Australia’s regional universities are important participants in the national research effort, and regional communities benefit from local, applied research with real impact.</w:t>
      </w:r>
    </w:p>
    <w:p w14:paraId="5229A705" w14:textId="2E890F92" w:rsidR="00427216" w:rsidRPr="001E7AA4" w:rsidRDefault="00427216" w:rsidP="00427216">
      <w:pPr>
        <w:rPr>
          <w:rStyle w:val="normaltextrun"/>
          <w:rFonts w:ascii="Calibri" w:hAnsi="Calibri" w:cs="Calibri"/>
          <w:i/>
          <w:iCs/>
          <w:color w:val="000000"/>
          <w:shd w:val="clear" w:color="auto" w:fill="FFFFFF"/>
        </w:rPr>
      </w:pPr>
      <w:r w:rsidRPr="001E7AA4">
        <w:rPr>
          <w:rStyle w:val="normaltextrun"/>
          <w:rFonts w:ascii="Calibri" w:hAnsi="Calibri" w:cs="Calibri"/>
          <w:i/>
          <w:iCs/>
        </w:rPr>
        <w:t>Our long-term success in joint research with neighbouring countries and international research collaborations has become even stronger, and many firms from around Asia are commissioning research from Australian universities.</w:t>
      </w:r>
      <w:r w:rsidRPr="001E7AA4">
        <w:rPr>
          <w:rStyle w:val="eop"/>
          <w:rFonts w:ascii="Calibri" w:hAnsi="Calibri" w:cs="Calibri"/>
          <w:i/>
        </w:rPr>
        <w:t xml:space="preserve"> Australia’s </w:t>
      </w:r>
      <w:r w:rsidR="0075614C" w:rsidRPr="001E7AA4">
        <w:rPr>
          <w:rStyle w:val="eop"/>
          <w:rFonts w:ascii="Calibri" w:hAnsi="Calibri" w:cs="Calibri"/>
          <w:i/>
        </w:rPr>
        <w:t>i</w:t>
      </w:r>
      <w:r w:rsidRPr="001E7AA4">
        <w:rPr>
          <w:rStyle w:val="eop"/>
          <w:rFonts w:ascii="Calibri" w:hAnsi="Calibri" w:cs="Calibri"/>
          <w:i/>
        </w:rPr>
        <w:t xml:space="preserve">nternational </w:t>
      </w:r>
      <w:r w:rsidR="0075614C" w:rsidRPr="001E7AA4">
        <w:rPr>
          <w:rStyle w:val="eop"/>
          <w:rFonts w:ascii="Calibri" w:hAnsi="Calibri" w:cs="Calibri"/>
          <w:i/>
        </w:rPr>
        <w:t>e</w:t>
      </w:r>
      <w:r w:rsidRPr="001E7AA4">
        <w:rPr>
          <w:rStyle w:val="eop"/>
          <w:rFonts w:ascii="Calibri" w:hAnsi="Calibri" w:cs="Calibri"/>
          <w:i/>
        </w:rPr>
        <w:t xml:space="preserve">ducation sector has helped Australia pursue its global priorities, including through soft diplomacy. </w:t>
      </w:r>
      <w:r w:rsidR="009E5F3D" w:rsidRPr="001E7AA4">
        <w:rPr>
          <w:rStyle w:val="normaltextrun"/>
          <w:rFonts w:ascii="Calibri" w:hAnsi="Calibri" w:cs="Calibri"/>
          <w:i/>
          <w:iCs/>
          <w:color w:val="000000"/>
          <w:shd w:val="clear" w:color="auto" w:fill="FFFFFF"/>
        </w:rPr>
        <w:t>Our</w:t>
      </w:r>
      <w:r w:rsidRPr="001E7AA4">
        <w:rPr>
          <w:rStyle w:val="normaltextrun"/>
          <w:rFonts w:ascii="Calibri" w:hAnsi="Calibri" w:cs="Calibri"/>
          <w:i/>
          <w:iCs/>
          <w:color w:val="000000"/>
          <w:shd w:val="clear" w:color="auto" w:fill="FFFFFF"/>
        </w:rPr>
        <w:t xml:space="preserve"> deep connections and partnerships with a range of countries have grown investment, trade, and knowledge exchange, and </w:t>
      </w:r>
      <w:r w:rsidRPr="001E7AA4">
        <w:rPr>
          <w:rStyle w:val="normaltextrun"/>
          <w:rFonts w:ascii="Calibri" w:hAnsi="Calibri" w:cs="Calibri"/>
          <w:i/>
          <w:iCs/>
          <w:color w:val="000000"/>
        </w:rPr>
        <w:t>reinforced our strong reputation as a global leader in international education</w:t>
      </w:r>
      <w:r w:rsidRPr="001E7AA4">
        <w:rPr>
          <w:rStyle w:val="normaltextrun"/>
          <w:rFonts w:ascii="Calibri" w:hAnsi="Calibri" w:cs="Calibri"/>
          <w:i/>
          <w:iCs/>
          <w:color w:val="000000"/>
          <w:shd w:val="clear" w:color="auto" w:fill="FFFFFF"/>
        </w:rPr>
        <w:t xml:space="preserve">. </w:t>
      </w:r>
    </w:p>
    <w:p w14:paraId="22F9561E" w14:textId="6E380F05" w:rsidR="00427216" w:rsidRPr="001E7AA4" w:rsidRDefault="00295DA2" w:rsidP="00427216">
      <w:pPr>
        <w:rPr>
          <w:rFonts w:ascii="Segoe UI" w:hAnsi="Segoe UI" w:cs="Segoe UI"/>
          <w:i/>
          <w:iCs/>
          <w:sz w:val="18"/>
          <w:szCs w:val="18"/>
        </w:rPr>
      </w:pPr>
      <w:r w:rsidRPr="001E7AA4">
        <w:rPr>
          <w:rStyle w:val="normaltextrun"/>
          <w:rFonts w:ascii="Calibri" w:hAnsi="Calibri" w:cs="Calibri"/>
          <w:i/>
          <w:iCs/>
          <w:color w:val="000000"/>
          <w:shd w:val="clear" w:color="auto" w:fill="FFFFFF"/>
        </w:rPr>
        <w:t>Education of i</w:t>
      </w:r>
      <w:r w:rsidR="00427216" w:rsidRPr="001E7AA4">
        <w:rPr>
          <w:rStyle w:val="normaltextrun"/>
          <w:rFonts w:ascii="Calibri" w:hAnsi="Calibri" w:cs="Calibri"/>
          <w:i/>
          <w:iCs/>
          <w:color w:val="000000"/>
          <w:shd w:val="clear" w:color="auto" w:fill="FFFFFF"/>
        </w:rPr>
        <w:t>nternational students</w:t>
      </w:r>
      <w:r w:rsidR="0030356A" w:rsidRPr="001E7AA4">
        <w:rPr>
          <w:rStyle w:val="normaltextrun"/>
          <w:rFonts w:ascii="Calibri" w:hAnsi="Calibri" w:cs="Calibri"/>
          <w:i/>
          <w:iCs/>
          <w:color w:val="000000"/>
          <w:shd w:val="clear" w:color="auto" w:fill="FFFFFF"/>
        </w:rPr>
        <w:t xml:space="preserve"> is highly valued as a core component of the mission of the </w:t>
      </w:r>
      <w:r w:rsidR="0030356A" w:rsidRPr="001E7AA4" w:rsidDel="00146F5A">
        <w:rPr>
          <w:rStyle w:val="normaltextrun"/>
          <w:rFonts w:ascii="Calibri" w:hAnsi="Calibri" w:cs="Calibri"/>
          <w:i/>
          <w:iCs/>
          <w:color w:val="000000"/>
          <w:shd w:val="clear" w:color="auto" w:fill="FFFFFF"/>
        </w:rPr>
        <w:t>sector</w:t>
      </w:r>
      <w:r w:rsidR="00146F5A" w:rsidRPr="001E7AA4">
        <w:rPr>
          <w:rStyle w:val="normaltextrun"/>
          <w:rFonts w:ascii="Calibri" w:hAnsi="Calibri" w:cs="Calibri"/>
          <w:i/>
          <w:iCs/>
          <w:color w:val="000000"/>
          <w:shd w:val="clear" w:color="auto" w:fill="FFFFFF"/>
        </w:rPr>
        <w:t xml:space="preserve"> and</w:t>
      </w:r>
      <w:r w:rsidR="00427216" w:rsidRPr="001E7AA4">
        <w:rPr>
          <w:rStyle w:val="normaltextrun"/>
          <w:rFonts w:ascii="Calibri" w:hAnsi="Calibri" w:cs="Calibri"/>
          <w:i/>
          <w:iCs/>
          <w:color w:val="000000"/>
          <w:shd w:val="clear" w:color="auto" w:fill="FFFFFF"/>
        </w:rPr>
        <w:t xml:space="preserve"> continue</w:t>
      </w:r>
      <w:r w:rsidR="0030356A" w:rsidRPr="001E7AA4">
        <w:rPr>
          <w:rStyle w:val="normaltextrun"/>
          <w:rFonts w:ascii="Calibri" w:hAnsi="Calibri" w:cs="Calibri"/>
          <w:i/>
          <w:iCs/>
          <w:color w:val="000000"/>
          <w:shd w:val="clear" w:color="auto" w:fill="FFFFFF"/>
        </w:rPr>
        <w:t>s</w:t>
      </w:r>
      <w:r w:rsidR="00427216" w:rsidRPr="001E7AA4">
        <w:rPr>
          <w:rStyle w:val="normaltextrun"/>
          <w:rFonts w:ascii="Calibri" w:hAnsi="Calibri" w:cs="Calibri"/>
          <w:i/>
          <w:iCs/>
          <w:color w:val="000000"/>
          <w:shd w:val="clear" w:color="auto" w:fill="FFFFFF"/>
        </w:rPr>
        <w:t xml:space="preserve"> to be a significant source of revenue for Australian universities</w:t>
      </w:r>
      <w:r w:rsidR="0030356A" w:rsidRPr="001E7AA4">
        <w:rPr>
          <w:rStyle w:val="normaltextrun"/>
          <w:rFonts w:ascii="Calibri" w:hAnsi="Calibri" w:cs="Calibri"/>
          <w:i/>
          <w:iCs/>
          <w:color w:val="000000"/>
          <w:shd w:val="clear" w:color="auto" w:fill="FFFFFF"/>
        </w:rPr>
        <w:t>. There is</w:t>
      </w:r>
      <w:r w:rsidR="00427216" w:rsidRPr="001E7AA4">
        <w:rPr>
          <w:rStyle w:val="eop"/>
          <w:rFonts w:ascii="Calibri" w:hAnsi="Calibri" w:cs="Calibri"/>
          <w:i/>
        </w:rPr>
        <w:t xml:space="preserve"> increased diversity of source markets and delivery methods</w:t>
      </w:r>
      <w:r w:rsidR="00427216" w:rsidRPr="001E7AA4">
        <w:rPr>
          <w:rStyle w:val="normaltextrun"/>
          <w:rFonts w:ascii="Calibri" w:hAnsi="Calibri" w:cs="Calibri"/>
          <w:i/>
          <w:iCs/>
          <w:color w:val="000000"/>
          <w:shd w:val="clear" w:color="auto" w:fill="FFFFFF"/>
        </w:rPr>
        <w:t>. Educational enrolment and pathways are aligned with the migration settings and visa system</w:t>
      </w:r>
      <w:r w:rsidR="00427216" w:rsidRPr="001E7AA4">
        <w:rPr>
          <w:rStyle w:val="eop"/>
          <w:rFonts w:ascii="Calibri" w:hAnsi="Calibri" w:cs="Calibri"/>
          <w:i/>
        </w:rPr>
        <w:t xml:space="preserve"> to ensure that international students can contribute to Australia’s skills needs and</w:t>
      </w:r>
      <w:r w:rsidR="00427216" w:rsidRPr="001E7AA4">
        <w:rPr>
          <w:rStyle w:val="normaltextrun"/>
          <w:rFonts w:ascii="Calibri" w:hAnsi="Calibri" w:cs="Calibri"/>
          <w:i/>
          <w:iCs/>
          <w:color w:val="000000"/>
          <w:shd w:val="clear" w:color="auto" w:fill="FFFFFF"/>
        </w:rPr>
        <w:t xml:space="preserve"> participate successfully in a growing international community. </w:t>
      </w:r>
      <w:r w:rsidR="00427216" w:rsidRPr="001E7AA4">
        <w:rPr>
          <w:rStyle w:val="normaltextrun"/>
          <w:rFonts w:ascii="Calibri" w:hAnsi="Calibri" w:cs="Calibri"/>
          <w:i/>
          <w:iCs/>
        </w:rPr>
        <w:t>Australian tertiary education providers have also extended their success in providing transnational education services and partnerships, especially across the Indo-Pacific region.</w:t>
      </w:r>
    </w:p>
    <w:p w14:paraId="52697492" w14:textId="06B95DB4" w:rsidR="00427216" w:rsidRPr="001E7AA4" w:rsidRDefault="00427216" w:rsidP="00427216">
      <w:pPr>
        <w:rPr>
          <w:i/>
          <w:iCs/>
          <w:lang w:val="en-GB"/>
        </w:rPr>
      </w:pPr>
      <w:r w:rsidRPr="001E7AA4">
        <w:rPr>
          <w:i/>
          <w:iCs/>
        </w:rPr>
        <w:t xml:space="preserve">The </w:t>
      </w:r>
      <w:r w:rsidR="009E5F3D" w:rsidRPr="001E7AA4">
        <w:rPr>
          <w:i/>
          <w:iCs/>
        </w:rPr>
        <w:t xml:space="preserve">sector’s success </w:t>
      </w:r>
      <w:r w:rsidRPr="001E7AA4">
        <w:rPr>
          <w:i/>
          <w:iCs/>
        </w:rPr>
        <w:t xml:space="preserve">in delivering skills, knowledge and equity is underpinned by enduring and stable funding and governance architecture. Governing bodies, notably university councils, proactively foster positive institutional cultures that are transparent and able to deliver strategically, whilst retaining a strong commitment to staff satisfaction and student experience, safety, and wellbeing. Councils comprise members with business expertise, but also those who know and appreciate the unique characteristics of higher education. </w:t>
      </w:r>
      <w:r w:rsidRPr="001E7AA4">
        <w:rPr>
          <w:rFonts w:ascii="Calibri" w:eastAsia="Calibri" w:hAnsi="Calibri" w:cs="Calibri"/>
          <w:i/>
          <w:iCs/>
          <w:lang w:val="en-GB"/>
        </w:rPr>
        <w:t>Students are recognised as integral stakeholders and treated as partners in decision-making processes. The obligations and needs of students are embedded in the day-to-day operations and strategies of institutions.</w:t>
      </w:r>
    </w:p>
    <w:p w14:paraId="32A9DD4E" w14:textId="77777777" w:rsidR="00427216" w:rsidRPr="001E7AA4" w:rsidRDefault="00427216" w:rsidP="00427216">
      <w:pPr>
        <w:rPr>
          <w:i/>
          <w:iCs/>
        </w:rPr>
      </w:pPr>
      <w:r w:rsidRPr="001E7AA4">
        <w:rPr>
          <w:i/>
          <w:iCs/>
        </w:rPr>
        <w:t xml:space="preserve">Policy, funding and regulatory settings align across governments, regulators and industry bodies, enabling institutions to specialise in and deliver to their areas of strength and advantage. While higher education and VET institutions continue to be identified by their highly distinct missions and characteristics, the tertiary education sector works effectively as a whole system to meet the education, skills, and research needs of the nation. </w:t>
      </w:r>
    </w:p>
    <w:p w14:paraId="399BD220" w14:textId="77777777" w:rsidR="00427216" w:rsidRPr="001E7AA4" w:rsidRDefault="00427216" w:rsidP="00427216">
      <w:pPr>
        <w:rPr>
          <w:i/>
          <w:iCs/>
        </w:rPr>
      </w:pPr>
      <w:r w:rsidRPr="001E7AA4">
        <w:rPr>
          <w:rFonts w:eastAsia="Calibri"/>
          <w:i/>
          <w:iCs/>
        </w:rPr>
        <w:t>A new system of national governance has driven greater alignment across the tertiary education system</w:t>
      </w:r>
      <w:r w:rsidRPr="001E7AA4">
        <w:rPr>
          <w:i/>
          <w:iCs/>
        </w:rPr>
        <w:t>. HELP remains a major feature of higher education funding, but the reforms arising from the Accord review process have meant that it is seen as fairer, simpler and more equitable.</w:t>
      </w:r>
    </w:p>
    <w:p w14:paraId="29D8F8D5" w14:textId="75596429" w:rsidR="00427216" w:rsidRPr="001E7AA4" w:rsidRDefault="00427216" w:rsidP="2B468386">
      <w:pPr>
        <w:rPr>
          <w:i/>
          <w:iCs/>
        </w:rPr>
      </w:pPr>
      <w:r w:rsidRPr="001E7AA4">
        <w:rPr>
          <w:i/>
          <w:iCs/>
        </w:rPr>
        <w:t xml:space="preserve">The learning and teaching funding system has helped ensure that Australia produces the graduates it needs in the fields and geographical locations they are most needed, while also ensuring equity of opportunity for all by transforming lives and communities. </w:t>
      </w:r>
      <w:r w:rsidR="00F877C5" w:rsidRPr="001E7AA4">
        <w:rPr>
          <w:i/>
          <w:iCs/>
        </w:rPr>
        <w:t xml:space="preserve">Funding relates to national skills needs, student characteristics and choices, rather than historical allocations. </w:t>
      </w:r>
      <w:r w:rsidRPr="001E7AA4">
        <w:rPr>
          <w:i/>
          <w:iCs/>
        </w:rPr>
        <w:t xml:space="preserve">Universities receive sufficient </w:t>
      </w:r>
      <w:r w:rsidRPr="001E7AA4">
        <w:rPr>
          <w:i/>
          <w:iCs/>
        </w:rPr>
        <w:lastRenderedPageBreak/>
        <w:t xml:space="preserve">funding to enable their ongoing financial health and continued high-quality delivery, including to provide appropriate scaffolding support to students who were once underrepresented in the system. </w:t>
      </w:r>
    </w:p>
    <w:p w14:paraId="03CEC9BE" w14:textId="104C689B" w:rsidR="00427216" w:rsidRPr="001E7AA4" w:rsidRDefault="00427216" w:rsidP="00427216">
      <w:pPr>
        <w:rPr>
          <w:rFonts w:cstheme="minorHAnsi"/>
          <w:i/>
          <w:iCs/>
          <w:color w:val="000000"/>
          <w:lang w:val="en-GB"/>
        </w:rPr>
      </w:pPr>
      <w:r w:rsidRPr="001E7AA4">
        <w:rPr>
          <w:rFonts w:cstheme="minorHAnsi"/>
          <w:i/>
          <w:iCs/>
          <w:color w:val="000000"/>
          <w:lang w:val="en-GB"/>
        </w:rPr>
        <w:t>Higher education research is funded sustainably ensuring a strong research and innovation base for Australia with adequate workforce capacity and infrastructure, underpinning national and international collaboration</w:t>
      </w:r>
      <w:r w:rsidR="009E5F3D" w:rsidRPr="001E7AA4">
        <w:rPr>
          <w:rFonts w:cstheme="minorHAnsi"/>
          <w:i/>
          <w:iCs/>
          <w:color w:val="000000"/>
          <w:lang w:val="en-GB"/>
        </w:rPr>
        <w:t>.</w:t>
      </w:r>
      <w:r w:rsidRPr="001E7AA4">
        <w:rPr>
          <w:rFonts w:cstheme="minorHAnsi"/>
          <w:i/>
          <w:iCs/>
          <w:color w:val="000000"/>
          <w:lang w:val="en-GB"/>
        </w:rPr>
        <w:t xml:space="preserve"> Governments and industry make heavy use of higher education research and research capability to solve large, complex problems.</w:t>
      </w:r>
    </w:p>
    <w:p w14:paraId="2C6011F5" w14:textId="5E55CE36" w:rsidR="00632104" w:rsidRPr="001E7AA4" w:rsidRDefault="00427216" w:rsidP="009518B9">
      <w:pPr>
        <w:rPr>
          <w:rFonts w:ascii="Calibri" w:hAnsi="Calibri" w:cs="Calibri"/>
          <w:color w:val="000000"/>
        </w:rPr>
      </w:pPr>
      <w:r w:rsidRPr="001E7AA4">
        <w:rPr>
          <w:i/>
          <w:iCs/>
        </w:rPr>
        <w:t>Importantly, all stakeholders – higher education institutions and providers, their students, staff, and alumni; governments; businesses; unions; professional bodies; and community organisations – have shared stewardship of Australia’s higher education system through the Accord process facilitated by the T</w:t>
      </w:r>
      <w:r w:rsidR="009E5F3D" w:rsidRPr="001E7AA4">
        <w:rPr>
          <w:i/>
          <w:iCs/>
        </w:rPr>
        <w:t xml:space="preserve">ertiary Education Commission. </w:t>
      </w:r>
      <w:r w:rsidRPr="001E7AA4">
        <w:rPr>
          <w:i/>
          <w:iCs/>
        </w:rPr>
        <w:t>This has been the bedrock of deep change and reform</w:t>
      </w:r>
      <w:r w:rsidRPr="001E7AA4">
        <w:rPr>
          <w:rStyle w:val="normaltextrun"/>
          <w:rFonts w:cstheme="minorHAnsi"/>
          <w:i/>
          <w:iCs/>
        </w:rPr>
        <w:t xml:space="preserve"> to Australia’s higher education. </w:t>
      </w:r>
      <w:r w:rsidRPr="001E7AA4">
        <w:rPr>
          <w:rStyle w:val="normaltextrun"/>
          <w:rFonts w:cstheme="minorHAnsi"/>
          <w:i/>
          <w:iCs/>
          <w:lang w:eastAsia="en-AU"/>
        </w:rPr>
        <w:t xml:space="preserve">Australia is a stronger nation as a result. </w:t>
      </w:r>
    </w:p>
    <w:p w14:paraId="78B40D51" w14:textId="5A2D04AF" w:rsidR="00632104" w:rsidRPr="001E7AA4" w:rsidRDefault="00632104">
      <w:pPr>
        <w:spacing w:after="160"/>
        <w:rPr>
          <w:rFonts w:ascii="Calibri" w:hAnsi="Calibri" w:cs="Calibri"/>
          <w:color w:val="000000"/>
        </w:rPr>
      </w:pPr>
      <w:r w:rsidRPr="001E7AA4">
        <w:rPr>
          <w:rFonts w:ascii="Calibri" w:hAnsi="Calibri" w:cs="Calibri"/>
          <w:color w:val="000000"/>
        </w:rPr>
        <w:br w:type="page"/>
      </w:r>
    </w:p>
    <w:p w14:paraId="622FC220" w14:textId="04966834" w:rsidR="00632104" w:rsidRPr="001E7AA4" w:rsidRDefault="22FC77A2" w:rsidP="00F63BDA">
      <w:pPr>
        <w:pStyle w:val="Heading2"/>
        <w:spacing w:line="168" w:lineRule="auto"/>
      </w:pPr>
      <w:bookmarkStart w:id="24" w:name="_Toc137829518"/>
      <w:bookmarkStart w:id="25" w:name="_Toc1934906444"/>
      <w:bookmarkStart w:id="26" w:name="_Toc139028850"/>
      <w:r w:rsidRPr="001E7AA4">
        <w:lastRenderedPageBreak/>
        <w:t>Ten</w:t>
      </w:r>
      <w:r w:rsidR="00C446CB" w:rsidRPr="001E7AA4">
        <w:t xml:space="preserve"> possible</w:t>
      </w:r>
      <w:r w:rsidRPr="001E7AA4">
        <w:t xml:space="preserve"> ‘system shifts’ </w:t>
      </w:r>
      <w:r w:rsidR="51D70737" w:rsidRPr="001E7AA4">
        <w:t>to</w:t>
      </w:r>
      <w:r w:rsidR="00F63BDA">
        <w:t> </w:t>
      </w:r>
      <w:r w:rsidR="51D70737" w:rsidRPr="001E7AA4">
        <w:t>improve Australia’s higher education system</w:t>
      </w:r>
      <w:bookmarkEnd w:id="24"/>
      <w:bookmarkEnd w:id="25"/>
      <w:bookmarkEnd w:id="26"/>
      <w:r w:rsidRPr="001E7AA4">
        <w:t xml:space="preserve"> </w:t>
      </w:r>
    </w:p>
    <w:p w14:paraId="25C148CA" w14:textId="77777777" w:rsidR="00DB4839" w:rsidRPr="001E7AA4" w:rsidRDefault="00632104" w:rsidP="00F63BDA">
      <w:pPr>
        <w:spacing w:after="120" w:line="240" w:lineRule="auto"/>
        <w:rPr>
          <w:rFonts w:ascii="Calibri" w:hAnsi="Calibri" w:cs="Calibri"/>
          <w:color w:val="000000"/>
        </w:rPr>
      </w:pPr>
      <w:r w:rsidRPr="001E7AA4">
        <w:rPr>
          <w:rFonts w:ascii="Calibri" w:hAnsi="Calibri" w:cs="Calibri"/>
          <w:color w:val="000000"/>
        </w:rPr>
        <w:t xml:space="preserve">A review of this kind necessarily </w:t>
      </w:r>
      <w:r w:rsidR="00DB4839" w:rsidRPr="001E7AA4">
        <w:rPr>
          <w:rFonts w:ascii="Calibri" w:hAnsi="Calibri" w:cs="Calibri"/>
          <w:color w:val="000000"/>
        </w:rPr>
        <w:t xml:space="preserve">highlights and </w:t>
      </w:r>
      <w:r w:rsidRPr="001E7AA4">
        <w:rPr>
          <w:rFonts w:ascii="Calibri" w:hAnsi="Calibri" w:cs="Calibri"/>
          <w:color w:val="000000"/>
        </w:rPr>
        <w:t xml:space="preserve">addresses areas of underperformance to indicate where improvements are needed. </w:t>
      </w:r>
    </w:p>
    <w:p w14:paraId="64C00993" w14:textId="7FDFBEED" w:rsidR="00632104" w:rsidRPr="001E7AA4" w:rsidRDefault="00DB4839" w:rsidP="00D90653">
      <w:pPr>
        <w:spacing w:line="240" w:lineRule="auto"/>
        <w:rPr>
          <w:rFonts w:ascii="Calibri" w:hAnsi="Calibri" w:cs="Calibri"/>
          <w:color w:val="000000"/>
        </w:rPr>
      </w:pPr>
      <w:r w:rsidRPr="001E7AA4">
        <w:rPr>
          <w:rFonts w:ascii="Calibri" w:hAnsi="Calibri" w:cs="Calibri"/>
          <w:color w:val="000000"/>
        </w:rPr>
        <w:t xml:space="preserve">In this section of the Interim Report, we take a look at </w:t>
      </w:r>
      <w:r w:rsidR="00C446CB" w:rsidRPr="001E7AA4">
        <w:rPr>
          <w:rFonts w:ascii="Calibri" w:hAnsi="Calibri" w:cs="Calibri"/>
          <w:color w:val="000000"/>
        </w:rPr>
        <w:t xml:space="preserve">the Review’s analysis </w:t>
      </w:r>
      <w:r w:rsidR="00632104" w:rsidRPr="001E7AA4">
        <w:rPr>
          <w:rFonts w:ascii="Calibri" w:hAnsi="Calibri" w:cs="Calibri"/>
          <w:color w:val="000000"/>
        </w:rPr>
        <w:t xml:space="preserve">from another and more positive angle: How will the changes being proposed </w:t>
      </w:r>
      <w:r w:rsidRPr="001E7AA4">
        <w:rPr>
          <w:rFonts w:ascii="Calibri" w:hAnsi="Calibri" w:cs="Calibri"/>
          <w:color w:val="000000"/>
        </w:rPr>
        <w:t xml:space="preserve">combine and </w:t>
      </w:r>
      <w:r w:rsidR="00632104" w:rsidRPr="001E7AA4">
        <w:rPr>
          <w:rFonts w:ascii="Calibri" w:hAnsi="Calibri" w:cs="Calibri"/>
          <w:color w:val="000000"/>
        </w:rPr>
        <w:t xml:space="preserve">work their way through the higher education system </w:t>
      </w:r>
      <w:r w:rsidRPr="001E7AA4">
        <w:rPr>
          <w:rFonts w:ascii="Calibri" w:hAnsi="Calibri" w:cs="Calibri"/>
          <w:color w:val="000000"/>
        </w:rPr>
        <w:t xml:space="preserve">to </w:t>
      </w:r>
      <w:r w:rsidR="00632104" w:rsidRPr="001E7AA4">
        <w:rPr>
          <w:rFonts w:ascii="Calibri" w:hAnsi="Calibri" w:cs="Calibri"/>
          <w:color w:val="000000"/>
        </w:rPr>
        <w:t>help meet our knowledge and skill</w:t>
      </w:r>
      <w:r w:rsidR="00E03168" w:rsidRPr="001E7AA4">
        <w:rPr>
          <w:rFonts w:ascii="Calibri" w:hAnsi="Calibri" w:cs="Calibri"/>
          <w:color w:val="000000"/>
        </w:rPr>
        <w:t>s</w:t>
      </w:r>
      <w:r w:rsidR="00632104" w:rsidRPr="001E7AA4">
        <w:rPr>
          <w:rFonts w:ascii="Calibri" w:hAnsi="Calibri" w:cs="Calibri"/>
          <w:color w:val="000000"/>
        </w:rPr>
        <w:t xml:space="preserve"> needs? </w:t>
      </w:r>
    </w:p>
    <w:p w14:paraId="3DE43B11" w14:textId="08238FB2" w:rsidR="00632104" w:rsidRPr="001E7AA4" w:rsidRDefault="00DB4839" w:rsidP="00FC48E8">
      <w:pPr>
        <w:keepNext/>
        <w:spacing w:after="0" w:line="240" w:lineRule="auto"/>
        <w:rPr>
          <w:rFonts w:ascii="Calibri" w:hAnsi="Calibri" w:cs="Calibri"/>
          <w:color w:val="000000"/>
        </w:rPr>
      </w:pPr>
      <w:r w:rsidRPr="001E7AA4">
        <w:rPr>
          <w:rFonts w:ascii="Calibri" w:hAnsi="Calibri" w:cs="Calibri"/>
          <w:color w:val="000000"/>
        </w:rPr>
        <w:t xml:space="preserve">The goals of this improved system are straightforward. </w:t>
      </w:r>
      <w:r w:rsidR="00632104" w:rsidRPr="001E7AA4">
        <w:rPr>
          <w:rFonts w:ascii="Calibri" w:hAnsi="Calibri" w:cs="Calibri"/>
          <w:color w:val="000000"/>
        </w:rPr>
        <w:t>Over the next decade, if Australian higher education is to play its role of ‘powering progress</w:t>
      </w:r>
      <w:r w:rsidR="00275732" w:rsidRPr="001E7AA4">
        <w:rPr>
          <w:rFonts w:ascii="Calibri" w:hAnsi="Calibri" w:cs="Calibri"/>
          <w:color w:val="000000"/>
        </w:rPr>
        <w:t>,</w:t>
      </w:r>
      <w:r w:rsidR="00632104" w:rsidRPr="001E7AA4">
        <w:rPr>
          <w:rFonts w:ascii="Calibri" w:hAnsi="Calibri" w:cs="Calibri"/>
          <w:color w:val="000000"/>
        </w:rPr>
        <w:t>’ it must find ways of:</w:t>
      </w:r>
    </w:p>
    <w:p w14:paraId="77BABEC2" w14:textId="1CD4C789" w:rsidR="00632104" w:rsidRPr="001E7AA4" w:rsidRDefault="00632104" w:rsidP="002D7F91">
      <w:pPr>
        <w:pStyle w:val="ListBullet"/>
        <w:spacing w:line="240" w:lineRule="auto"/>
      </w:pPr>
      <w:r w:rsidRPr="001E7AA4">
        <w:t>increasing the creation and use of knowledge to solve complex problems in every sector and every part of Australia</w:t>
      </w:r>
    </w:p>
    <w:p w14:paraId="52351289" w14:textId="4F8DC87A" w:rsidR="00632104" w:rsidRPr="001E7AA4" w:rsidRDefault="00632104" w:rsidP="002D7F91">
      <w:pPr>
        <w:pStyle w:val="ListBullet"/>
        <w:spacing w:line="240" w:lineRule="auto"/>
      </w:pPr>
      <w:r w:rsidRPr="001E7AA4">
        <w:t>sharing this knowledge rapidly and effectively to lift the skills of the Australian workforce, including through continuous reskilling</w:t>
      </w:r>
    </w:p>
    <w:p w14:paraId="5914E790" w14:textId="77777777" w:rsidR="00632104" w:rsidRPr="001E7AA4" w:rsidRDefault="00632104" w:rsidP="002D7F91">
      <w:pPr>
        <w:pStyle w:val="ListBullet"/>
        <w:spacing w:line="240" w:lineRule="auto"/>
      </w:pPr>
      <w:r w:rsidRPr="001E7AA4">
        <w:t>lifting participation in higher and tertiary education for every part of Australia’s community, including those currently missing out</w:t>
      </w:r>
    </w:p>
    <w:p w14:paraId="12045855" w14:textId="77777777" w:rsidR="00632104" w:rsidRPr="001E7AA4" w:rsidRDefault="00632104" w:rsidP="002D7F91">
      <w:pPr>
        <w:pStyle w:val="ListBullet"/>
        <w:spacing w:line="240" w:lineRule="auto"/>
      </w:pPr>
      <w:r w:rsidRPr="001E7AA4">
        <w:t>developing partnership across communities, to strengthen a culture of respect for truth and evidence, and to foster inclusion, trust and democratic culture.</w:t>
      </w:r>
    </w:p>
    <w:p w14:paraId="4BBD6043" w14:textId="29F7850C" w:rsidR="00632104" w:rsidRPr="001E7AA4" w:rsidRDefault="00632104" w:rsidP="00D90653">
      <w:pPr>
        <w:spacing w:after="160" w:line="240" w:lineRule="auto"/>
      </w:pPr>
      <w:r w:rsidRPr="001E7AA4">
        <w:t xml:space="preserve">Success is going to require changes in the way the higher education system operates. The </w:t>
      </w:r>
      <w:r w:rsidR="00212D6B" w:rsidRPr="001E7AA4">
        <w:t>Review</w:t>
      </w:r>
      <w:r w:rsidRPr="001E7AA4">
        <w:t xml:space="preserve"> has identified ten emerging ‘system shifts’ that would help bring this positive change about over time. We therefore propose the question: What might the higher education system look like in 2035 as a result of </w:t>
      </w:r>
      <w:r w:rsidR="00715C17" w:rsidRPr="001E7AA4">
        <w:t>possible changes</w:t>
      </w:r>
      <w:r w:rsidR="00DA75B6" w:rsidRPr="001E7AA4">
        <w:t>?</w:t>
      </w:r>
    </w:p>
    <w:p w14:paraId="3B22CAB3" w14:textId="28D03EB7" w:rsidR="00632104" w:rsidRPr="001E7AA4" w:rsidRDefault="00DB4839" w:rsidP="00A025B1">
      <w:pPr>
        <w:pStyle w:val="NormalWeb"/>
        <w:numPr>
          <w:ilvl w:val="0"/>
          <w:numId w:val="8"/>
        </w:numPr>
        <w:spacing w:before="60" w:beforeAutospacing="0" w:after="60" w:afterAutospacing="0"/>
        <w:ind w:left="357" w:hanging="357"/>
        <w:rPr>
          <w:rFonts w:asciiTheme="minorHAnsi" w:hAnsiTheme="minorHAnsi" w:cstheme="minorBidi"/>
          <w:b/>
          <w:sz w:val="22"/>
          <w:szCs w:val="22"/>
        </w:rPr>
      </w:pPr>
      <w:r w:rsidRPr="001E7AA4">
        <w:rPr>
          <w:rFonts w:asciiTheme="minorHAnsi" w:hAnsiTheme="minorHAnsi" w:cstheme="minorBidi"/>
          <w:b/>
          <w:sz w:val="22"/>
          <w:szCs w:val="22"/>
        </w:rPr>
        <w:t>It will be an</w:t>
      </w:r>
      <w:r w:rsidR="00632104" w:rsidRPr="001E7AA4">
        <w:rPr>
          <w:rFonts w:asciiTheme="minorHAnsi" w:hAnsiTheme="minorHAnsi" w:cstheme="minorBidi"/>
          <w:b/>
          <w:sz w:val="22"/>
          <w:szCs w:val="22"/>
        </w:rPr>
        <w:t xml:space="preserve"> integrated tertiary system, with a commitment to access for everyone with the potential and application, achieving significant growth in pursuit of ambitious national skills and equity targets.</w:t>
      </w:r>
    </w:p>
    <w:p w14:paraId="2D36877B" w14:textId="48CE040F" w:rsidR="00632104" w:rsidRPr="001E7AA4" w:rsidRDefault="00632104" w:rsidP="00A025B1">
      <w:pPr>
        <w:pStyle w:val="NormalWeb"/>
        <w:numPr>
          <w:ilvl w:val="0"/>
          <w:numId w:val="8"/>
        </w:numPr>
        <w:spacing w:before="60" w:beforeAutospacing="0" w:after="60" w:afterAutospacing="0"/>
        <w:ind w:left="357" w:hanging="357"/>
        <w:rPr>
          <w:rFonts w:asciiTheme="minorHAnsi" w:hAnsiTheme="minorHAnsi" w:cstheme="minorHAnsi"/>
          <w:b/>
          <w:sz w:val="22"/>
          <w:szCs w:val="22"/>
        </w:rPr>
      </w:pPr>
      <w:r w:rsidRPr="001E7AA4">
        <w:rPr>
          <w:rFonts w:asciiTheme="minorHAnsi" w:hAnsiTheme="minorHAnsi" w:cstheme="minorHAnsi"/>
          <w:b/>
          <w:sz w:val="22"/>
          <w:szCs w:val="22"/>
        </w:rPr>
        <w:t xml:space="preserve">First Nations </w:t>
      </w:r>
      <w:r w:rsidR="00DB4839" w:rsidRPr="001E7AA4">
        <w:rPr>
          <w:rFonts w:asciiTheme="minorHAnsi" w:hAnsiTheme="minorHAnsi" w:cstheme="minorHAnsi"/>
          <w:b/>
          <w:sz w:val="22"/>
          <w:szCs w:val="22"/>
        </w:rPr>
        <w:t xml:space="preserve">will be </w:t>
      </w:r>
      <w:r w:rsidRPr="001E7AA4">
        <w:rPr>
          <w:rFonts w:asciiTheme="minorHAnsi" w:hAnsiTheme="minorHAnsi" w:cstheme="minorHAnsi"/>
          <w:b/>
          <w:sz w:val="22"/>
          <w:szCs w:val="22"/>
        </w:rPr>
        <w:t>at the heart of higher education</w:t>
      </w:r>
      <w:r w:rsidR="009E5F3D" w:rsidRPr="001E7AA4">
        <w:rPr>
          <w:rFonts w:asciiTheme="minorHAnsi" w:hAnsiTheme="minorHAnsi" w:cstheme="minorHAnsi"/>
          <w:b/>
          <w:sz w:val="22"/>
          <w:szCs w:val="22"/>
        </w:rPr>
        <w:t>.</w:t>
      </w:r>
    </w:p>
    <w:p w14:paraId="120E2B5C" w14:textId="226FE9DD" w:rsidR="00632104" w:rsidRPr="001E7AA4" w:rsidRDefault="00DB4839" w:rsidP="00A025B1">
      <w:pPr>
        <w:pStyle w:val="NormalWeb"/>
        <w:numPr>
          <w:ilvl w:val="0"/>
          <w:numId w:val="8"/>
        </w:numPr>
        <w:spacing w:before="60" w:beforeAutospacing="0" w:after="60" w:afterAutospacing="0"/>
        <w:ind w:left="357" w:hanging="357"/>
        <w:rPr>
          <w:rFonts w:asciiTheme="minorHAnsi" w:hAnsiTheme="minorHAnsi" w:cstheme="minorHAnsi"/>
          <w:b/>
          <w:sz w:val="22"/>
          <w:szCs w:val="22"/>
        </w:rPr>
      </w:pPr>
      <w:r w:rsidRPr="001E7AA4">
        <w:rPr>
          <w:rFonts w:asciiTheme="minorHAnsi" w:hAnsiTheme="minorHAnsi" w:cstheme="minorHAnsi"/>
          <w:b/>
          <w:sz w:val="22"/>
          <w:szCs w:val="22"/>
        </w:rPr>
        <w:t>There will be p</w:t>
      </w:r>
      <w:r w:rsidR="00632104" w:rsidRPr="001E7AA4">
        <w:rPr>
          <w:rFonts w:asciiTheme="minorHAnsi" w:hAnsiTheme="minorHAnsi" w:cstheme="minorHAnsi"/>
          <w:b/>
          <w:sz w:val="22"/>
          <w:szCs w:val="22"/>
        </w:rPr>
        <w:t>opulation parity in participation by 2035, supported by student-centred, needs-based funding.</w:t>
      </w:r>
    </w:p>
    <w:p w14:paraId="65A83B7D" w14:textId="110E099F" w:rsidR="00632104" w:rsidRPr="001E7AA4" w:rsidRDefault="00DB4839" w:rsidP="00A025B1">
      <w:pPr>
        <w:pStyle w:val="NormalWeb"/>
        <w:numPr>
          <w:ilvl w:val="0"/>
          <w:numId w:val="8"/>
        </w:numPr>
        <w:spacing w:before="60" w:beforeAutospacing="0" w:after="60" w:afterAutospacing="0"/>
        <w:ind w:left="357" w:hanging="357"/>
        <w:rPr>
          <w:rFonts w:asciiTheme="minorHAnsi" w:hAnsiTheme="minorHAnsi" w:cstheme="minorHAnsi"/>
          <w:b/>
          <w:sz w:val="22"/>
          <w:szCs w:val="22"/>
        </w:rPr>
      </w:pPr>
      <w:r w:rsidRPr="001E7AA4">
        <w:rPr>
          <w:rFonts w:asciiTheme="minorHAnsi" w:hAnsiTheme="minorHAnsi" w:cstheme="minorHAnsi"/>
          <w:b/>
          <w:sz w:val="22"/>
          <w:szCs w:val="22"/>
        </w:rPr>
        <w:t>There will be s</w:t>
      </w:r>
      <w:r w:rsidR="00632104" w:rsidRPr="001E7AA4">
        <w:rPr>
          <w:rFonts w:asciiTheme="minorHAnsi" w:hAnsiTheme="minorHAnsi" w:cstheme="minorHAnsi"/>
          <w:b/>
          <w:sz w:val="22"/>
          <w:szCs w:val="22"/>
        </w:rPr>
        <w:t>ystematic investment in student support and equitable, efficient HELP arrangements</w:t>
      </w:r>
      <w:r w:rsidR="009E5F3D" w:rsidRPr="001E7AA4">
        <w:rPr>
          <w:rFonts w:asciiTheme="minorHAnsi" w:hAnsiTheme="minorHAnsi" w:cstheme="minorHAnsi"/>
          <w:b/>
          <w:sz w:val="22"/>
          <w:szCs w:val="22"/>
        </w:rPr>
        <w:t>.</w:t>
      </w:r>
    </w:p>
    <w:p w14:paraId="30BFEC80" w14:textId="7163F506" w:rsidR="00632104" w:rsidRPr="001E7AA4" w:rsidRDefault="00632104" w:rsidP="00A025B1">
      <w:pPr>
        <w:pStyle w:val="NormalWeb"/>
        <w:numPr>
          <w:ilvl w:val="0"/>
          <w:numId w:val="8"/>
        </w:numPr>
        <w:spacing w:before="60" w:beforeAutospacing="0" w:after="60" w:afterAutospacing="0"/>
        <w:ind w:left="357" w:hanging="357"/>
        <w:rPr>
          <w:rFonts w:asciiTheme="minorHAnsi" w:hAnsiTheme="minorHAnsi" w:cstheme="minorHAnsi"/>
          <w:b/>
          <w:sz w:val="22"/>
          <w:szCs w:val="22"/>
        </w:rPr>
      </w:pPr>
      <w:r w:rsidRPr="001E7AA4">
        <w:rPr>
          <w:rFonts w:asciiTheme="minorHAnsi" w:hAnsiTheme="minorHAnsi" w:cstheme="minorHAnsi"/>
          <w:b/>
          <w:sz w:val="22"/>
          <w:szCs w:val="22"/>
        </w:rPr>
        <w:t xml:space="preserve">Research </w:t>
      </w:r>
      <w:r w:rsidR="00DB4839" w:rsidRPr="001E7AA4">
        <w:rPr>
          <w:rFonts w:asciiTheme="minorHAnsi" w:hAnsiTheme="minorHAnsi" w:cstheme="minorHAnsi"/>
          <w:b/>
          <w:sz w:val="22"/>
          <w:szCs w:val="22"/>
        </w:rPr>
        <w:t xml:space="preserve">will be </w:t>
      </w:r>
      <w:r w:rsidRPr="001E7AA4">
        <w:rPr>
          <w:rFonts w:asciiTheme="minorHAnsi" w:hAnsiTheme="minorHAnsi" w:cstheme="minorHAnsi"/>
          <w:b/>
          <w:sz w:val="22"/>
          <w:szCs w:val="22"/>
        </w:rPr>
        <w:t xml:space="preserve">reprioritised, to strengthen its foundations and bring about widespread impact through translation and </w:t>
      </w:r>
      <w:r w:rsidR="00623065" w:rsidRPr="001E7AA4">
        <w:rPr>
          <w:rFonts w:asciiTheme="minorHAnsi" w:hAnsiTheme="minorHAnsi" w:cstheme="minorHAnsi"/>
          <w:b/>
          <w:sz w:val="22"/>
          <w:szCs w:val="22"/>
        </w:rPr>
        <w:t>use</w:t>
      </w:r>
      <w:r w:rsidR="009E5F3D" w:rsidRPr="001E7AA4">
        <w:rPr>
          <w:rFonts w:asciiTheme="minorHAnsi" w:hAnsiTheme="minorHAnsi" w:cstheme="minorHAnsi"/>
          <w:b/>
          <w:sz w:val="22"/>
          <w:szCs w:val="22"/>
        </w:rPr>
        <w:t>.</w:t>
      </w:r>
    </w:p>
    <w:p w14:paraId="3F16319B" w14:textId="594CCB89" w:rsidR="00632104" w:rsidRPr="001E7AA4" w:rsidRDefault="0065483C" w:rsidP="00A025B1">
      <w:pPr>
        <w:pStyle w:val="NormalWeb"/>
        <w:numPr>
          <w:ilvl w:val="0"/>
          <w:numId w:val="8"/>
        </w:numPr>
        <w:spacing w:before="60" w:beforeAutospacing="0" w:after="60" w:afterAutospacing="0"/>
        <w:ind w:left="357" w:hanging="357"/>
        <w:rPr>
          <w:rFonts w:asciiTheme="minorHAnsi" w:hAnsiTheme="minorHAnsi" w:cstheme="minorHAnsi"/>
          <w:b/>
          <w:sz w:val="22"/>
          <w:szCs w:val="22"/>
        </w:rPr>
      </w:pPr>
      <w:r w:rsidRPr="001E7AA4">
        <w:rPr>
          <w:rFonts w:asciiTheme="minorHAnsi" w:hAnsiTheme="minorHAnsi" w:cstheme="minorHAnsi"/>
          <w:b/>
          <w:sz w:val="22"/>
          <w:szCs w:val="22"/>
        </w:rPr>
        <w:t>L</w:t>
      </w:r>
      <w:r w:rsidR="00632104" w:rsidRPr="001E7AA4">
        <w:rPr>
          <w:rFonts w:asciiTheme="minorHAnsi" w:hAnsiTheme="minorHAnsi" w:cstheme="minorHAnsi"/>
          <w:b/>
          <w:sz w:val="22"/>
          <w:szCs w:val="22"/>
        </w:rPr>
        <w:t xml:space="preserve">earning </w:t>
      </w:r>
      <w:r w:rsidRPr="001E7AA4">
        <w:rPr>
          <w:rFonts w:asciiTheme="minorHAnsi" w:hAnsiTheme="minorHAnsi" w:cstheme="minorHAnsi"/>
          <w:b/>
          <w:sz w:val="22"/>
          <w:szCs w:val="22"/>
        </w:rPr>
        <w:t>and teaching</w:t>
      </w:r>
      <w:r w:rsidR="00632104" w:rsidRPr="001E7AA4">
        <w:rPr>
          <w:rFonts w:asciiTheme="minorHAnsi" w:hAnsiTheme="minorHAnsi" w:cstheme="minorHAnsi"/>
          <w:b/>
          <w:sz w:val="22"/>
          <w:szCs w:val="22"/>
        </w:rPr>
        <w:t xml:space="preserve"> </w:t>
      </w:r>
      <w:r w:rsidR="00DB4839" w:rsidRPr="001E7AA4">
        <w:rPr>
          <w:rFonts w:asciiTheme="minorHAnsi" w:hAnsiTheme="minorHAnsi" w:cstheme="minorHAnsi"/>
          <w:b/>
          <w:sz w:val="22"/>
          <w:szCs w:val="22"/>
        </w:rPr>
        <w:t xml:space="preserve">will be </w:t>
      </w:r>
      <w:r w:rsidR="00632104" w:rsidRPr="001E7AA4">
        <w:rPr>
          <w:rFonts w:asciiTheme="minorHAnsi" w:hAnsiTheme="minorHAnsi" w:cstheme="minorHAnsi"/>
          <w:b/>
          <w:sz w:val="22"/>
          <w:szCs w:val="22"/>
        </w:rPr>
        <w:t xml:space="preserve">transformed, with </w:t>
      </w:r>
      <w:r w:rsidR="00DB4839" w:rsidRPr="001E7AA4">
        <w:rPr>
          <w:rFonts w:asciiTheme="minorHAnsi" w:hAnsiTheme="minorHAnsi" w:cstheme="minorHAnsi"/>
          <w:b/>
          <w:sz w:val="22"/>
          <w:szCs w:val="22"/>
        </w:rPr>
        <w:t xml:space="preserve">an </w:t>
      </w:r>
      <w:r w:rsidR="00632104" w:rsidRPr="001E7AA4">
        <w:rPr>
          <w:rFonts w:asciiTheme="minorHAnsi" w:hAnsiTheme="minorHAnsi" w:cstheme="minorHAnsi"/>
          <w:b/>
          <w:sz w:val="22"/>
          <w:szCs w:val="22"/>
        </w:rPr>
        <w:t>ambitious commitment to student experience and use of technology</w:t>
      </w:r>
      <w:r w:rsidR="009E5F3D" w:rsidRPr="001E7AA4">
        <w:rPr>
          <w:rFonts w:asciiTheme="minorHAnsi" w:hAnsiTheme="minorHAnsi" w:cstheme="minorHAnsi"/>
          <w:b/>
          <w:sz w:val="22"/>
          <w:szCs w:val="22"/>
        </w:rPr>
        <w:t>.</w:t>
      </w:r>
    </w:p>
    <w:p w14:paraId="4A3DF45C" w14:textId="38E5C25B" w:rsidR="00632104" w:rsidRPr="001E7AA4" w:rsidRDefault="00632104" w:rsidP="00A025B1">
      <w:pPr>
        <w:pStyle w:val="NormalWeb"/>
        <w:numPr>
          <w:ilvl w:val="0"/>
          <w:numId w:val="8"/>
        </w:numPr>
        <w:spacing w:before="60" w:beforeAutospacing="0" w:after="60" w:afterAutospacing="0"/>
        <w:ind w:left="357" w:hanging="357"/>
        <w:rPr>
          <w:rFonts w:asciiTheme="minorHAnsi" w:hAnsiTheme="minorHAnsi" w:cstheme="minorBidi"/>
          <w:b/>
          <w:sz w:val="22"/>
          <w:szCs w:val="22"/>
        </w:rPr>
      </w:pPr>
      <w:r w:rsidRPr="001E7AA4">
        <w:rPr>
          <w:rFonts w:asciiTheme="minorHAnsi" w:hAnsiTheme="minorHAnsi" w:cstheme="minorBidi"/>
          <w:b/>
          <w:sz w:val="22"/>
          <w:szCs w:val="22"/>
        </w:rPr>
        <w:t xml:space="preserve">Higher </w:t>
      </w:r>
      <w:r w:rsidR="194AB249" w:rsidRPr="001E7AA4">
        <w:rPr>
          <w:rFonts w:asciiTheme="minorHAnsi" w:hAnsiTheme="minorHAnsi" w:cstheme="minorBidi"/>
          <w:b/>
          <w:sz w:val="22"/>
          <w:szCs w:val="22"/>
        </w:rPr>
        <w:t>e</w:t>
      </w:r>
      <w:r w:rsidR="2B40A144" w:rsidRPr="001E7AA4">
        <w:rPr>
          <w:rFonts w:asciiTheme="minorHAnsi" w:hAnsiTheme="minorHAnsi" w:cstheme="minorBidi"/>
          <w:b/>
          <w:sz w:val="22"/>
          <w:szCs w:val="22"/>
        </w:rPr>
        <w:t>ducation</w:t>
      </w:r>
      <w:r w:rsidRPr="001E7AA4">
        <w:rPr>
          <w:rFonts w:asciiTheme="minorHAnsi" w:hAnsiTheme="minorHAnsi" w:cstheme="minorBidi"/>
          <w:b/>
          <w:sz w:val="22"/>
          <w:szCs w:val="22"/>
        </w:rPr>
        <w:t xml:space="preserve"> and </w:t>
      </w:r>
      <w:r w:rsidR="5A92645A" w:rsidRPr="001E7AA4">
        <w:rPr>
          <w:rFonts w:asciiTheme="minorHAnsi" w:hAnsiTheme="minorHAnsi" w:cstheme="minorBidi"/>
          <w:b/>
          <w:sz w:val="22"/>
          <w:szCs w:val="22"/>
        </w:rPr>
        <w:t>v</w:t>
      </w:r>
      <w:r w:rsidR="2B40A144" w:rsidRPr="001E7AA4">
        <w:rPr>
          <w:rFonts w:asciiTheme="minorHAnsi" w:hAnsiTheme="minorHAnsi" w:cstheme="minorBidi"/>
          <w:b/>
          <w:sz w:val="22"/>
          <w:szCs w:val="22"/>
        </w:rPr>
        <w:t xml:space="preserve">ocational </w:t>
      </w:r>
      <w:r w:rsidR="558EEA37" w:rsidRPr="001E7AA4">
        <w:rPr>
          <w:rFonts w:asciiTheme="minorHAnsi" w:hAnsiTheme="minorHAnsi" w:cstheme="minorBidi"/>
          <w:b/>
          <w:sz w:val="22"/>
          <w:szCs w:val="22"/>
        </w:rPr>
        <w:t>e</w:t>
      </w:r>
      <w:r w:rsidR="2B40A144" w:rsidRPr="001E7AA4">
        <w:rPr>
          <w:rFonts w:asciiTheme="minorHAnsi" w:hAnsiTheme="minorHAnsi" w:cstheme="minorBidi"/>
          <w:b/>
          <w:sz w:val="22"/>
          <w:szCs w:val="22"/>
        </w:rPr>
        <w:t>ducation</w:t>
      </w:r>
      <w:r w:rsidRPr="001E7AA4">
        <w:rPr>
          <w:rFonts w:asciiTheme="minorHAnsi" w:hAnsiTheme="minorHAnsi" w:cstheme="minorBidi"/>
          <w:b/>
          <w:sz w:val="22"/>
          <w:szCs w:val="22"/>
        </w:rPr>
        <w:t xml:space="preserve"> </w:t>
      </w:r>
      <w:r w:rsidR="00DB4839" w:rsidRPr="001E7AA4">
        <w:rPr>
          <w:rFonts w:asciiTheme="minorHAnsi" w:hAnsiTheme="minorHAnsi" w:cstheme="minorBidi"/>
          <w:b/>
          <w:sz w:val="22"/>
          <w:szCs w:val="22"/>
        </w:rPr>
        <w:t xml:space="preserve">will be </w:t>
      </w:r>
      <w:r w:rsidRPr="001E7AA4">
        <w:rPr>
          <w:rFonts w:asciiTheme="minorHAnsi" w:hAnsiTheme="minorHAnsi" w:cstheme="minorBidi"/>
          <w:b/>
          <w:sz w:val="22"/>
          <w:szCs w:val="22"/>
        </w:rPr>
        <w:t xml:space="preserve">connected through pathways, partnership and </w:t>
      </w:r>
      <w:r w:rsidR="00146C87" w:rsidRPr="001E7AA4">
        <w:rPr>
          <w:rFonts w:asciiTheme="minorHAnsi" w:hAnsiTheme="minorHAnsi" w:cstheme="minorBidi"/>
          <w:b/>
          <w:sz w:val="22"/>
          <w:szCs w:val="22"/>
        </w:rPr>
        <w:t xml:space="preserve">an </w:t>
      </w:r>
      <w:r w:rsidRPr="001E7AA4">
        <w:rPr>
          <w:rFonts w:asciiTheme="minorHAnsi" w:hAnsiTheme="minorHAnsi" w:cstheme="minorBidi"/>
          <w:b/>
          <w:sz w:val="22"/>
          <w:szCs w:val="22"/>
        </w:rPr>
        <w:t>up to date qualifications</w:t>
      </w:r>
      <w:r w:rsidR="00B13910" w:rsidRPr="001E7AA4">
        <w:rPr>
          <w:rFonts w:asciiTheme="minorHAnsi" w:hAnsiTheme="minorHAnsi" w:cstheme="minorBidi"/>
          <w:b/>
          <w:sz w:val="22"/>
          <w:szCs w:val="22"/>
        </w:rPr>
        <w:t xml:space="preserve"> framework</w:t>
      </w:r>
      <w:r w:rsidR="009E5F3D" w:rsidRPr="001E7AA4">
        <w:rPr>
          <w:rFonts w:asciiTheme="minorHAnsi" w:hAnsiTheme="minorHAnsi" w:cstheme="minorBidi"/>
          <w:b/>
          <w:sz w:val="22"/>
          <w:szCs w:val="22"/>
        </w:rPr>
        <w:t>.</w:t>
      </w:r>
    </w:p>
    <w:p w14:paraId="7DFAAD46" w14:textId="7624B198" w:rsidR="00632104" w:rsidRPr="001E7AA4" w:rsidRDefault="00632104" w:rsidP="00A025B1">
      <w:pPr>
        <w:pStyle w:val="NormalWeb"/>
        <w:numPr>
          <w:ilvl w:val="0"/>
          <w:numId w:val="8"/>
        </w:numPr>
        <w:spacing w:before="60" w:beforeAutospacing="0" w:after="60" w:afterAutospacing="0"/>
        <w:ind w:left="357" w:hanging="357"/>
        <w:rPr>
          <w:rFonts w:asciiTheme="minorHAnsi" w:hAnsiTheme="minorHAnsi" w:cstheme="minorHAnsi"/>
          <w:b/>
          <w:sz w:val="22"/>
          <w:szCs w:val="22"/>
        </w:rPr>
      </w:pPr>
      <w:r w:rsidRPr="001E7AA4">
        <w:rPr>
          <w:rFonts w:asciiTheme="minorHAnsi" w:hAnsiTheme="minorHAnsi" w:cstheme="minorHAnsi"/>
          <w:b/>
          <w:sz w:val="22"/>
          <w:szCs w:val="22"/>
        </w:rPr>
        <w:t>Re</w:t>
      </w:r>
      <w:r w:rsidR="00BE55C4" w:rsidRPr="001E7AA4">
        <w:rPr>
          <w:rFonts w:asciiTheme="minorHAnsi" w:hAnsiTheme="minorHAnsi" w:cstheme="minorHAnsi"/>
          <w:b/>
          <w:sz w:val="22"/>
          <w:szCs w:val="22"/>
        </w:rPr>
        <w:t>-</w:t>
      </w:r>
      <w:r w:rsidRPr="001E7AA4">
        <w:rPr>
          <w:rFonts w:asciiTheme="minorHAnsi" w:hAnsiTheme="minorHAnsi" w:cstheme="minorHAnsi"/>
          <w:b/>
          <w:sz w:val="22"/>
          <w:szCs w:val="22"/>
        </w:rPr>
        <w:t xml:space="preserve">skilling and lifelong learning </w:t>
      </w:r>
      <w:r w:rsidR="00DB4839" w:rsidRPr="001E7AA4">
        <w:rPr>
          <w:rFonts w:asciiTheme="minorHAnsi" w:hAnsiTheme="minorHAnsi" w:cstheme="minorHAnsi"/>
          <w:b/>
          <w:sz w:val="22"/>
          <w:szCs w:val="22"/>
        </w:rPr>
        <w:t xml:space="preserve">will be provided </w:t>
      </w:r>
      <w:r w:rsidRPr="001E7AA4">
        <w:rPr>
          <w:rFonts w:asciiTheme="minorHAnsi" w:hAnsiTheme="minorHAnsi" w:cstheme="minorHAnsi"/>
          <w:b/>
          <w:sz w:val="22"/>
          <w:szCs w:val="22"/>
        </w:rPr>
        <w:t xml:space="preserve">through </w:t>
      </w:r>
      <w:r w:rsidR="00DB4839" w:rsidRPr="001E7AA4">
        <w:rPr>
          <w:rFonts w:asciiTheme="minorHAnsi" w:hAnsiTheme="minorHAnsi" w:cstheme="minorHAnsi"/>
          <w:b/>
          <w:sz w:val="22"/>
          <w:szCs w:val="22"/>
        </w:rPr>
        <w:t xml:space="preserve">more </w:t>
      </w:r>
      <w:r w:rsidRPr="001E7AA4">
        <w:rPr>
          <w:rFonts w:asciiTheme="minorHAnsi" w:hAnsiTheme="minorHAnsi" w:cstheme="minorHAnsi"/>
          <w:b/>
          <w:sz w:val="22"/>
          <w:szCs w:val="22"/>
        </w:rPr>
        <w:t>modular, stackable qualifications, including microcredentials, with full scaffolding and pathways</w:t>
      </w:r>
      <w:r w:rsidR="009E5F3D" w:rsidRPr="001E7AA4">
        <w:rPr>
          <w:rFonts w:asciiTheme="minorHAnsi" w:hAnsiTheme="minorHAnsi" w:cstheme="minorHAnsi"/>
          <w:b/>
          <w:sz w:val="22"/>
          <w:szCs w:val="22"/>
        </w:rPr>
        <w:t>.</w:t>
      </w:r>
    </w:p>
    <w:p w14:paraId="0435DBD5" w14:textId="058E25F0" w:rsidR="00632104" w:rsidRPr="001E7AA4" w:rsidRDefault="2F4D6BD3" w:rsidP="00A025B1">
      <w:pPr>
        <w:pStyle w:val="NormalWeb"/>
        <w:numPr>
          <w:ilvl w:val="0"/>
          <w:numId w:val="8"/>
        </w:numPr>
        <w:spacing w:before="60" w:beforeAutospacing="0" w:after="60" w:afterAutospacing="0"/>
        <w:ind w:left="357" w:hanging="357"/>
        <w:rPr>
          <w:rFonts w:asciiTheme="minorHAnsi" w:hAnsiTheme="minorHAnsi" w:cstheme="minorBidi"/>
          <w:b/>
          <w:sz w:val="22"/>
          <w:szCs w:val="22"/>
        </w:rPr>
      </w:pPr>
      <w:r w:rsidRPr="001E7AA4">
        <w:rPr>
          <w:rFonts w:asciiTheme="minorHAnsi" w:hAnsiTheme="minorHAnsi" w:cstheme="minorBidi"/>
          <w:b/>
          <w:sz w:val="22"/>
          <w:szCs w:val="22"/>
        </w:rPr>
        <w:t xml:space="preserve">A new approach to </w:t>
      </w:r>
      <w:r w:rsidR="00881AA6" w:rsidRPr="001E7AA4">
        <w:rPr>
          <w:rFonts w:asciiTheme="minorHAnsi" w:hAnsiTheme="minorHAnsi" w:cstheme="minorBidi"/>
          <w:b/>
          <w:sz w:val="22"/>
          <w:szCs w:val="22"/>
        </w:rPr>
        <w:t>m</w:t>
      </w:r>
      <w:r w:rsidR="00632104" w:rsidRPr="001E7AA4">
        <w:rPr>
          <w:rFonts w:asciiTheme="minorHAnsi" w:hAnsiTheme="minorHAnsi" w:cstheme="minorBidi"/>
          <w:b/>
          <w:sz w:val="22"/>
          <w:szCs w:val="22"/>
        </w:rPr>
        <w:t xml:space="preserve">ission-based </w:t>
      </w:r>
      <w:r w:rsidR="00881AA6" w:rsidRPr="001E7AA4">
        <w:rPr>
          <w:rFonts w:asciiTheme="minorHAnsi" w:hAnsiTheme="minorHAnsi" w:cstheme="minorBidi"/>
          <w:b/>
          <w:sz w:val="22"/>
          <w:szCs w:val="22"/>
        </w:rPr>
        <w:t>c</w:t>
      </w:r>
      <w:r w:rsidR="00632104" w:rsidRPr="001E7AA4">
        <w:rPr>
          <w:rFonts w:asciiTheme="minorHAnsi" w:hAnsiTheme="minorHAnsi" w:cstheme="minorBidi"/>
          <w:b/>
          <w:sz w:val="22"/>
          <w:szCs w:val="22"/>
        </w:rPr>
        <w:t xml:space="preserve">ompacts </w:t>
      </w:r>
      <w:r w:rsidR="00DB4839" w:rsidRPr="001E7AA4">
        <w:rPr>
          <w:rFonts w:asciiTheme="minorHAnsi" w:hAnsiTheme="minorHAnsi" w:cstheme="minorBidi"/>
          <w:b/>
          <w:sz w:val="22"/>
          <w:szCs w:val="22"/>
        </w:rPr>
        <w:t xml:space="preserve">will </w:t>
      </w:r>
      <w:r w:rsidR="00632104" w:rsidRPr="001E7AA4">
        <w:rPr>
          <w:rFonts w:asciiTheme="minorHAnsi" w:hAnsiTheme="minorHAnsi" w:cstheme="minorBidi"/>
          <w:b/>
          <w:sz w:val="22"/>
          <w:szCs w:val="22"/>
        </w:rPr>
        <w:t>address future planning, distinctive place-based impact, and institutional governance responsibilities.</w:t>
      </w:r>
    </w:p>
    <w:p w14:paraId="0E6A8C45" w14:textId="5FBECB3A" w:rsidR="00632104" w:rsidRPr="001E7AA4" w:rsidRDefault="00544159" w:rsidP="00A025B1">
      <w:pPr>
        <w:pStyle w:val="NormalWeb"/>
        <w:numPr>
          <w:ilvl w:val="0"/>
          <w:numId w:val="8"/>
        </w:numPr>
        <w:spacing w:before="60" w:beforeAutospacing="0" w:after="60" w:afterAutospacing="0"/>
        <w:ind w:left="357" w:hanging="357"/>
        <w:rPr>
          <w:rFonts w:asciiTheme="minorHAnsi" w:hAnsiTheme="minorHAnsi" w:cstheme="minorHAnsi"/>
          <w:b/>
          <w:sz w:val="22"/>
          <w:szCs w:val="22"/>
        </w:rPr>
      </w:pPr>
      <w:r w:rsidRPr="001E7AA4">
        <w:rPr>
          <w:rFonts w:asciiTheme="minorHAnsi" w:hAnsiTheme="minorHAnsi" w:cstheme="minorHAnsi"/>
          <w:b/>
          <w:sz w:val="22"/>
          <w:szCs w:val="22"/>
        </w:rPr>
        <w:t xml:space="preserve">National governance will be coordinated and forward-looking </w:t>
      </w:r>
      <w:r w:rsidR="00044E14" w:rsidRPr="001E7AA4">
        <w:rPr>
          <w:rFonts w:asciiTheme="minorHAnsi" w:hAnsiTheme="minorHAnsi" w:cstheme="minorHAnsi"/>
          <w:b/>
          <w:sz w:val="22"/>
          <w:szCs w:val="22"/>
        </w:rPr>
        <w:t xml:space="preserve">through a new </w:t>
      </w:r>
      <w:r w:rsidR="00632104" w:rsidRPr="001E7AA4">
        <w:rPr>
          <w:rFonts w:asciiTheme="minorHAnsi" w:hAnsiTheme="minorHAnsi" w:cstheme="minorHAnsi"/>
          <w:b/>
          <w:sz w:val="22"/>
          <w:szCs w:val="22"/>
        </w:rPr>
        <w:t>Tertiary Education Commission</w:t>
      </w:r>
      <w:r w:rsidR="00D82E66" w:rsidRPr="001E7AA4">
        <w:rPr>
          <w:rFonts w:asciiTheme="minorHAnsi" w:hAnsiTheme="minorHAnsi" w:cstheme="minorHAnsi"/>
          <w:b/>
          <w:sz w:val="22"/>
          <w:szCs w:val="22"/>
        </w:rPr>
        <w:t>.</w:t>
      </w:r>
    </w:p>
    <w:p w14:paraId="7218891A" w14:textId="103364E8" w:rsidR="005C3937" w:rsidRPr="00A303C9" w:rsidRDefault="75A694B5" w:rsidP="00F63BDA">
      <w:pPr>
        <w:pStyle w:val="Heading2"/>
        <w:spacing w:after="720"/>
      </w:pPr>
      <w:bookmarkStart w:id="27" w:name="_Toc137829519"/>
      <w:bookmarkStart w:id="28" w:name="_Toc233651444"/>
      <w:bookmarkStart w:id="29" w:name="_Toc139028851"/>
      <w:r w:rsidRPr="00A303C9">
        <w:lastRenderedPageBreak/>
        <w:t>Part 1</w:t>
      </w:r>
      <w:bookmarkEnd w:id="27"/>
      <w:bookmarkEnd w:id="28"/>
      <w:bookmarkEnd w:id="29"/>
    </w:p>
    <w:p w14:paraId="04DF26CD" w14:textId="03BA80EF" w:rsidR="0064464D" w:rsidRPr="00F77051" w:rsidRDefault="341E6E31" w:rsidP="00F63BDA">
      <w:pPr>
        <w:pStyle w:val="Heading3"/>
        <w:spacing w:after="480"/>
        <w:rPr>
          <w:b w:val="0"/>
          <w:bCs/>
        </w:rPr>
      </w:pPr>
      <w:bookmarkStart w:id="30" w:name="_Toc137829520"/>
      <w:bookmarkStart w:id="31" w:name="_Toc636662853"/>
      <w:bookmarkStart w:id="32" w:name="_Toc139028852"/>
      <w:r w:rsidRPr="001E7AA4">
        <w:t>Chapter 1</w:t>
      </w:r>
      <w:r w:rsidR="004E32B3">
        <w:t> –</w:t>
      </w:r>
      <w:r w:rsidRPr="001E7AA4">
        <w:t xml:space="preserve"> </w:t>
      </w:r>
      <w:r w:rsidRPr="00F77051">
        <w:rPr>
          <w:b w:val="0"/>
          <w:bCs/>
        </w:rPr>
        <w:t>Powering Progress: the future of Australian higher education</w:t>
      </w:r>
      <w:bookmarkEnd w:id="30"/>
      <w:bookmarkEnd w:id="31"/>
      <w:bookmarkEnd w:id="32"/>
    </w:p>
    <w:p w14:paraId="7FE03F0A" w14:textId="0DB875BD" w:rsidR="0064464D" w:rsidRPr="001E7AA4" w:rsidRDefault="00DF3D49" w:rsidP="00B65F5B">
      <w:pPr>
        <w:pStyle w:val="Heading4"/>
        <w:rPr>
          <w:lang w:eastAsia="en-AU"/>
        </w:rPr>
      </w:pPr>
      <w:bookmarkStart w:id="33" w:name="_Toc137829521"/>
      <w:bookmarkStart w:id="34" w:name="_Toc885546442"/>
      <w:bookmarkStart w:id="35" w:name="_Toc139028853"/>
      <w:r w:rsidRPr="001E7AA4">
        <w:rPr>
          <w:lang w:eastAsia="en-AU"/>
        </w:rPr>
        <w:t>1.1</w:t>
      </w:r>
      <w:r w:rsidR="00FE2DC1" w:rsidRPr="001E7AA4">
        <w:rPr>
          <w:lang w:eastAsia="en-AU"/>
        </w:rPr>
        <w:t xml:space="preserve"> </w:t>
      </w:r>
      <w:r w:rsidR="341E6E31" w:rsidRPr="001E7AA4">
        <w:rPr>
          <w:lang w:eastAsia="en-AU"/>
        </w:rPr>
        <w:t>Introduction</w:t>
      </w:r>
      <w:bookmarkEnd w:id="33"/>
      <w:bookmarkEnd w:id="34"/>
      <w:bookmarkEnd w:id="35"/>
    </w:p>
    <w:p w14:paraId="58DF6827" w14:textId="2E4EBF6B" w:rsidR="0064464D" w:rsidRPr="001E7AA4" w:rsidRDefault="0064464D" w:rsidP="0064464D">
      <w:r w:rsidRPr="001E7AA4">
        <w:t xml:space="preserve">The Review has been asked to examine the higher education system to ensure it can meet Australia’s future knowledge and skills needs; expand access and opportunity to </w:t>
      </w:r>
      <w:r w:rsidR="00632104" w:rsidRPr="001E7AA4">
        <w:t>people currently</w:t>
      </w:r>
      <w:r w:rsidRPr="001E7AA4">
        <w:t xml:space="preserve"> underrepresented at university; and continue to deliver new knowledge, innovation and capability to benefit </w:t>
      </w:r>
      <w:r w:rsidR="00632104" w:rsidRPr="001E7AA4">
        <w:t xml:space="preserve">our </w:t>
      </w:r>
      <w:r w:rsidRPr="001E7AA4">
        <w:t>society and economy</w:t>
      </w:r>
      <w:r w:rsidR="00632104" w:rsidRPr="001E7AA4">
        <w:t>.</w:t>
      </w:r>
    </w:p>
    <w:p w14:paraId="0DAB9463" w14:textId="432696BD" w:rsidR="0064464D" w:rsidRPr="001E7AA4" w:rsidRDefault="00632104" w:rsidP="0064464D">
      <w:pPr>
        <w:rPr>
          <w:rFonts w:eastAsia="Calibri" w:cstheme="minorHAnsi"/>
        </w:rPr>
      </w:pPr>
      <w:r w:rsidRPr="001E7AA4">
        <w:rPr>
          <w:rFonts w:eastAsia="Calibri" w:cstheme="minorHAnsi"/>
          <w:color w:val="000000" w:themeColor="text1"/>
        </w:rPr>
        <w:t>T</w:t>
      </w:r>
      <w:r w:rsidR="0064464D" w:rsidRPr="001E7AA4">
        <w:rPr>
          <w:rFonts w:eastAsia="Calibri" w:cstheme="minorHAnsi"/>
          <w:color w:val="000000" w:themeColor="text1"/>
        </w:rPr>
        <w:t xml:space="preserve">hese priorities are essential </w:t>
      </w:r>
      <w:r w:rsidRPr="001E7AA4">
        <w:rPr>
          <w:rFonts w:eastAsia="Calibri" w:cstheme="minorHAnsi"/>
        </w:rPr>
        <w:t xml:space="preserve">for the creation of </w:t>
      </w:r>
      <w:r w:rsidR="0064464D" w:rsidRPr="001E7AA4">
        <w:rPr>
          <w:rFonts w:eastAsia="Calibri" w:cstheme="minorHAnsi"/>
        </w:rPr>
        <w:t>a fairer</w:t>
      </w:r>
      <w:r w:rsidR="0064464D" w:rsidRPr="001E7AA4">
        <w:rPr>
          <w:rFonts w:eastAsia="Segoe UI" w:cstheme="minorHAnsi"/>
        </w:rPr>
        <w:t xml:space="preserve">, more equitable </w:t>
      </w:r>
      <w:r w:rsidR="0064464D" w:rsidRPr="001E7AA4">
        <w:rPr>
          <w:rFonts w:eastAsia="Calibri" w:cstheme="minorHAnsi"/>
        </w:rPr>
        <w:t xml:space="preserve">society, where all Australians </w:t>
      </w:r>
      <w:r w:rsidRPr="001E7AA4">
        <w:rPr>
          <w:rFonts w:eastAsia="Calibri" w:cstheme="minorHAnsi"/>
        </w:rPr>
        <w:t xml:space="preserve">can achieve </w:t>
      </w:r>
      <w:r w:rsidR="0064464D" w:rsidRPr="001E7AA4">
        <w:rPr>
          <w:rFonts w:eastAsia="Calibri" w:cstheme="minorHAnsi"/>
        </w:rPr>
        <w:t xml:space="preserve">their </w:t>
      </w:r>
      <w:r w:rsidR="0064464D" w:rsidRPr="001E7AA4">
        <w:rPr>
          <w:rFonts w:eastAsia="Segoe UI" w:cstheme="minorHAnsi"/>
        </w:rPr>
        <w:t>potential and enjoy socio-economic mobility</w:t>
      </w:r>
      <w:r w:rsidRPr="001E7AA4">
        <w:rPr>
          <w:rFonts w:eastAsia="Segoe UI" w:cstheme="minorHAnsi"/>
        </w:rPr>
        <w:t xml:space="preserve">. They will also help Australia </w:t>
      </w:r>
      <w:r w:rsidR="0064464D" w:rsidRPr="001E7AA4">
        <w:rPr>
          <w:rFonts w:eastAsia="Segoe UI" w:cstheme="minorHAnsi"/>
        </w:rPr>
        <w:t xml:space="preserve">create </w:t>
      </w:r>
      <w:r w:rsidR="0064464D" w:rsidRPr="001E7AA4">
        <w:rPr>
          <w:rFonts w:eastAsia="Calibri" w:cstheme="minorHAnsi"/>
        </w:rPr>
        <w:t xml:space="preserve">new knowledge </w:t>
      </w:r>
      <w:r w:rsidRPr="001E7AA4">
        <w:rPr>
          <w:rFonts w:eastAsia="Calibri" w:cstheme="minorHAnsi"/>
        </w:rPr>
        <w:t xml:space="preserve">and absorb it </w:t>
      </w:r>
      <w:r w:rsidR="0064464D" w:rsidRPr="001E7AA4">
        <w:rPr>
          <w:rFonts w:eastAsia="Calibri" w:cstheme="minorHAnsi"/>
        </w:rPr>
        <w:t xml:space="preserve">into </w:t>
      </w:r>
      <w:r w:rsidRPr="001E7AA4">
        <w:rPr>
          <w:rFonts w:eastAsia="Calibri" w:cstheme="minorHAnsi"/>
        </w:rPr>
        <w:t>our</w:t>
      </w:r>
      <w:r w:rsidR="0064464D" w:rsidRPr="001E7AA4">
        <w:rPr>
          <w:rFonts w:eastAsia="Calibri" w:cstheme="minorHAnsi"/>
        </w:rPr>
        <w:t xml:space="preserve"> economy. </w:t>
      </w:r>
      <w:r w:rsidRPr="001E7AA4">
        <w:rPr>
          <w:rFonts w:eastAsia="Calibri" w:cstheme="minorHAnsi"/>
        </w:rPr>
        <w:t>In a</w:t>
      </w:r>
      <w:r w:rsidR="0064464D" w:rsidRPr="001E7AA4">
        <w:rPr>
          <w:rFonts w:eastAsia="Calibri" w:cstheme="minorHAnsi"/>
        </w:rPr>
        <w:t xml:space="preserve"> world </w:t>
      </w:r>
      <w:r w:rsidRPr="001E7AA4">
        <w:rPr>
          <w:rFonts w:eastAsia="Calibri" w:cstheme="minorHAnsi"/>
        </w:rPr>
        <w:t xml:space="preserve">that </w:t>
      </w:r>
      <w:r w:rsidR="0064464D" w:rsidRPr="001E7AA4">
        <w:rPr>
          <w:rFonts w:eastAsia="Calibri" w:cstheme="minorHAnsi"/>
        </w:rPr>
        <w:t>is changing</w:t>
      </w:r>
      <w:r w:rsidRPr="001E7AA4">
        <w:rPr>
          <w:rFonts w:eastAsia="Calibri" w:cstheme="minorHAnsi"/>
        </w:rPr>
        <w:t xml:space="preserve"> rapidly</w:t>
      </w:r>
      <w:r w:rsidR="0064464D" w:rsidRPr="001E7AA4">
        <w:rPr>
          <w:rFonts w:eastAsia="Calibri" w:cstheme="minorHAnsi"/>
        </w:rPr>
        <w:t xml:space="preserve">, with </w:t>
      </w:r>
      <w:r w:rsidR="0064464D" w:rsidRPr="001E7AA4">
        <w:rPr>
          <w:rFonts w:eastAsia="Segoe UI" w:cstheme="minorHAnsi"/>
        </w:rPr>
        <w:t xml:space="preserve">total </w:t>
      </w:r>
      <w:r w:rsidR="0064464D" w:rsidRPr="001E7AA4">
        <w:rPr>
          <w:rFonts w:eastAsia="Calibri" w:cstheme="minorHAnsi"/>
        </w:rPr>
        <w:t xml:space="preserve">knowledge </w:t>
      </w:r>
      <w:r w:rsidR="006D05BF" w:rsidRPr="001E7AA4">
        <w:rPr>
          <w:rFonts w:eastAsia="Segoe UI" w:cstheme="minorHAnsi"/>
        </w:rPr>
        <w:t xml:space="preserve">increasing </w:t>
      </w:r>
      <w:r w:rsidR="00C85432" w:rsidRPr="001E7AA4">
        <w:rPr>
          <w:rFonts w:eastAsia="Segoe UI" w:cstheme="minorHAnsi"/>
        </w:rPr>
        <w:t xml:space="preserve">at </w:t>
      </w:r>
      <w:r w:rsidR="006D05BF" w:rsidRPr="001E7AA4">
        <w:rPr>
          <w:rFonts w:eastAsia="Segoe UI" w:cstheme="minorHAnsi"/>
        </w:rPr>
        <w:t>a</w:t>
      </w:r>
      <w:r w:rsidR="009946C1" w:rsidRPr="001E7AA4">
        <w:rPr>
          <w:rFonts w:eastAsia="Segoe UI" w:cstheme="minorHAnsi"/>
        </w:rPr>
        <w:t xml:space="preserve"> very fast </w:t>
      </w:r>
      <w:r w:rsidR="006D05BF" w:rsidRPr="001E7AA4">
        <w:rPr>
          <w:rFonts w:eastAsia="Segoe UI" w:cstheme="minorHAnsi"/>
        </w:rPr>
        <w:t>rate</w:t>
      </w:r>
      <w:r w:rsidRPr="001E7AA4">
        <w:rPr>
          <w:rFonts w:eastAsia="Segoe UI" w:cstheme="minorHAnsi"/>
        </w:rPr>
        <w:t>,</w:t>
      </w:r>
      <w:r w:rsidR="00610FF3" w:rsidRPr="001E7AA4">
        <w:rPr>
          <w:rStyle w:val="FootnoteReference"/>
          <w:rFonts w:eastAsia="Segoe UI" w:cstheme="minorHAnsi"/>
        </w:rPr>
        <w:footnoteReference w:id="5"/>
      </w:r>
      <w:r w:rsidRPr="001E7AA4">
        <w:rPr>
          <w:rFonts w:eastAsia="Segoe UI" w:cstheme="minorHAnsi"/>
        </w:rPr>
        <w:t xml:space="preserve"> a better and more equitable higher education system is now </w:t>
      </w:r>
      <w:r w:rsidR="006E7DD7" w:rsidRPr="001E7AA4">
        <w:rPr>
          <w:rFonts w:eastAsia="Segoe UI" w:cstheme="minorHAnsi"/>
        </w:rPr>
        <w:t>essential,</w:t>
      </w:r>
      <w:r w:rsidRPr="001E7AA4">
        <w:rPr>
          <w:rFonts w:eastAsia="Segoe UI" w:cstheme="minorHAnsi"/>
        </w:rPr>
        <w:t xml:space="preserve"> and we need a major step-up in our efforts to create it. </w:t>
      </w:r>
    </w:p>
    <w:p w14:paraId="0A6842E1" w14:textId="01AFDEC0" w:rsidR="0064464D" w:rsidRPr="001E7AA4" w:rsidRDefault="0064464D" w:rsidP="0064464D">
      <w:r w:rsidRPr="001E7AA4">
        <w:rPr>
          <w:rFonts w:cstheme="minorHAnsi"/>
        </w:rPr>
        <w:t>Australia needs its people and industries to be able to absorb new discoveries and ensure enough workers have the high levels of skills and knowledge required to drive growth in productivity</w:t>
      </w:r>
      <w:r w:rsidR="00632104" w:rsidRPr="001E7AA4">
        <w:rPr>
          <w:rFonts w:cstheme="minorHAnsi"/>
        </w:rPr>
        <w:t>, produce</w:t>
      </w:r>
      <w:r w:rsidRPr="001E7AA4">
        <w:rPr>
          <w:rFonts w:cstheme="minorHAnsi"/>
        </w:rPr>
        <w:t xml:space="preserve"> </w:t>
      </w:r>
      <w:r w:rsidR="00632104" w:rsidRPr="001E7AA4">
        <w:rPr>
          <w:rFonts w:cstheme="minorHAnsi"/>
        </w:rPr>
        <w:t xml:space="preserve">the </w:t>
      </w:r>
      <w:r w:rsidRPr="001E7AA4">
        <w:rPr>
          <w:rFonts w:cstheme="minorHAnsi"/>
        </w:rPr>
        <w:t>export industries</w:t>
      </w:r>
      <w:r w:rsidR="00632104" w:rsidRPr="001E7AA4">
        <w:rPr>
          <w:rFonts w:cstheme="minorHAnsi"/>
        </w:rPr>
        <w:t xml:space="preserve"> of the future,</w:t>
      </w:r>
      <w:r w:rsidRPr="001E7AA4">
        <w:rPr>
          <w:rFonts w:cstheme="minorHAnsi"/>
        </w:rPr>
        <w:t xml:space="preserve"> and </w:t>
      </w:r>
      <w:r w:rsidR="00632104" w:rsidRPr="001E7AA4">
        <w:rPr>
          <w:rFonts w:cstheme="minorHAnsi"/>
        </w:rPr>
        <w:t xml:space="preserve">provide </w:t>
      </w:r>
      <w:r w:rsidRPr="001E7AA4">
        <w:rPr>
          <w:rFonts w:cstheme="minorHAnsi"/>
        </w:rPr>
        <w:t>high-level services in</w:t>
      </w:r>
      <w:r w:rsidRPr="001E7AA4">
        <w:t xml:space="preserve"> the domestic economy. </w:t>
      </w:r>
      <w:r w:rsidR="00632104" w:rsidRPr="001E7AA4">
        <w:t xml:space="preserve">Without significant change to </w:t>
      </w:r>
      <w:r w:rsidRPr="001E7AA4">
        <w:t>our higher education system</w:t>
      </w:r>
      <w:r w:rsidR="00632104" w:rsidRPr="001E7AA4">
        <w:t xml:space="preserve">, success will not be possible. </w:t>
      </w:r>
      <w:r w:rsidR="00632104" w:rsidRPr="001E7AA4">
        <w:rPr>
          <w:rFonts w:eastAsia="Segoe UI" w:cstheme="minorHAnsi"/>
        </w:rPr>
        <w:t>There is zero room for complacency.</w:t>
      </w:r>
    </w:p>
    <w:p w14:paraId="5CDA6BF5" w14:textId="2ED983E2" w:rsidR="0064464D" w:rsidRPr="001E7AA4" w:rsidRDefault="341E6E31" w:rsidP="00B65F5B">
      <w:pPr>
        <w:pStyle w:val="Heading4"/>
        <w:rPr>
          <w:lang w:eastAsia="en-AU"/>
        </w:rPr>
      </w:pPr>
      <w:bookmarkStart w:id="36" w:name="_Toc137829522"/>
      <w:bookmarkStart w:id="37" w:name="_Toc410932274"/>
      <w:bookmarkStart w:id="38" w:name="_Toc139028854"/>
      <w:r w:rsidRPr="001E7AA4">
        <w:rPr>
          <w:lang w:eastAsia="en-AU"/>
        </w:rPr>
        <w:t>1.</w:t>
      </w:r>
      <w:r w:rsidR="12EC9624" w:rsidRPr="001E7AA4">
        <w:rPr>
          <w:lang w:eastAsia="en-AU"/>
        </w:rPr>
        <w:t>2</w:t>
      </w:r>
      <w:r w:rsidRPr="001E7AA4">
        <w:rPr>
          <w:lang w:eastAsia="en-AU"/>
        </w:rPr>
        <w:t xml:space="preserve"> The education imperative to meet Australia’s future needs</w:t>
      </w:r>
      <w:bookmarkEnd w:id="36"/>
      <w:bookmarkEnd w:id="37"/>
      <w:bookmarkEnd w:id="38"/>
    </w:p>
    <w:p w14:paraId="426C7503" w14:textId="7E51748F" w:rsidR="0064464D" w:rsidRDefault="00632104" w:rsidP="0064464D">
      <w:pPr>
        <w:spacing w:line="240" w:lineRule="auto"/>
        <w:rPr>
          <w:rStyle w:val="normaltextrun"/>
          <w:rFonts w:ascii="Calibri" w:hAnsi="Calibri" w:cs="Calibri"/>
          <w:color w:val="000000"/>
          <w:shd w:val="clear" w:color="auto" w:fill="FFFFFF"/>
        </w:rPr>
      </w:pPr>
      <w:r w:rsidRPr="001E7AA4">
        <w:rPr>
          <w:lang w:eastAsia="en-AU"/>
        </w:rPr>
        <w:t>H</w:t>
      </w:r>
      <w:r w:rsidR="0064464D" w:rsidRPr="001E7AA4">
        <w:rPr>
          <w:lang w:eastAsia="en-AU"/>
        </w:rPr>
        <w:t xml:space="preserve">igher education is </w:t>
      </w:r>
      <w:r w:rsidRPr="001E7AA4">
        <w:rPr>
          <w:lang w:eastAsia="en-AU"/>
        </w:rPr>
        <w:t xml:space="preserve">about </w:t>
      </w:r>
      <w:r w:rsidR="0064464D" w:rsidRPr="001E7AA4">
        <w:rPr>
          <w:lang w:eastAsia="en-AU"/>
        </w:rPr>
        <w:t xml:space="preserve">knowledge creation, diffusion and application. Our higher education system has </w:t>
      </w:r>
      <w:r w:rsidRPr="001E7AA4">
        <w:rPr>
          <w:lang w:eastAsia="en-AU"/>
        </w:rPr>
        <w:t xml:space="preserve">stepped up in the past to </w:t>
      </w:r>
      <w:r w:rsidR="0043164D" w:rsidRPr="001E7AA4">
        <w:rPr>
          <w:lang w:eastAsia="en-AU"/>
        </w:rPr>
        <w:t>contribute to</w:t>
      </w:r>
      <w:r w:rsidRPr="001E7AA4">
        <w:rPr>
          <w:lang w:eastAsia="en-AU"/>
        </w:rPr>
        <w:t xml:space="preserve"> accelerating change and now must do so again. It must help </w:t>
      </w:r>
      <w:r w:rsidRPr="001E7AA4">
        <w:rPr>
          <w:rStyle w:val="normaltextrun"/>
          <w:rFonts w:ascii="Calibri" w:hAnsi="Calibri" w:cs="Calibri"/>
          <w:color w:val="000000"/>
          <w:shd w:val="clear" w:color="auto" w:fill="FFFFFF"/>
        </w:rPr>
        <w:t>prepare Australia for the paradigm shifts we expect in global scientific, environmental, demographic and geopolitical conditions.</w:t>
      </w:r>
    </w:p>
    <w:p w14:paraId="0AC408CB" w14:textId="77777777" w:rsidR="00B552EB" w:rsidRPr="009E134D" w:rsidRDefault="00B552EB" w:rsidP="00B552EB">
      <w:pPr>
        <w:pStyle w:val="Pulloutboxes"/>
        <w:rPr>
          <w:rFonts w:ascii="Segoe UI" w:hAnsi="Segoe UI" w:cs="Segoe UI"/>
          <w:b/>
          <w:bCs/>
          <w:sz w:val="18"/>
          <w:szCs w:val="18"/>
          <w:lang w:eastAsia="en-AU"/>
        </w:rPr>
      </w:pPr>
      <w:r w:rsidRPr="009E134D">
        <w:rPr>
          <w:lang w:eastAsia="en-AU"/>
        </w:rPr>
        <w:t>Without change, Australia’s higher education system will rapidly become unfit for purpose.</w:t>
      </w:r>
    </w:p>
    <w:p w14:paraId="55D1DA37" w14:textId="21503A9A" w:rsidR="0064464D" w:rsidRPr="001E7AA4" w:rsidRDefault="00632104" w:rsidP="0064464D">
      <w:pPr>
        <w:spacing w:line="240" w:lineRule="auto"/>
        <w:rPr>
          <w:rStyle w:val="normaltextrun"/>
          <w:rFonts w:ascii="Calibri" w:hAnsi="Calibri" w:cs="Calibri"/>
          <w:color w:val="000000"/>
          <w:shd w:val="clear" w:color="auto" w:fill="FFFFFF"/>
        </w:rPr>
      </w:pPr>
      <w:r w:rsidRPr="001E7AA4">
        <w:rPr>
          <w:rStyle w:val="normaltextrun"/>
          <w:rFonts w:ascii="Calibri" w:hAnsi="Calibri" w:cs="Calibri"/>
          <w:color w:val="000000"/>
          <w:shd w:val="clear" w:color="auto" w:fill="FFFFFF"/>
        </w:rPr>
        <w:t xml:space="preserve">The starting point is having a more </w:t>
      </w:r>
      <w:r w:rsidR="0011190D" w:rsidRPr="001E7AA4">
        <w:rPr>
          <w:rStyle w:val="normaltextrun"/>
          <w:rFonts w:ascii="Calibri" w:hAnsi="Calibri" w:cs="Calibri"/>
          <w:color w:val="000000"/>
          <w:shd w:val="clear" w:color="auto" w:fill="FFFFFF"/>
        </w:rPr>
        <w:t>knowledgeable</w:t>
      </w:r>
      <w:r w:rsidRPr="001E7AA4">
        <w:rPr>
          <w:rStyle w:val="normaltextrun"/>
          <w:rFonts w:ascii="Calibri" w:hAnsi="Calibri" w:cs="Calibri"/>
          <w:color w:val="000000"/>
          <w:shd w:val="clear" w:color="auto" w:fill="FFFFFF"/>
        </w:rPr>
        <w:t xml:space="preserve"> and skilled population.</w:t>
      </w:r>
    </w:p>
    <w:p w14:paraId="7D1F653B" w14:textId="43DB6C0F" w:rsidR="00086297" w:rsidRPr="001E7AA4" w:rsidRDefault="00086297" w:rsidP="0064464D">
      <w:pPr>
        <w:spacing w:line="240" w:lineRule="auto"/>
        <w:rPr>
          <w:rStyle w:val="normaltextrun"/>
          <w:rFonts w:ascii="Calibri" w:hAnsi="Calibri" w:cs="Calibri"/>
          <w:color w:val="000000"/>
          <w:shd w:val="clear" w:color="auto" w:fill="FFFFFF"/>
        </w:rPr>
      </w:pPr>
      <w:r w:rsidRPr="001E7AA4">
        <w:rPr>
          <w:rStyle w:val="normaltextrun"/>
          <w:rFonts w:ascii="Calibri" w:hAnsi="Calibri" w:cs="Calibri"/>
          <w:color w:val="000000"/>
          <w:shd w:val="clear" w:color="auto" w:fill="FFFFFF"/>
        </w:rPr>
        <w:t>Significant structural shifts are already underway in our economy. Th</w:t>
      </w:r>
      <w:r w:rsidR="002C0060" w:rsidRPr="001E7AA4">
        <w:rPr>
          <w:rStyle w:val="normaltextrun"/>
          <w:rFonts w:ascii="Calibri" w:hAnsi="Calibri" w:cs="Calibri"/>
          <w:color w:val="000000"/>
          <w:shd w:val="clear" w:color="auto" w:fill="FFFFFF"/>
        </w:rPr>
        <w:t>e</w:t>
      </w:r>
      <w:r w:rsidRPr="001E7AA4">
        <w:rPr>
          <w:rStyle w:val="normaltextrun"/>
          <w:rFonts w:ascii="Calibri" w:hAnsi="Calibri" w:cs="Calibri"/>
          <w:color w:val="000000"/>
          <w:shd w:val="clear" w:color="auto" w:fill="FFFFFF"/>
        </w:rPr>
        <w:t xml:space="preserve"> future economy will need a more skilled and qualified population. The Review has commissioned analysis from BIS Oxford Economics (BIS OE) to explore the number of higher education graduates required to meet workforce and economic needs over the next 30 years. The preliminary analysis shows that  </w:t>
      </w:r>
      <w:r w:rsidRPr="001E7AA4">
        <w:rPr>
          <w:rStyle w:val="normaltextrun"/>
          <w:rFonts w:ascii="Calibri" w:hAnsi="Calibri" w:cs="Calibri"/>
          <w:color w:val="000000"/>
          <w:shd w:val="clear" w:color="auto" w:fill="FFFFFF"/>
        </w:rPr>
        <w:lastRenderedPageBreak/>
        <w:t>Australian labour market demanded an additional 490,000 people with higher education qualifications in 2022. This is expected to grow to around an additional 696,000 higher education qualifications on average, per year, in the decade from 2042 to 2052</w:t>
      </w:r>
      <w:r w:rsidR="009A5534" w:rsidRPr="001E7AA4">
        <w:rPr>
          <w:rStyle w:val="normaltextrun"/>
          <w:rFonts w:ascii="Calibri" w:hAnsi="Calibri" w:cs="Calibri"/>
          <w:color w:val="000000"/>
          <w:shd w:val="clear" w:color="auto" w:fill="FFFFFF"/>
        </w:rPr>
        <w:t>.</w:t>
      </w:r>
      <w:r w:rsidRPr="001E7AA4">
        <w:rPr>
          <w:rStyle w:val="FootnoteReference"/>
          <w:rFonts w:ascii="Calibri" w:hAnsi="Calibri" w:cs="Calibri"/>
          <w:color w:val="000000" w:themeColor="text1"/>
        </w:rPr>
        <w:footnoteReference w:id="6"/>
      </w:r>
      <w:r w:rsidRPr="001E7AA4">
        <w:rPr>
          <w:rStyle w:val="normaltextrun"/>
          <w:rFonts w:ascii="Calibri" w:hAnsi="Calibri" w:cs="Calibri"/>
          <w:color w:val="000000"/>
          <w:shd w:val="clear" w:color="auto" w:fill="FFFFFF"/>
        </w:rPr>
        <w:t xml:space="preserve"> All in all, an additional 5.8 million people will need a higher education qualification in 2052</w:t>
      </w:r>
      <w:r w:rsidR="00FD6AD8" w:rsidRPr="001E7AA4">
        <w:rPr>
          <w:rStyle w:val="normaltextrun"/>
          <w:rFonts w:ascii="Calibri" w:hAnsi="Calibri" w:cs="Calibri"/>
          <w:color w:val="000000"/>
          <w:shd w:val="clear" w:color="auto" w:fill="FFFFFF"/>
        </w:rPr>
        <w:t>,</w:t>
      </w:r>
      <w:r w:rsidRPr="001E7AA4">
        <w:rPr>
          <w:rStyle w:val="normaltextrun"/>
          <w:rFonts w:ascii="Calibri" w:hAnsi="Calibri" w:cs="Calibri"/>
          <w:color w:val="000000"/>
          <w:shd w:val="clear" w:color="auto" w:fill="FFFFFF"/>
        </w:rPr>
        <w:t xml:space="preserve"> </w:t>
      </w:r>
      <w:r w:rsidR="008C09FF" w:rsidRPr="001E7AA4">
        <w:rPr>
          <w:rStyle w:val="normaltextrun"/>
          <w:rFonts w:ascii="Calibri" w:hAnsi="Calibri" w:cs="Calibri"/>
          <w:color w:val="000000"/>
          <w:shd w:val="clear" w:color="auto" w:fill="FFFFFF"/>
        </w:rPr>
        <w:t xml:space="preserve">roughly doubling the </w:t>
      </w:r>
      <w:r w:rsidR="00085294" w:rsidRPr="001E7AA4">
        <w:rPr>
          <w:rStyle w:val="normaltextrun"/>
          <w:rFonts w:ascii="Calibri" w:hAnsi="Calibri" w:cs="Calibri"/>
          <w:color w:val="000000"/>
          <w:shd w:val="clear" w:color="auto" w:fill="FFFFFF"/>
        </w:rPr>
        <w:t>number of people with a higher education qualification</w:t>
      </w:r>
      <w:r w:rsidR="00026F5F" w:rsidRPr="001E7AA4">
        <w:rPr>
          <w:rStyle w:val="normaltextrun"/>
          <w:rFonts w:ascii="Calibri" w:hAnsi="Calibri" w:cs="Calibri"/>
          <w:color w:val="000000"/>
          <w:shd w:val="clear" w:color="auto" w:fill="FFFFFF"/>
        </w:rPr>
        <w:t>,</w:t>
      </w:r>
      <w:r w:rsidRPr="001E7AA4">
        <w:rPr>
          <w:rStyle w:val="FootnoteReference"/>
          <w:rFonts w:ascii="Calibri" w:hAnsi="Calibri" w:cs="Calibri"/>
          <w:color w:val="000000"/>
          <w:shd w:val="clear" w:color="auto" w:fill="FFFFFF"/>
        </w:rPr>
        <w:footnoteReference w:id="7"/>
      </w:r>
      <w:r w:rsidRPr="001E7AA4">
        <w:rPr>
          <w:rStyle w:val="normaltextrun"/>
          <w:rFonts w:ascii="Calibri" w:hAnsi="Calibri" w:cs="Calibri"/>
          <w:color w:val="000000"/>
          <w:shd w:val="clear" w:color="auto" w:fill="FFFFFF"/>
        </w:rPr>
        <w:t xml:space="preserve"> as the share of </w:t>
      </w:r>
      <w:r w:rsidR="008101F5" w:rsidRPr="001E7AA4">
        <w:rPr>
          <w:rStyle w:val="normaltextrun"/>
          <w:rFonts w:ascii="Calibri" w:hAnsi="Calibri" w:cs="Calibri"/>
          <w:color w:val="000000"/>
          <w:shd w:val="clear" w:color="auto" w:fill="FFFFFF"/>
        </w:rPr>
        <w:t>all</w:t>
      </w:r>
      <w:r w:rsidRPr="001E7AA4">
        <w:rPr>
          <w:rStyle w:val="normaltextrun"/>
          <w:rFonts w:ascii="Calibri" w:hAnsi="Calibri" w:cs="Calibri"/>
          <w:color w:val="000000"/>
          <w:shd w:val="clear" w:color="auto" w:fill="FFFFFF"/>
        </w:rPr>
        <w:t xml:space="preserve"> jobs requiring a higher education is estimated to increase from 36</w:t>
      </w:r>
      <w:r w:rsidRPr="001E7AA4" w:rsidDel="0002240E">
        <w:rPr>
          <w:rStyle w:val="normaltextrun"/>
          <w:rFonts w:ascii="Calibri" w:hAnsi="Calibri" w:cs="Calibri"/>
          <w:color w:val="000000"/>
          <w:shd w:val="clear" w:color="auto" w:fill="FFFFFF"/>
        </w:rPr>
        <w:t>%</w:t>
      </w:r>
      <w:r w:rsidRPr="001E7AA4">
        <w:rPr>
          <w:rStyle w:val="normaltextrun"/>
          <w:rFonts w:ascii="Calibri" w:hAnsi="Calibri" w:cs="Calibri"/>
          <w:color w:val="000000"/>
          <w:shd w:val="clear" w:color="auto" w:fill="FFFFFF"/>
        </w:rPr>
        <w:t xml:space="preserve"> to 55</w:t>
      </w:r>
      <w:r w:rsidRPr="001E7AA4" w:rsidDel="0002240E">
        <w:rPr>
          <w:rStyle w:val="normaltextrun"/>
          <w:rFonts w:ascii="Calibri" w:hAnsi="Calibri" w:cs="Calibri"/>
          <w:color w:val="000000"/>
          <w:shd w:val="clear" w:color="auto" w:fill="FFFFFF"/>
        </w:rPr>
        <w:t>%</w:t>
      </w:r>
      <w:r w:rsidRPr="001E7AA4">
        <w:rPr>
          <w:rStyle w:val="normaltextrun"/>
          <w:rFonts w:ascii="Calibri" w:hAnsi="Calibri" w:cs="Calibri"/>
          <w:color w:val="000000"/>
          <w:shd w:val="clear" w:color="auto" w:fill="FFFFFF"/>
        </w:rPr>
        <w:t xml:space="preserve"> of </w:t>
      </w:r>
      <w:r w:rsidR="003578AA" w:rsidRPr="001E7AA4">
        <w:rPr>
          <w:rStyle w:val="normaltextrun"/>
          <w:rFonts w:ascii="Calibri" w:hAnsi="Calibri" w:cs="Calibri"/>
          <w:color w:val="000000"/>
          <w:shd w:val="clear" w:color="auto" w:fill="FFFFFF"/>
        </w:rPr>
        <w:t>the working population</w:t>
      </w:r>
      <w:r w:rsidRPr="001E7AA4">
        <w:rPr>
          <w:rStyle w:val="normaltextrun"/>
          <w:rFonts w:ascii="Calibri" w:hAnsi="Calibri" w:cs="Calibri"/>
          <w:color w:val="000000"/>
          <w:shd w:val="clear" w:color="auto" w:fill="FFFFFF"/>
        </w:rPr>
        <w:t xml:space="preserve"> over that period</w:t>
      </w:r>
      <w:r w:rsidR="003578AA" w:rsidRPr="001E7AA4">
        <w:rPr>
          <w:rStyle w:val="normaltextrun"/>
          <w:rFonts w:ascii="Calibri" w:hAnsi="Calibri" w:cs="Calibri"/>
          <w:color w:val="000000"/>
          <w:shd w:val="clear" w:color="auto" w:fill="FFFFFF"/>
        </w:rPr>
        <w:t xml:space="preserve"> </w:t>
      </w:r>
      <w:r w:rsidR="003578AA" w:rsidRPr="001E7AA4">
        <w:t>(not</w:t>
      </w:r>
      <w:r w:rsidR="009C2B1F" w:rsidRPr="001E7AA4">
        <w:t xml:space="preserve">e this analysis </w:t>
      </w:r>
      <w:r w:rsidR="003578AA" w:rsidRPr="001E7AA4">
        <w:t>is</w:t>
      </w:r>
      <w:r w:rsidR="009C2B1F" w:rsidRPr="001E7AA4">
        <w:t xml:space="preserve"> based on</w:t>
      </w:r>
      <w:r w:rsidR="003578AA" w:rsidRPr="001E7AA4">
        <w:t xml:space="preserve"> a broader cohort than that covered by the Bradley attainment target which related </w:t>
      </w:r>
      <w:r w:rsidR="009C2B1F" w:rsidRPr="001E7AA4">
        <w:t>only</w:t>
      </w:r>
      <w:r w:rsidR="003578AA" w:rsidRPr="001E7AA4">
        <w:t xml:space="preserve"> to 25-34 year olds)</w:t>
      </w:r>
      <w:r w:rsidRPr="001E7AA4">
        <w:rPr>
          <w:rStyle w:val="normaltextrun"/>
          <w:rFonts w:ascii="Calibri" w:hAnsi="Calibri" w:cs="Calibri"/>
          <w:color w:val="000000"/>
          <w:shd w:val="clear" w:color="auto" w:fill="FFFFFF"/>
        </w:rPr>
        <w:t>.</w:t>
      </w:r>
      <w:r w:rsidRPr="001E7AA4">
        <w:rPr>
          <w:rStyle w:val="FootnoteReference"/>
          <w:rFonts w:ascii="Calibri" w:hAnsi="Calibri" w:cs="Calibri"/>
          <w:color w:val="000000" w:themeColor="text1"/>
        </w:rPr>
        <w:footnoteReference w:id="8"/>
      </w:r>
      <w:r w:rsidR="00554A48" w:rsidRPr="001E7AA4">
        <w:rPr>
          <w:rFonts w:ascii="Calibri" w:hAnsi="Calibri" w:cs="Calibri"/>
          <w:color w:val="000000" w:themeColor="text1"/>
        </w:rPr>
        <w:t xml:space="preserve"> </w:t>
      </w:r>
      <w:r w:rsidR="002D13C0" w:rsidRPr="001E7AA4">
        <w:rPr>
          <w:rFonts w:ascii="Calibri" w:hAnsi="Calibri" w:cs="Calibri"/>
          <w:color w:val="000000" w:themeColor="text1"/>
        </w:rPr>
        <w:t xml:space="preserve">55% of all jobs implies an even higher proportion of young people attaining a higher education qualification. </w:t>
      </w:r>
      <w:r w:rsidRPr="001E7AA4">
        <w:rPr>
          <w:rStyle w:val="normaltextrun"/>
          <w:rFonts w:ascii="Calibri" w:hAnsi="Calibri" w:cs="Calibri"/>
          <w:color w:val="000000"/>
          <w:shd w:val="clear" w:color="auto" w:fill="FFFFFF"/>
        </w:rPr>
        <w:t xml:space="preserve">While some of this demand for skills will be met through skilled migration, Australia’s higher education sector will need to produce more skilled graduates and will play an increased role in upskilling the current working population. </w:t>
      </w:r>
    </w:p>
    <w:p w14:paraId="0C45C8D0" w14:textId="53CD4960" w:rsidR="0064464D" w:rsidRPr="001E7AA4" w:rsidRDefault="0064464D" w:rsidP="0064464D">
      <w:pPr>
        <w:spacing w:line="240" w:lineRule="auto"/>
        <w:rPr>
          <w:rStyle w:val="normaltextrun"/>
          <w:rFonts w:ascii="Calibri" w:hAnsi="Calibri" w:cs="Calibri"/>
        </w:rPr>
      </w:pPr>
      <w:r w:rsidRPr="001E7AA4">
        <w:rPr>
          <w:rStyle w:val="normaltextrun"/>
          <w:rFonts w:ascii="Calibri" w:hAnsi="Calibri" w:cs="Calibri"/>
          <w:color w:val="000000" w:themeColor="text1"/>
        </w:rPr>
        <w:t xml:space="preserve">Population growth means greater demand for infrastructure, housing and services, including education. At the same time our population is ageing and living longer, increasing </w:t>
      </w:r>
      <w:r w:rsidR="00632104" w:rsidRPr="001E7AA4">
        <w:rPr>
          <w:rStyle w:val="normaltextrun"/>
          <w:rFonts w:ascii="Calibri" w:hAnsi="Calibri" w:cs="Calibri"/>
          <w:color w:val="000000" w:themeColor="text1"/>
        </w:rPr>
        <w:t xml:space="preserve">overall </w:t>
      </w:r>
      <w:r w:rsidRPr="001E7AA4">
        <w:rPr>
          <w:rStyle w:val="normaltextrun"/>
          <w:rFonts w:ascii="Calibri" w:hAnsi="Calibri" w:cs="Calibri"/>
          <w:color w:val="000000" w:themeColor="text1"/>
        </w:rPr>
        <w:t>demand for higher quality health, disability and aged care services</w:t>
      </w:r>
      <w:r w:rsidRPr="001E7AA4">
        <w:rPr>
          <w:rStyle w:val="normaltextrun"/>
          <w:rFonts w:ascii="Calibri" w:hAnsi="Calibri" w:cs="Calibri"/>
        </w:rPr>
        <w:t xml:space="preserve">. </w:t>
      </w:r>
      <w:r w:rsidR="000F15C1" w:rsidRPr="001E7AA4">
        <w:rPr>
          <w:rStyle w:val="normaltextrun"/>
          <w:rFonts w:ascii="Calibri" w:hAnsi="Calibri" w:cs="Calibri"/>
        </w:rPr>
        <w:t>Without urgent action, a</w:t>
      </w:r>
      <w:r w:rsidRPr="001E7AA4">
        <w:rPr>
          <w:rStyle w:val="normaltextrun"/>
          <w:rFonts w:ascii="Calibri" w:hAnsi="Calibri" w:cs="Calibri"/>
        </w:rPr>
        <w:t xml:space="preserve">s Australia’s population ages, a greater number of jobs requiring </w:t>
      </w:r>
      <w:r w:rsidRPr="001E7AA4">
        <w:rPr>
          <w:rStyle w:val="normaltextrun"/>
          <w:rFonts w:ascii="Calibri" w:hAnsi="Calibri" w:cs="Calibri"/>
          <w:color w:val="000000" w:themeColor="text1"/>
        </w:rPr>
        <w:t xml:space="preserve">higher education will be left vacant, leading to skills shortages that need to be addressed through domestic upskilling and migration. </w:t>
      </w:r>
    </w:p>
    <w:p w14:paraId="6C359293" w14:textId="507E615C" w:rsidR="0064464D" w:rsidRPr="001E7AA4" w:rsidRDefault="0064464D" w:rsidP="0064464D">
      <w:pPr>
        <w:rPr>
          <w:lang w:eastAsia="en-AU"/>
        </w:rPr>
      </w:pPr>
      <w:r w:rsidRPr="001E7AA4">
        <w:t xml:space="preserve">Australia is already facing serious skills shortages. The </w:t>
      </w:r>
      <w:r w:rsidR="0003786D" w:rsidRPr="001E7AA4">
        <w:t>May</w:t>
      </w:r>
      <w:r w:rsidRPr="001E7AA4">
        <w:t xml:space="preserve"> 2023 JSA </w:t>
      </w:r>
      <w:r w:rsidRPr="001E7AA4">
        <w:rPr>
          <w:i/>
        </w:rPr>
        <w:t>Labour Market Update</w:t>
      </w:r>
      <w:r w:rsidRPr="001E7AA4">
        <w:t xml:space="preserve"> showed that registered nurses, general practitioners, engineers, early childhood teachers and physiotherapists </w:t>
      </w:r>
      <w:r w:rsidR="00D52EDD" w:rsidRPr="001E7AA4">
        <w:t>are</w:t>
      </w:r>
      <w:r w:rsidRPr="001E7AA4">
        <w:t xml:space="preserve"> among the occupations in </w:t>
      </w:r>
      <w:r w:rsidR="00D52EDD" w:rsidRPr="001E7AA4">
        <w:t xml:space="preserve">shortage </w:t>
      </w:r>
      <w:r w:rsidR="00AA2DD1" w:rsidRPr="001E7AA4">
        <w:t>across</w:t>
      </w:r>
      <w:r w:rsidRPr="001E7AA4">
        <w:t xml:space="preserve"> the country.</w:t>
      </w:r>
      <w:r w:rsidRPr="001E7AA4">
        <w:rPr>
          <w:rStyle w:val="FootnoteReference"/>
        </w:rPr>
        <w:footnoteReference w:id="9"/>
      </w:r>
      <w:r w:rsidRPr="001E7AA4">
        <w:t xml:space="preserve"> </w:t>
      </w:r>
      <w:r w:rsidRPr="001E7AA4">
        <w:rPr>
          <w:lang w:eastAsia="en-AU"/>
        </w:rPr>
        <w:t>Australia’s skills shortages hold us back as a nation. They diminish our wellbeing through under-staffed hospitals</w:t>
      </w:r>
      <w:r w:rsidR="0002240E" w:rsidRPr="001E7AA4">
        <w:rPr>
          <w:lang w:eastAsia="en-AU"/>
        </w:rPr>
        <w:t>,</w:t>
      </w:r>
      <w:r w:rsidRPr="001E7AA4">
        <w:rPr>
          <w:lang w:eastAsia="en-AU"/>
        </w:rPr>
        <w:t xml:space="preserve"> shackle our prosperity to low productivity growth</w:t>
      </w:r>
      <w:r w:rsidR="0002240E" w:rsidRPr="001E7AA4">
        <w:rPr>
          <w:lang w:eastAsia="en-AU"/>
        </w:rPr>
        <w:t>,</w:t>
      </w:r>
      <w:r w:rsidRPr="001E7AA4">
        <w:rPr>
          <w:lang w:eastAsia="en-AU"/>
        </w:rPr>
        <w:t xml:space="preserve"> and obstruct personal ambition and achievement. </w:t>
      </w:r>
    </w:p>
    <w:p w14:paraId="5E450863" w14:textId="5E76DF79" w:rsidR="0064464D" w:rsidRDefault="00632104" w:rsidP="0064464D">
      <w:pPr>
        <w:rPr>
          <w:rStyle w:val="normaltextrun"/>
          <w:rFonts w:ascii="Calibri" w:hAnsi="Calibri" w:cs="Calibri"/>
          <w:color w:val="000000" w:themeColor="text1"/>
        </w:rPr>
      </w:pPr>
      <w:r w:rsidRPr="001E7AA4">
        <w:rPr>
          <w:rStyle w:val="normaltextrun"/>
          <w:rFonts w:ascii="Calibri" w:hAnsi="Calibri" w:cs="Calibri"/>
          <w:color w:val="000000" w:themeColor="text1"/>
        </w:rPr>
        <w:t>These skill</w:t>
      </w:r>
      <w:r w:rsidR="007436E0" w:rsidRPr="001E7AA4">
        <w:rPr>
          <w:rStyle w:val="normaltextrun"/>
          <w:rFonts w:ascii="Calibri" w:hAnsi="Calibri" w:cs="Calibri"/>
          <w:color w:val="000000" w:themeColor="text1"/>
        </w:rPr>
        <w:t>s</w:t>
      </w:r>
      <w:r w:rsidRPr="001E7AA4">
        <w:rPr>
          <w:rStyle w:val="normaltextrun"/>
          <w:rFonts w:ascii="Calibri" w:hAnsi="Calibri" w:cs="Calibri"/>
          <w:color w:val="000000" w:themeColor="text1"/>
        </w:rPr>
        <w:t xml:space="preserve"> shortages are everyday news and widely understood. Despite this, current trends</w:t>
      </w:r>
      <w:r w:rsidR="006E611E" w:rsidRPr="001E7AA4">
        <w:rPr>
          <w:rStyle w:val="normaltextrun"/>
          <w:rFonts w:ascii="Calibri" w:hAnsi="Calibri" w:cs="Calibri"/>
          <w:color w:val="000000" w:themeColor="text1"/>
        </w:rPr>
        <w:t xml:space="preserve"> in</w:t>
      </w:r>
      <w:r w:rsidRPr="001E7AA4">
        <w:rPr>
          <w:rStyle w:val="normaltextrun"/>
          <w:rFonts w:ascii="Calibri" w:hAnsi="Calibri" w:cs="Calibri"/>
          <w:color w:val="000000" w:themeColor="text1"/>
        </w:rPr>
        <w:t xml:space="preserve"> </w:t>
      </w:r>
      <w:r w:rsidR="0064464D" w:rsidRPr="001E7AA4">
        <w:rPr>
          <w:rStyle w:val="normaltextrun"/>
          <w:rFonts w:ascii="Calibri" w:hAnsi="Calibri" w:cs="Calibri"/>
          <w:color w:val="000000" w:themeColor="text1"/>
        </w:rPr>
        <w:t xml:space="preserve">higher education attainment and demand </w:t>
      </w:r>
      <w:r w:rsidRPr="001E7AA4">
        <w:rPr>
          <w:rStyle w:val="normaltextrun"/>
          <w:rFonts w:ascii="Calibri" w:hAnsi="Calibri" w:cs="Calibri"/>
          <w:color w:val="000000" w:themeColor="text1"/>
        </w:rPr>
        <w:t xml:space="preserve">are </w:t>
      </w:r>
      <w:r w:rsidR="0064464D" w:rsidRPr="001E7AA4">
        <w:rPr>
          <w:rStyle w:val="normaltextrun"/>
          <w:rFonts w:ascii="Calibri" w:hAnsi="Calibri" w:cs="Calibri"/>
          <w:color w:val="000000" w:themeColor="text1"/>
        </w:rPr>
        <w:t xml:space="preserve">heading in the wrong direction. </w:t>
      </w:r>
      <w:r w:rsidRPr="001E7AA4">
        <w:rPr>
          <w:rStyle w:val="normaltextrun"/>
          <w:rFonts w:ascii="Calibri" w:hAnsi="Calibri" w:cs="Calibri"/>
          <w:color w:val="000000" w:themeColor="text1"/>
        </w:rPr>
        <w:t>T</w:t>
      </w:r>
      <w:r w:rsidR="0064464D" w:rsidRPr="001E7AA4">
        <w:rPr>
          <w:rStyle w:val="normaltextrun"/>
          <w:rFonts w:ascii="Calibri" w:hAnsi="Calibri" w:cs="Calibri"/>
          <w:color w:val="000000" w:themeColor="text1"/>
        </w:rPr>
        <w:t xml:space="preserve">rends in first-time completions of bachelor degrees have been decreasing since 2018, </w:t>
      </w:r>
      <w:r w:rsidR="0064464D" w:rsidRPr="001E7AA4">
        <w:t>with 2021 completions at their lowest since 2014. Concerningly,</w:t>
      </w:r>
      <w:r w:rsidR="0064464D" w:rsidRPr="001E7AA4">
        <w:rPr>
          <w:rStyle w:val="normaltextrun"/>
          <w:rFonts w:ascii="Calibri" w:hAnsi="Calibri" w:cs="Calibri"/>
          <w:color w:val="000000" w:themeColor="text1"/>
        </w:rPr>
        <w:t xml:space="preserve"> </w:t>
      </w:r>
      <w:r w:rsidR="0064464D" w:rsidRPr="001E7AA4">
        <w:t xml:space="preserve">demand for higher education </w:t>
      </w:r>
      <w:r w:rsidRPr="001E7AA4">
        <w:t xml:space="preserve">is falling – which will lead to even fewer </w:t>
      </w:r>
      <w:r w:rsidR="0064464D" w:rsidRPr="001E7AA4">
        <w:t>graduations a few years</w:t>
      </w:r>
      <w:r w:rsidRPr="001E7AA4">
        <w:t xml:space="preserve"> from now</w:t>
      </w:r>
      <w:r w:rsidR="0064464D" w:rsidRPr="001E7AA4">
        <w:t>.</w:t>
      </w:r>
      <w:r w:rsidR="0064464D" w:rsidRPr="001E7AA4">
        <w:rPr>
          <w:rStyle w:val="FootnoteReference"/>
        </w:rPr>
        <w:footnoteReference w:id="10"/>
      </w:r>
      <w:r w:rsidR="0064464D" w:rsidRPr="001E7AA4">
        <w:rPr>
          <w:rStyle w:val="normaltextrun"/>
          <w:rFonts w:ascii="Calibri" w:hAnsi="Calibri" w:cs="Calibri"/>
          <w:color w:val="000000" w:themeColor="text1"/>
        </w:rPr>
        <w:t xml:space="preserve"> </w:t>
      </w:r>
      <w:r w:rsidRPr="001E7AA4">
        <w:rPr>
          <w:rStyle w:val="normaltextrun"/>
          <w:rFonts w:ascii="Calibri" w:hAnsi="Calibri" w:cs="Calibri"/>
          <w:color w:val="000000" w:themeColor="text1"/>
        </w:rPr>
        <w:t>Australia’s declining</w:t>
      </w:r>
      <w:r w:rsidR="0064464D" w:rsidRPr="001E7AA4">
        <w:rPr>
          <w:rStyle w:val="normaltextrun"/>
          <w:rFonts w:ascii="Calibri" w:hAnsi="Calibri" w:cs="Calibri"/>
          <w:color w:val="000000" w:themeColor="text1"/>
        </w:rPr>
        <w:t xml:space="preserve"> </w:t>
      </w:r>
      <w:r w:rsidRPr="001E7AA4">
        <w:rPr>
          <w:rStyle w:val="normaltextrun"/>
          <w:rFonts w:ascii="Calibri" w:hAnsi="Calibri" w:cs="Calibri"/>
          <w:color w:val="000000" w:themeColor="text1"/>
        </w:rPr>
        <w:t xml:space="preserve">skills </w:t>
      </w:r>
      <w:r w:rsidR="0064464D" w:rsidRPr="001E7AA4">
        <w:rPr>
          <w:rStyle w:val="normaltextrun"/>
          <w:rFonts w:ascii="Calibri" w:hAnsi="Calibri" w:cs="Calibri"/>
          <w:color w:val="000000" w:themeColor="text1"/>
        </w:rPr>
        <w:t>trend</w:t>
      </w:r>
      <w:r w:rsidRPr="001E7AA4">
        <w:rPr>
          <w:rStyle w:val="normaltextrun"/>
          <w:rFonts w:ascii="Calibri" w:hAnsi="Calibri" w:cs="Calibri"/>
          <w:color w:val="000000" w:themeColor="text1"/>
        </w:rPr>
        <w:t>s</w:t>
      </w:r>
      <w:r w:rsidR="0064464D" w:rsidRPr="001E7AA4">
        <w:rPr>
          <w:rStyle w:val="normaltextrun"/>
          <w:rFonts w:ascii="Calibri" w:hAnsi="Calibri" w:cs="Calibri"/>
          <w:color w:val="000000" w:themeColor="text1"/>
        </w:rPr>
        <w:t xml:space="preserve"> must be reversed.</w:t>
      </w:r>
      <w:r w:rsidRPr="001E7AA4">
        <w:rPr>
          <w:rStyle w:val="normaltextrun"/>
          <w:rFonts w:ascii="Calibri" w:hAnsi="Calibri" w:cs="Calibri"/>
          <w:color w:val="000000" w:themeColor="text1"/>
        </w:rPr>
        <w:t xml:space="preserve"> A sense of urgency is needed.</w:t>
      </w:r>
    </w:p>
    <w:p w14:paraId="713D6E40" w14:textId="1F5A0D7B" w:rsidR="00B552EB" w:rsidRDefault="00B552EB" w:rsidP="00B552EB">
      <w:pPr>
        <w:pStyle w:val="Pulloutboxes"/>
        <w:rPr>
          <w:rStyle w:val="normaltextrun"/>
        </w:rPr>
      </w:pPr>
      <w:r w:rsidRPr="009E134D">
        <w:rPr>
          <w:rStyle w:val="normaltextrun"/>
        </w:rPr>
        <w:t>The answer is</w:t>
      </w:r>
      <w:r w:rsidRPr="009E134D">
        <w:rPr>
          <w:rStyle w:val="normaltextrun"/>
          <w:i/>
          <w:iCs/>
        </w:rPr>
        <w:t xml:space="preserve"> growth for skills through greater equity.</w:t>
      </w:r>
    </w:p>
    <w:p w14:paraId="195FA8E4" w14:textId="2422775B" w:rsidR="0064464D" w:rsidRPr="001E7AA4" w:rsidRDefault="0097634A" w:rsidP="0064464D">
      <w:pPr>
        <w:rPr>
          <w:rStyle w:val="normaltextrun"/>
          <w:rFonts w:ascii="Calibri" w:hAnsi="Calibri" w:cs="Calibri"/>
          <w:color w:val="000000" w:themeColor="text1"/>
        </w:rPr>
      </w:pPr>
      <w:r w:rsidRPr="001E7AA4">
        <w:rPr>
          <w:rStyle w:val="normaltextrun"/>
          <w:rFonts w:ascii="Calibri" w:hAnsi="Calibri" w:cs="Calibri"/>
          <w:color w:val="000000" w:themeColor="text1"/>
        </w:rPr>
        <w:t>To</w:t>
      </w:r>
      <w:r w:rsidR="0064464D" w:rsidRPr="001E7AA4">
        <w:rPr>
          <w:rStyle w:val="normaltextrun"/>
          <w:rFonts w:ascii="Calibri" w:hAnsi="Calibri" w:cs="Calibri"/>
          <w:color w:val="000000" w:themeColor="text1"/>
        </w:rPr>
        <w:t xml:space="preserve"> </w:t>
      </w:r>
      <w:r w:rsidR="00632104" w:rsidRPr="001E7AA4">
        <w:rPr>
          <w:rStyle w:val="normaltextrun"/>
          <w:rFonts w:ascii="Calibri" w:hAnsi="Calibri" w:cs="Calibri"/>
          <w:color w:val="000000" w:themeColor="text1"/>
        </w:rPr>
        <w:t xml:space="preserve">meet our </w:t>
      </w:r>
      <w:r w:rsidR="0064464D" w:rsidRPr="001E7AA4">
        <w:rPr>
          <w:rStyle w:val="normaltextrun"/>
          <w:rFonts w:ascii="Calibri" w:hAnsi="Calibri" w:cs="Calibri"/>
          <w:color w:val="000000" w:themeColor="text1"/>
        </w:rPr>
        <w:t>higher education attainment</w:t>
      </w:r>
      <w:r w:rsidR="00632104" w:rsidRPr="001E7AA4">
        <w:rPr>
          <w:rStyle w:val="normaltextrun"/>
          <w:rFonts w:ascii="Calibri" w:hAnsi="Calibri" w:cs="Calibri"/>
          <w:color w:val="000000" w:themeColor="text1"/>
        </w:rPr>
        <w:t xml:space="preserve"> needs</w:t>
      </w:r>
      <w:r w:rsidR="0064464D" w:rsidRPr="001E7AA4">
        <w:rPr>
          <w:rStyle w:val="normaltextrun"/>
          <w:rFonts w:ascii="Calibri" w:hAnsi="Calibri" w:cs="Calibri"/>
          <w:color w:val="000000" w:themeColor="text1"/>
        </w:rPr>
        <w:t xml:space="preserve">, the system will need to rapidly and substantially </w:t>
      </w:r>
      <w:r w:rsidR="00632104" w:rsidRPr="001E7AA4">
        <w:rPr>
          <w:rStyle w:val="normaltextrun"/>
          <w:rFonts w:ascii="Calibri" w:hAnsi="Calibri" w:cs="Calibri"/>
          <w:color w:val="000000" w:themeColor="text1"/>
        </w:rPr>
        <w:t xml:space="preserve">seek out and include </w:t>
      </w:r>
      <w:r w:rsidR="0064464D" w:rsidRPr="001E7AA4">
        <w:rPr>
          <w:rStyle w:val="normaltextrun"/>
          <w:rFonts w:ascii="Calibri" w:hAnsi="Calibri" w:cs="Calibri"/>
          <w:color w:val="000000" w:themeColor="text1"/>
        </w:rPr>
        <w:t xml:space="preserve">students from </w:t>
      </w:r>
      <w:r w:rsidR="004E4D89" w:rsidRPr="001E7AA4">
        <w:t xml:space="preserve">historically </w:t>
      </w:r>
      <w:r w:rsidR="0064464D" w:rsidRPr="001E7AA4">
        <w:t>underrepresented backgrounds</w:t>
      </w:r>
      <w:r w:rsidR="0064464D" w:rsidRPr="001E7AA4">
        <w:rPr>
          <w:rStyle w:val="normaltextrun"/>
          <w:rFonts w:ascii="Calibri" w:hAnsi="Calibri" w:cs="Calibri"/>
          <w:color w:val="000000" w:themeColor="text1"/>
        </w:rPr>
        <w:t xml:space="preserve">. To reach parity, growth in students from underrepresented </w:t>
      </w:r>
      <w:r w:rsidR="00336743" w:rsidRPr="001E7AA4">
        <w:rPr>
          <w:rStyle w:val="normaltextrun"/>
          <w:rFonts w:ascii="Calibri" w:hAnsi="Calibri" w:cs="Calibri"/>
          <w:color w:val="000000" w:themeColor="text1"/>
        </w:rPr>
        <w:t>backgrounds</w:t>
      </w:r>
      <w:r w:rsidR="0064464D" w:rsidRPr="001E7AA4">
        <w:rPr>
          <w:rStyle w:val="normaltextrun"/>
          <w:rFonts w:ascii="Calibri" w:hAnsi="Calibri" w:cs="Calibri"/>
          <w:color w:val="000000" w:themeColor="text1"/>
        </w:rPr>
        <w:t xml:space="preserve"> will need to be significantly higher than for other students. </w:t>
      </w:r>
      <w:r w:rsidR="00D61E10" w:rsidRPr="001E7AA4">
        <w:rPr>
          <w:rStyle w:val="normaltextrun"/>
          <w:rFonts w:ascii="Calibri" w:hAnsi="Calibri" w:cs="Calibri"/>
          <w:color w:val="000000" w:themeColor="text1"/>
        </w:rPr>
        <w:t>Th</w:t>
      </w:r>
      <w:r w:rsidR="00F910A1" w:rsidRPr="001E7AA4">
        <w:rPr>
          <w:rStyle w:val="normaltextrun"/>
          <w:rFonts w:ascii="Calibri" w:hAnsi="Calibri" w:cs="Calibri"/>
          <w:color w:val="000000" w:themeColor="text1"/>
        </w:rPr>
        <w:t xml:space="preserve">e Department of Education’s initial analysis of </w:t>
      </w:r>
      <w:r w:rsidR="00D818DB" w:rsidRPr="001E7AA4">
        <w:rPr>
          <w:rStyle w:val="normaltextrun"/>
          <w:rFonts w:ascii="Calibri" w:hAnsi="Calibri" w:cs="Calibri"/>
          <w:color w:val="000000" w:themeColor="text1"/>
        </w:rPr>
        <w:t xml:space="preserve">potential enrolment growth to </w:t>
      </w:r>
      <w:r w:rsidR="00214001" w:rsidRPr="001E7AA4">
        <w:rPr>
          <w:rStyle w:val="normaltextrun"/>
          <w:rFonts w:ascii="Calibri" w:hAnsi="Calibri" w:cs="Calibri"/>
          <w:color w:val="000000" w:themeColor="text1"/>
        </w:rPr>
        <w:t>meet a</w:t>
      </w:r>
      <w:r w:rsidR="00C41FF6" w:rsidRPr="001E7AA4">
        <w:rPr>
          <w:rStyle w:val="normaltextrun"/>
          <w:rFonts w:ascii="Calibri" w:hAnsi="Calibri" w:cs="Calibri"/>
          <w:color w:val="000000" w:themeColor="text1"/>
        </w:rPr>
        <w:t xml:space="preserve"> potential</w:t>
      </w:r>
      <w:r w:rsidR="00214001" w:rsidRPr="001E7AA4">
        <w:rPr>
          <w:rStyle w:val="normaltextrun"/>
          <w:rFonts w:ascii="Calibri" w:hAnsi="Calibri" w:cs="Calibri"/>
          <w:color w:val="000000" w:themeColor="text1"/>
        </w:rPr>
        <w:t xml:space="preserve"> attainment target of 55</w:t>
      </w:r>
      <w:r w:rsidR="00214001" w:rsidRPr="001E7AA4" w:rsidDel="0002240E">
        <w:rPr>
          <w:rStyle w:val="normaltextrun"/>
          <w:rFonts w:ascii="Calibri" w:hAnsi="Calibri" w:cs="Calibri"/>
          <w:color w:val="000000" w:themeColor="text1"/>
        </w:rPr>
        <w:t>%</w:t>
      </w:r>
      <w:r w:rsidR="0002240E" w:rsidRPr="001E7AA4">
        <w:rPr>
          <w:rStyle w:val="normaltextrun"/>
          <w:rFonts w:ascii="Calibri" w:hAnsi="Calibri" w:cs="Calibri"/>
          <w:color w:val="000000" w:themeColor="text1"/>
        </w:rPr>
        <w:t xml:space="preserve"> </w:t>
      </w:r>
      <w:r w:rsidR="00214001" w:rsidRPr="001E7AA4">
        <w:rPr>
          <w:rStyle w:val="normaltextrun"/>
          <w:rFonts w:ascii="Calibri" w:hAnsi="Calibri" w:cs="Calibri"/>
          <w:color w:val="000000" w:themeColor="text1"/>
        </w:rPr>
        <w:t xml:space="preserve">by 2050, </w:t>
      </w:r>
      <w:r w:rsidR="00D61E10" w:rsidRPr="001E7AA4">
        <w:rPr>
          <w:rStyle w:val="normaltextrun"/>
          <w:rFonts w:ascii="Calibri" w:hAnsi="Calibri" w:cs="Calibri"/>
          <w:color w:val="000000" w:themeColor="text1"/>
        </w:rPr>
        <w:t>suggests</w:t>
      </w:r>
      <w:r w:rsidR="00AB76DA" w:rsidRPr="001E7AA4">
        <w:rPr>
          <w:rStyle w:val="normaltextrun"/>
          <w:rFonts w:ascii="Calibri" w:hAnsi="Calibri" w:cs="Calibri"/>
          <w:color w:val="000000" w:themeColor="text1"/>
        </w:rPr>
        <w:t xml:space="preserve"> </w:t>
      </w:r>
      <w:r w:rsidR="00CB0C72" w:rsidRPr="001E7AA4">
        <w:rPr>
          <w:rStyle w:val="normaltextrun"/>
          <w:rFonts w:ascii="Calibri" w:hAnsi="Calibri" w:cs="Calibri"/>
          <w:color w:val="000000" w:themeColor="text1"/>
        </w:rPr>
        <w:t>that</w:t>
      </w:r>
      <w:r w:rsidR="009B4700" w:rsidRPr="001E7AA4">
        <w:rPr>
          <w:rStyle w:val="normaltextrun"/>
          <w:rFonts w:ascii="Calibri" w:hAnsi="Calibri" w:cs="Calibri"/>
          <w:color w:val="000000" w:themeColor="text1"/>
        </w:rPr>
        <w:t xml:space="preserve"> by 2035</w:t>
      </w:r>
      <w:r w:rsidR="008C2CAA" w:rsidRPr="001E7AA4">
        <w:rPr>
          <w:rStyle w:val="normaltextrun"/>
          <w:rFonts w:ascii="Calibri" w:hAnsi="Calibri" w:cs="Calibri"/>
          <w:color w:val="000000" w:themeColor="text1"/>
        </w:rPr>
        <w:t>,</w:t>
      </w:r>
      <w:r w:rsidR="00CB0C72" w:rsidRPr="001E7AA4">
        <w:rPr>
          <w:rStyle w:val="normaltextrun"/>
          <w:rFonts w:ascii="Calibri" w:hAnsi="Calibri" w:cs="Calibri"/>
          <w:color w:val="000000" w:themeColor="text1"/>
        </w:rPr>
        <w:t xml:space="preserve"> </w:t>
      </w:r>
      <w:r w:rsidR="000F5F44" w:rsidRPr="001E7AA4">
        <w:rPr>
          <w:rStyle w:val="normaltextrun"/>
          <w:rFonts w:ascii="Calibri" w:hAnsi="Calibri" w:cs="Calibri"/>
          <w:color w:val="000000" w:themeColor="text1"/>
        </w:rPr>
        <w:t xml:space="preserve">Commonwealth supported </w:t>
      </w:r>
      <w:r w:rsidR="00D33A65" w:rsidRPr="001E7AA4">
        <w:rPr>
          <w:rStyle w:val="normaltextrun"/>
          <w:rFonts w:ascii="Calibri" w:hAnsi="Calibri" w:cs="Calibri"/>
          <w:color w:val="000000" w:themeColor="text1"/>
        </w:rPr>
        <w:t xml:space="preserve">enrolments </w:t>
      </w:r>
      <w:r w:rsidR="00CB0C72" w:rsidRPr="001E7AA4">
        <w:rPr>
          <w:rStyle w:val="normaltextrun"/>
          <w:rFonts w:ascii="Calibri" w:hAnsi="Calibri" w:cs="Calibri"/>
          <w:color w:val="000000" w:themeColor="text1"/>
        </w:rPr>
        <w:t>need to</w:t>
      </w:r>
      <w:r w:rsidR="002B7C8A" w:rsidRPr="001E7AA4">
        <w:rPr>
          <w:rStyle w:val="normaltextrun"/>
          <w:rFonts w:ascii="Calibri" w:hAnsi="Calibri" w:cs="Calibri"/>
          <w:color w:val="000000" w:themeColor="text1"/>
        </w:rPr>
        <w:t xml:space="preserve"> increase by</w:t>
      </w:r>
      <w:r w:rsidR="00CB0C72" w:rsidRPr="001E7AA4">
        <w:rPr>
          <w:rStyle w:val="normaltextrun"/>
          <w:rFonts w:ascii="Calibri" w:hAnsi="Calibri" w:cs="Calibri"/>
          <w:color w:val="000000" w:themeColor="text1"/>
        </w:rPr>
        <w:t xml:space="preserve"> </w:t>
      </w:r>
      <w:r w:rsidR="00752508" w:rsidRPr="001E7AA4">
        <w:rPr>
          <w:rStyle w:val="normaltextrun"/>
          <w:rFonts w:ascii="Calibri" w:hAnsi="Calibri" w:cs="Calibri"/>
          <w:color w:val="000000" w:themeColor="text1"/>
        </w:rPr>
        <w:t>33</w:t>
      </w:r>
      <w:r w:rsidR="00CB0C72" w:rsidRPr="001E7AA4" w:rsidDel="0002240E">
        <w:rPr>
          <w:rStyle w:val="normaltextrun"/>
          <w:rFonts w:ascii="Calibri" w:hAnsi="Calibri" w:cs="Calibri"/>
          <w:color w:val="000000" w:themeColor="text1"/>
        </w:rPr>
        <w:t>%</w:t>
      </w:r>
      <w:r w:rsidR="0002240E" w:rsidRPr="001E7AA4">
        <w:rPr>
          <w:rStyle w:val="normaltextrun"/>
          <w:rFonts w:ascii="Calibri" w:hAnsi="Calibri" w:cs="Calibri"/>
          <w:color w:val="000000" w:themeColor="text1"/>
        </w:rPr>
        <w:t xml:space="preserve"> </w:t>
      </w:r>
      <w:r w:rsidR="002B7C8A" w:rsidRPr="001E7AA4">
        <w:rPr>
          <w:rStyle w:val="normaltextrun"/>
          <w:rFonts w:ascii="Calibri" w:hAnsi="Calibri" w:cs="Calibri"/>
          <w:color w:val="000000" w:themeColor="text1"/>
        </w:rPr>
        <w:t>compared to</w:t>
      </w:r>
      <w:r w:rsidR="004F6211" w:rsidRPr="001E7AA4">
        <w:rPr>
          <w:rStyle w:val="normaltextrun"/>
          <w:rFonts w:ascii="Calibri" w:hAnsi="Calibri" w:cs="Calibri"/>
          <w:color w:val="000000" w:themeColor="text1"/>
        </w:rPr>
        <w:t xml:space="preserve"> </w:t>
      </w:r>
      <w:r w:rsidR="00EB7B47" w:rsidRPr="001E7AA4">
        <w:rPr>
          <w:rStyle w:val="normaltextrun"/>
          <w:rFonts w:ascii="Calibri" w:hAnsi="Calibri" w:cs="Calibri"/>
          <w:color w:val="000000" w:themeColor="text1"/>
        </w:rPr>
        <w:t>2021</w:t>
      </w:r>
      <w:r w:rsidR="00752508" w:rsidRPr="001E7AA4">
        <w:rPr>
          <w:rStyle w:val="normaltextrun"/>
          <w:rFonts w:ascii="Calibri" w:hAnsi="Calibri" w:cs="Calibri"/>
          <w:color w:val="000000" w:themeColor="text1"/>
        </w:rPr>
        <w:t xml:space="preserve">. </w:t>
      </w:r>
      <w:r w:rsidR="003C32E3" w:rsidRPr="001E7AA4">
        <w:rPr>
          <w:rStyle w:val="normaltextrun"/>
          <w:rFonts w:ascii="Calibri" w:hAnsi="Calibri" w:cs="Calibri"/>
          <w:color w:val="000000" w:themeColor="text1"/>
        </w:rPr>
        <w:t xml:space="preserve">Given the </w:t>
      </w:r>
      <w:r w:rsidR="00F92C38" w:rsidRPr="001E7AA4">
        <w:rPr>
          <w:rStyle w:val="normaltextrun"/>
          <w:rFonts w:ascii="Calibri" w:hAnsi="Calibri" w:cs="Calibri"/>
          <w:color w:val="000000" w:themeColor="text1"/>
        </w:rPr>
        <w:t xml:space="preserve">already </w:t>
      </w:r>
      <w:r w:rsidR="003C32E3" w:rsidRPr="001E7AA4">
        <w:rPr>
          <w:rStyle w:val="normaltextrun"/>
          <w:rFonts w:ascii="Calibri" w:hAnsi="Calibri" w:cs="Calibri"/>
          <w:color w:val="000000" w:themeColor="text1"/>
        </w:rPr>
        <w:t>high levels of participation</w:t>
      </w:r>
      <w:r w:rsidR="008857E0" w:rsidRPr="001E7AA4">
        <w:rPr>
          <w:rStyle w:val="normaltextrun"/>
          <w:rFonts w:ascii="Calibri" w:hAnsi="Calibri" w:cs="Calibri"/>
          <w:color w:val="000000" w:themeColor="text1"/>
        </w:rPr>
        <w:t xml:space="preserve"> in</w:t>
      </w:r>
      <w:r w:rsidR="00222712" w:rsidRPr="001E7AA4">
        <w:rPr>
          <w:rStyle w:val="normaltextrun"/>
          <w:rFonts w:ascii="Calibri" w:hAnsi="Calibri" w:cs="Calibri"/>
          <w:color w:val="000000" w:themeColor="text1"/>
        </w:rPr>
        <w:t xml:space="preserve"> some</w:t>
      </w:r>
      <w:r w:rsidR="008857E0" w:rsidRPr="001E7AA4">
        <w:rPr>
          <w:rStyle w:val="normaltextrun"/>
          <w:rFonts w:ascii="Calibri" w:hAnsi="Calibri" w:cs="Calibri"/>
          <w:color w:val="000000" w:themeColor="text1"/>
        </w:rPr>
        <w:t xml:space="preserve"> communit</w:t>
      </w:r>
      <w:r w:rsidR="00222712" w:rsidRPr="001E7AA4">
        <w:rPr>
          <w:rStyle w:val="normaltextrun"/>
          <w:rFonts w:ascii="Calibri" w:hAnsi="Calibri" w:cs="Calibri"/>
          <w:color w:val="000000" w:themeColor="text1"/>
        </w:rPr>
        <w:t>ies</w:t>
      </w:r>
      <w:r w:rsidR="008F64FD" w:rsidRPr="001E7AA4">
        <w:rPr>
          <w:rStyle w:val="normaltextrun"/>
          <w:rFonts w:ascii="Calibri" w:hAnsi="Calibri" w:cs="Calibri"/>
          <w:color w:val="000000" w:themeColor="text1"/>
        </w:rPr>
        <w:t>, th</w:t>
      </w:r>
      <w:r w:rsidR="00C63E46" w:rsidRPr="001E7AA4">
        <w:rPr>
          <w:rStyle w:val="normaltextrun"/>
          <w:rFonts w:ascii="Calibri" w:hAnsi="Calibri" w:cs="Calibri"/>
          <w:color w:val="000000" w:themeColor="text1"/>
        </w:rPr>
        <w:t>is</w:t>
      </w:r>
      <w:r w:rsidR="008F64FD" w:rsidRPr="001E7AA4">
        <w:rPr>
          <w:rStyle w:val="normaltextrun"/>
          <w:rFonts w:ascii="Calibri" w:hAnsi="Calibri" w:cs="Calibri"/>
          <w:color w:val="000000" w:themeColor="text1"/>
        </w:rPr>
        <w:t xml:space="preserve"> additional </w:t>
      </w:r>
      <w:r w:rsidR="00C63E46" w:rsidRPr="001E7AA4">
        <w:rPr>
          <w:rStyle w:val="normaltextrun"/>
          <w:rFonts w:ascii="Calibri" w:hAnsi="Calibri" w:cs="Calibri"/>
          <w:color w:val="000000" w:themeColor="text1"/>
        </w:rPr>
        <w:t>growth</w:t>
      </w:r>
      <w:r w:rsidR="00A01C4A" w:rsidRPr="001E7AA4">
        <w:rPr>
          <w:rStyle w:val="normaltextrun"/>
          <w:rFonts w:ascii="Calibri" w:hAnsi="Calibri" w:cs="Calibri"/>
          <w:color w:val="000000" w:themeColor="text1"/>
        </w:rPr>
        <w:t xml:space="preserve"> </w:t>
      </w:r>
      <w:r w:rsidR="0007761B" w:rsidRPr="001E7AA4">
        <w:rPr>
          <w:rStyle w:val="normaltextrun"/>
          <w:rFonts w:ascii="Calibri" w:hAnsi="Calibri" w:cs="Calibri"/>
          <w:color w:val="000000" w:themeColor="text1"/>
        </w:rPr>
        <w:t xml:space="preserve">in </w:t>
      </w:r>
      <w:r w:rsidR="008F64FD" w:rsidRPr="001E7AA4">
        <w:rPr>
          <w:rStyle w:val="normaltextrun"/>
          <w:rFonts w:ascii="Calibri" w:hAnsi="Calibri" w:cs="Calibri"/>
          <w:color w:val="000000" w:themeColor="text1"/>
        </w:rPr>
        <w:t xml:space="preserve">enrolments will need </w:t>
      </w:r>
      <w:r w:rsidR="0047511C" w:rsidRPr="001E7AA4">
        <w:rPr>
          <w:rStyle w:val="normaltextrun"/>
          <w:rFonts w:ascii="Calibri" w:hAnsi="Calibri" w:cs="Calibri"/>
          <w:color w:val="000000" w:themeColor="text1"/>
        </w:rPr>
        <w:t xml:space="preserve">to come from </w:t>
      </w:r>
      <w:r w:rsidR="0061472B" w:rsidRPr="001E7AA4">
        <w:rPr>
          <w:rStyle w:val="normaltextrun"/>
          <w:rFonts w:ascii="Calibri" w:hAnsi="Calibri" w:cs="Calibri"/>
          <w:color w:val="000000" w:themeColor="text1"/>
        </w:rPr>
        <w:t>communities that are traditional</w:t>
      </w:r>
      <w:r w:rsidR="005F455B" w:rsidRPr="001E7AA4">
        <w:rPr>
          <w:rStyle w:val="normaltextrun"/>
          <w:rFonts w:ascii="Calibri" w:hAnsi="Calibri" w:cs="Calibri"/>
          <w:color w:val="000000" w:themeColor="text1"/>
        </w:rPr>
        <w:t>ly</w:t>
      </w:r>
      <w:r w:rsidR="0061472B" w:rsidRPr="001E7AA4">
        <w:rPr>
          <w:rStyle w:val="normaltextrun"/>
          <w:rFonts w:ascii="Calibri" w:hAnsi="Calibri" w:cs="Calibri"/>
          <w:color w:val="000000" w:themeColor="text1"/>
        </w:rPr>
        <w:t xml:space="preserve"> underrepresented in higher education.</w:t>
      </w:r>
      <w:r w:rsidR="00BB50D1" w:rsidRPr="001E7AA4">
        <w:rPr>
          <w:rStyle w:val="normaltextrun"/>
          <w:rFonts w:ascii="Calibri" w:hAnsi="Calibri" w:cs="Calibri"/>
          <w:color w:val="000000" w:themeColor="text1"/>
        </w:rPr>
        <w:t xml:space="preserve"> </w:t>
      </w:r>
      <w:r w:rsidR="0061472B" w:rsidRPr="001E7AA4">
        <w:rPr>
          <w:rStyle w:val="normaltextrun"/>
          <w:rFonts w:ascii="Calibri" w:hAnsi="Calibri" w:cs="Calibri"/>
          <w:color w:val="000000" w:themeColor="text1"/>
        </w:rPr>
        <w:t>Reaching parity would require</w:t>
      </w:r>
      <w:r w:rsidR="00BB50D1" w:rsidRPr="001E7AA4">
        <w:rPr>
          <w:rStyle w:val="normaltextrun"/>
          <w:rFonts w:ascii="Calibri" w:hAnsi="Calibri" w:cs="Calibri"/>
          <w:color w:val="000000" w:themeColor="text1"/>
        </w:rPr>
        <w:t xml:space="preserve"> </w:t>
      </w:r>
      <w:r w:rsidR="0064464D" w:rsidRPr="001E7AA4">
        <w:rPr>
          <w:rStyle w:val="normaltextrun"/>
          <w:rFonts w:ascii="Calibri" w:hAnsi="Calibri" w:cs="Calibri"/>
          <w:color w:val="000000" w:themeColor="text1"/>
        </w:rPr>
        <w:t xml:space="preserve">around </w:t>
      </w:r>
      <w:r w:rsidR="003C18D7" w:rsidRPr="001E7AA4">
        <w:rPr>
          <w:rStyle w:val="normaltextrun"/>
          <w:rFonts w:ascii="Calibri" w:hAnsi="Calibri" w:cs="Calibri"/>
          <w:color w:val="000000" w:themeColor="text1"/>
        </w:rPr>
        <w:t>60</w:t>
      </w:r>
      <w:r w:rsidR="0064464D" w:rsidRPr="001E7AA4" w:rsidDel="0002240E">
        <w:rPr>
          <w:rStyle w:val="normaltextrun"/>
          <w:rFonts w:ascii="Calibri" w:hAnsi="Calibri" w:cs="Calibri"/>
          <w:color w:val="000000" w:themeColor="text1"/>
        </w:rPr>
        <w:t>%</w:t>
      </w:r>
      <w:r w:rsidR="0002240E" w:rsidRPr="001E7AA4">
        <w:rPr>
          <w:rStyle w:val="normaltextrun"/>
          <w:rFonts w:ascii="Calibri" w:hAnsi="Calibri" w:cs="Calibri"/>
          <w:color w:val="000000" w:themeColor="text1"/>
        </w:rPr>
        <w:t xml:space="preserve"> </w:t>
      </w:r>
      <w:r w:rsidR="0064464D" w:rsidRPr="001E7AA4">
        <w:rPr>
          <w:rStyle w:val="normaltextrun"/>
          <w:rFonts w:ascii="Calibri" w:hAnsi="Calibri" w:cs="Calibri"/>
          <w:color w:val="000000" w:themeColor="text1"/>
        </w:rPr>
        <w:t>of the additional students in the system to be from low</w:t>
      </w:r>
      <w:r w:rsidR="00856A92" w:rsidRPr="001E7AA4">
        <w:rPr>
          <w:rStyle w:val="normaltextrun"/>
          <w:rFonts w:ascii="Calibri" w:hAnsi="Calibri" w:cs="Calibri"/>
          <w:color w:val="000000" w:themeColor="text1"/>
        </w:rPr>
        <w:t xml:space="preserve"> </w:t>
      </w:r>
      <w:r w:rsidR="0064464D" w:rsidRPr="001E7AA4">
        <w:rPr>
          <w:rStyle w:val="normaltextrun"/>
          <w:rFonts w:ascii="Calibri" w:hAnsi="Calibri" w:cs="Calibri"/>
          <w:color w:val="000000" w:themeColor="text1"/>
        </w:rPr>
        <w:t xml:space="preserve">SES backgrounds. </w:t>
      </w:r>
      <w:r w:rsidR="0064464D" w:rsidRPr="001E7AA4">
        <w:rPr>
          <w:rStyle w:val="normaltextrun"/>
          <w:rFonts w:ascii="Calibri" w:hAnsi="Calibri" w:cs="Calibri"/>
          <w:color w:val="000000" w:themeColor="text1"/>
        </w:rPr>
        <w:lastRenderedPageBreak/>
        <w:t xml:space="preserve">Similarly, </w:t>
      </w:r>
      <w:r w:rsidR="001A73F6" w:rsidRPr="001E7AA4">
        <w:rPr>
          <w:rStyle w:val="normaltextrun"/>
          <w:rFonts w:ascii="Calibri" w:hAnsi="Calibri" w:cs="Calibri"/>
          <w:color w:val="000000" w:themeColor="text1"/>
        </w:rPr>
        <w:t>around</w:t>
      </w:r>
      <w:r w:rsidR="0064464D" w:rsidRPr="001E7AA4">
        <w:rPr>
          <w:rStyle w:val="normaltextrun"/>
          <w:rFonts w:ascii="Calibri" w:hAnsi="Calibri" w:cs="Calibri"/>
          <w:color w:val="000000" w:themeColor="text1"/>
        </w:rPr>
        <w:t xml:space="preserve"> </w:t>
      </w:r>
      <w:r w:rsidR="003C18D7" w:rsidRPr="001E7AA4">
        <w:rPr>
          <w:rStyle w:val="normaltextrun"/>
          <w:rFonts w:ascii="Calibri" w:hAnsi="Calibri" w:cs="Calibri"/>
          <w:color w:val="000000" w:themeColor="text1"/>
        </w:rPr>
        <w:t>53</w:t>
      </w:r>
      <w:r w:rsidR="0064464D" w:rsidRPr="001E7AA4" w:rsidDel="0002240E">
        <w:rPr>
          <w:rStyle w:val="normaltextrun"/>
          <w:rFonts w:ascii="Calibri" w:hAnsi="Calibri" w:cs="Calibri"/>
          <w:color w:val="000000" w:themeColor="text1"/>
        </w:rPr>
        <w:t>%</w:t>
      </w:r>
      <w:r w:rsidR="0002240E" w:rsidRPr="001E7AA4">
        <w:rPr>
          <w:rStyle w:val="normaltextrun"/>
          <w:rFonts w:ascii="Calibri" w:hAnsi="Calibri" w:cs="Calibri"/>
          <w:color w:val="000000" w:themeColor="text1"/>
        </w:rPr>
        <w:t xml:space="preserve"> </w:t>
      </w:r>
      <w:r w:rsidR="0064464D" w:rsidRPr="001E7AA4">
        <w:rPr>
          <w:rStyle w:val="normaltextrun"/>
          <w:rFonts w:ascii="Calibri" w:hAnsi="Calibri" w:cs="Calibri"/>
          <w:color w:val="000000" w:themeColor="text1"/>
        </w:rPr>
        <w:t xml:space="preserve">would need to be from regional and remote areas, and </w:t>
      </w:r>
      <w:r w:rsidR="001A73F6" w:rsidRPr="001E7AA4">
        <w:rPr>
          <w:rStyle w:val="normaltextrun"/>
          <w:rFonts w:ascii="Calibri" w:hAnsi="Calibri" w:cs="Calibri"/>
          <w:color w:val="000000" w:themeColor="text1"/>
        </w:rPr>
        <w:t>around</w:t>
      </w:r>
      <w:r w:rsidR="0064464D" w:rsidRPr="001E7AA4">
        <w:rPr>
          <w:rStyle w:val="normaltextrun"/>
          <w:rFonts w:ascii="Calibri" w:hAnsi="Calibri" w:cs="Calibri"/>
          <w:color w:val="000000" w:themeColor="text1"/>
        </w:rPr>
        <w:t xml:space="preserve"> </w:t>
      </w:r>
      <w:r w:rsidR="003C18D7" w:rsidRPr="001E7AA4">
        <w:rPr>
          <w:rStyle w:val="normaltextrun"/>
          <w:rFonts w:ascii="Calibri" w:hAnsi="Calibri" w:cs="Calibri"/>
          <w:color w:val="000000" w:themeColor="text1"/>
        </w:rPr>
        <w:t>11</w:t>
      </w:r>
      <w:r w:rsidR="0064464D" w:rsidRPr="001E7AA4" w:rsidDel="0002240E">
        <w:rPr>
          <w:rStyle w:val="normaltextrun"/>
          <w:rFonts w:ascii="Calibri" w:hAnsi="Calibri" w:cs="Calibri"/>
          <w:color w:val="000000" w:themeColor="text1"/>
        </w:rPr>
        <w:t>%</w:t>
      </w:r>
      <w:r w:rsidR="0002240E" w:rsidRPr="001E7AA4">
        <w:rPr>
          <w:rStyle w:val="normaltextrun"/>
          <w:rFonts w:ascii="Calibri" w:hAnsi="Calibri" w:cs="Calibri"/>
          <w:color w:val="000000" w:themeColor="text1"/>
        </w:rPr>
        <w:t xml:space="preserve"> </w:t>
      </w:r>
      <w:r w:rsidR="0064464D" w:rsidRPr="001E7AA4">
        <w:rPr>
          <w:rStyle w:val="normaltextrun"/>
          <w:rFonts w:ascii="Calibri" w:hAnsi="Calibri" w:cs="Calibri"/>
          <w:color w:val="000000" w:themeColor="text1"/>
        </w:rPr>
        <w:t>w</w:t>
      </w:r>
      <w:r w:rsidR="001A73F6" w:rsidRPr="001E7AA4">
        <w:rPr>
          <w:rStyle w:val="normaltextrun"/>
          <w:rFonts w:ascii="Calibri" w:hAnsi="Calibri" w:cs="Calibri"/>
          <w:color w:val="000000" w:themeColor="text1"/>
        </w:rPr>
        <w:t>ould</w:t>
      </w:r>
      <w:r w:rsidR="0064464D" w:rsidRPr="001E7AA4">
        <w:rPr>
          <w:rStyle w:val="normaltextrun"/>
          <w:rFonts w:ascii="Calibri" w:hAnsi="Calibri" w:cs="Calibri"/>
          <w:color w:val="000000" w:themeColor="text1"/>
        </w:rPr>
        <w:t xml:space="preserve"> need to be First Nations students.</w:t>
      </w:r>
    </w:p>
    <w:p w14:paraId="632F9D27" w14:textId="1CDED505" w:rsidR="00632104" w:rsidRPr="001E7AA4" w:rsidRDefault="0064464D" w:rsidP="0064464D">
      <w:pPr>
        <w:rPr>
          <w:rStyle w:val="normaltextrun"/>
          <w:rFonts w:ascii="Calibri" w:hAnsi="Calibri" w:cs="Calibri"/>
        </w:rPr>
      </w:pPr>
      <w:r w:rsidRPr="001E7AA4">
        <w:rPr>
          <w:rStyle w:val="normaltextrun"/>
          <w:rFonts w:ascii="Calibri" w:hAnsi="Calibri" w:cs="Calibri"/>
          <w:color w:val="000000" w:themeColor="text1"/>
        </w:rPr>
        <w:t>This will mean addressing a greater divide between rich and poor</w:t>
      </w:r>
      <w:r w:rsidR="00067D85" w:rsidRPr="001E7AA4">
        <w:rPr>
          <w:rStyle w:val="normaltextrun"/>
          <w:rFonts w:ascii="Calibri" w:hAnsi="Calibri" w:cs="Calibri"/>
          <w:color w:val="000000" w:themeColor="text1"/>
        </w:rPr>
        <w:t>,</w:t>
      </w:r>
      <w:r w:rsidR="00C30783" w:rsidRPr="001E7AA4">
        <w:rPr>
          <w:rStyle w:val="FootnoteReference"/>
          <w:rFonts w:ascii="Calibri" w:hAnsi="Calibri" w:cs="Calibri"/>
          <w:color w:val="000000" w:themeColor="text1"/>
        </w:rPr>
        <w:footnoteReference w:id="11"/>
      </w:r>
      <w:r w:rsidRPr="001E7AA4">
        <w:rPr>
          <w:rStyle w:val="normaltextrun"/>
          <w:rFonts w:ascii="Calibri" w:hAnsi="Calibri" w:cs="Calibri"/>
          <w:color w:val="000000" w:themeColor="text1"/>
        </w:rPr>
        <w:t xml:space="preserve"> and an ongoing inability to </w:t>
      </w:r>
      <w:r w:rsidR="00BF1780" w:rsidRPr="001E7AA4">
        <w:rPr>
          <w:rStyle w:val="normaltextrun"/>
          <w:rFonts w:ascii="Calibri" w:hAnsi="Calibri" w:cs="Calibri"/>
          <w:color w:val="000000" w:themeColor="text1"/>
        </w:rPr>
        <w:t>c</w:t>
      </w:r>
      <w:r w:rsidRPr="001E7AA4">
        <w:rPr>
          <w:rStyle w:val="normaltextrun"/>
          <w:rFonts w:ascii="Calibri" w:hAnsi="Calibri" w:cs="Calibri"/>
          <w:color w:val="000000" w:themeColor="text1"/>
        </w:rPr>
        <w:t xml:space="preserve">lose the </w:t>
      </w:r>
      <w:r w:rsidR="00BF1780" w:rsidRPr="001E7AA4">
        <w:rPr>
          <w:rStyle w:val="normaltextrun"/>
          <w:rFonts w:ascii="Calibri" w:hAnsi="Calibri" w:cs="Calibri"/>
          <w:color w:val="000000" w:themeColor="text1"/>
        </w:rPr>
        <w:t>g</w:t>
      </w:r>
      <w:r w:rsidRPr="001E7AA4">
        <w:rPr>
          <w:rStyle w:val="normaltextrun"/>
          <w:rFonts w:ascii="Calibri" w:hAnsi="Calibri" w:cs="Calibri"/>
          <w:color w:val="000000" w:themeColor="text1"/>
        </w:rPr>
        <w:t xml:space="preserve">ap on Indigenous disadvantage. </w:t>
      </w:r>
      <w:r w:rsidRPr="001E7AA4">
        <w:rPr>
          <w:rStyle w:val="normaltextrun"/>
          <w:rFonts w:ascii="Calibri" w:hAnsi="Calibri" w:cs="Calibri"/>
        </w:rPr>
        <w:t xml:space="preserve">The equity targets that were set in the 2008 Bradley Review have still not been met </w:t>
      </w:r>
      <w:r w:rsidR="00742BEB" w:rsidRPr="001E7AA4">
        <w:rPr>
          <w:rStyle w:val="normaltextrun"/>
          <w:rFonts w:ascii="Calibri" w:hAnsi="Calibri" w:cs="Calibri"/>
        </w:rPr>
        <w:t>15</w:t>
      </w:r>
      <w:r w:rsidRPr="001E7AA4">
        <w:rPr>
          <w:rStyle w:val="normaltextrun"/>
          <w:rFonts w:ascii="Calibri" w:hAnsi="Calibri" w:cs="Calibri"/>
        </w:rPr>
        <w:t xml:space="preserve"> years after they were first proposed. This means that thousands of students continue to miss out on the life changing benefits of higher education. Not only does this affect those students’ economic and social wellbeing, but it also means our stock of knowledge is not representative of the myriad and diverse experience of Australians from all walks of life. To </w:t>
      </w:r>
      <w:r w:rsidR="009A5F89" w:rsidRPr="001E7AA4">
        <w:rPr>
          <w:rStyle w:val="normaltextrun"/>
          <w:rFonts w:ascii="Calibri" w:hAnsi="Calibri" w:cs="Calibri"/>
        </w:rPr>
        <w:t>c</w:t>
      </w:r>
      <w:r w:rsidRPr="001E7AA4">
        <w:rPr>
          <w:rStyle w:val="normaltextrun"/>
          <w:rFonts w:ascii="Calibri" w:hAnsi="Calibri" w:cs="Calibri"/>
        </w:rPr>
        <w:t xml:space="preserve">lose the </w:t>
      </w:r>
      <w:r w:rsidR="009A5F89" w:rsidRPr="001E7AA4">
        <w:rPr>
          <w:rStyle w:val="normaltextrun"/>
          <w:rFonts w:ascii="Calibri" w:hAnsi="Calibri" w:cs="Calibri"/>
        </w:rPr>
        <w:t>g</w:t>
      </w:r>
      <w:r w:rsidRPr="001E7AA4">
        <w:rPr>
          <w:rStyle w:val="normaltextrun"/>
          <w:rFonts w:ascii="Calibri" w:hAnsi="Calibri" w:cs="Calibri"/>
        </w:rPr>
        <w:t xml:space="preserve">ap for First Nations people and drive towards equal wellbeing for all Australians, the higher education system must make an urgent commitment to improve access and outcomes for traditionally underrepresented cohorts. </w:t>
      </w:r>
    </w:p>
    <w:p w14:paraId="3A6590DB" w14:textId="1006D5D6" w:rsidR="0064464D" w:rsidRPr="001E7AA4" w:rsidRDefault="0064464D" w:rsidP="00632104">
      <w:r w:rsidRPr="001E7AA4">
        <w:rPr>
          <w:rStyle w:val="normaltextrun"/>
          <w:rFonts w:ascii="Calibri" w:hAnsi="Calibri" w:cs="Calibri"/>
          <w:color w:val="000000"/>
          <w:shd w:val="clear" w:color="auto" w:fill="FFFFFF"/>
        </w:rPr>
        <w:t>Today</w:t>
      </w:r>
      <w:r w:rsidR="00C85432" w:rsidRPr="001E7AA4">
        <w:rPr>
          <w:rStyle w:val="normaltextrun"/>
          <w:rFonts w:ascii="Calibri" w:hAnsi="Calibri" w:cs="Calibri"/>
          <w:color w:val="000000"/>
          <w:shd w:val="clear" w:color="auto" w:fill="FFFFFF"/>
        </w:rPr>
        <w:t>’</w:t>
      </w:r>
      <w:r w:rsidRPr="001E7AA4">
        <w:rPr>
          <w:rStyle w:val="normaltextrun"/>
          <w:rFonts w:ascii="Calibri" w:hAnsi="Calibri" w:cs="Calibri"/>
          <w:color w:val="000000"/>
          <w:shd w:val="clear" w:color="auto" w:fill="FFFFFF"/>
        </w:rPr>
        <w:t>s skills shortages and mismatches</w:t>
      </w:r>
      <w:r w:rsidR="00632104" w:rsidRPr="001E7AA4">
        <w:rPr>
          <w:rStyle w:val="normaltextrun"/>
          <w:rFonts w:ascii="Calibri" w:hAnsi="Calibri" w:cs="Calibri"/>
          <w:color w:val="000000"/>
          <w:shd w:val="clear" w:color="auto" w:fill="FFFFFF"/>
        </w:rPr>
        <w:t xml:space="preserve"> are already costly and increasingly disruptive for our lives, and they are expected to</w:t>
      </w:r>
      <w:r w:rsidRPr="001E7AA4">
        <w:rPr>
          <w:rStyle w:val="normaltextrun"/>
          <w:rFonts w:ascii="Calibri" w:hAnsi="Calibri" w:cs="Calibri"/>
          <w:color w:val="000000"/>
          <w:shd w:val="clear" w:color="auto" w:fill="FFFFFF"/>
        </w:rPr>
        <w:t xml:space="preserve"> be exacerbated by paradigm shifts in Australia’s operating environment. </w:t>
      </w:r>
      <w:r w:rsidR="00632104" w:rsidRPr="001E7AA4">
        <w:rPr>
          <w:rStyle w:val="normaltextrun"/>
          <w:rFonts w:ascii="Calibri" w:hAnsi="Calibri" w:cs="Calibri"/>
          <w:color w:val="000000"/>
          <w:shd w:val="clear" w:color="auto" w:fill="FFFFFF"/>
        </w:rPr>
        <w:t xml:space="preserve">Climate change, the rapid development of </w:t>
      </w:r>
      <w:r w:rsidR="003A0D2B" w:rsidRPr="001E7AA4">
        <w:rPr>
          <w:rStyle w:val="normaltextrun"/>
          <w:rFonts w:ascii="Calibri" w:hAnsi="Calibri" w:cs="Calibri"/>
          <w:color w:val="000000"/>
          <w:shd w:val="clear" w:color="auto" w:fill="FFFFFF"/>
        </w:rPr>
        <w:t>a</w:t>
      </w:r>
      <w:r w:rsidR="00632104" w:rsidRPr="001E7AA4">
        <w:rPr>
          <w:rStyle w:val="normaltextrun"/>
          <w:rFonts w:ascii="Calibri" w:hAnsi="Calibri" w:cs="Calibri"/>
          <w:color w:val="000000"/>
          <w:shd w:val="clear" w:color="auto" w:fill="FFFFFF"/>
        </w:rPr>
        <w:t>rtificial</w:t>
      </w:r>
      <w:r w:rsidR="00881AA6" w:rsidRPr="001E7AA4">
        <w:rPr>
          <w:rStyle w:val="normaltextrun"/>
          <w:rFonts w:ascii="Calibri" w:hAnsi="Calibri" w:cs="Calibri"/>
          <w:color w:val="000000"/>
          <w:shd w:val="clear" w:color="auto" w:fill="FFFFFF"/>
        </w:rPr>
        <w:t xml:space="preserve"> i</w:t>
      </w:r>
      <w:r w:rsidR="00632104" w:rsidRPr="001E7AA4">
        <w:rPr>
          <w:rStyle w:val="normaltextrun"/>
          <w:rFonts w:ascii="Calibri" w:hAnsi="Calibri" w:cs="Calibri"/>
          <w:color w:val="000000"/>
          <w:shd w:val="clear" w:color="auto" w:fill="FFFFFF"/>
        </w:rPr>
        <w:t xml:space="preserve">ntelligence, the transforming strategic relations in our region and other factors will speed up the demand for new knowledge and skills. </w:t>
      </w:r>
    </w:p>
    <w:p w14:paraId="6572F002" w14:textId="61D3DA28" w:rsidR="0064464D" w:rsidRPr="001E7AA4" w:rsidRDefault="00632104" w:rsidP="0064464D">
      <w:r w:rsidRPr="001E7AA4">
        <w:t>T</w:t>
      </w:r>
      <w:r w:rsidR="0064464D" w:rsidRPr="001E7AA4">
        <w:t>he rate of knowledge production and technological change is intensifying across the world. Creating, sharing and applying knowledge through technologies and complex systems is critical to our security, prosperity and wellbeing. It touches every sector of our society. Australia must keep up with, and participate successfully in, these global movements.</w:t>
      </w:r>
    </w:p>
    <w:p w14:paraId="1FAA5A35" w14:textId="017CB726" w:rsidR="0064464D" w:rsidRPr="001E7AA4" w:rsidRDefault="341E6E31" w:rsidP="00B65F5B">
      <w:pPr>
        <w:pStyle w:val="Heading4"/>
        <w:rPr>
          <w:lang w:eastAsia="en-AU"/>
        </w:rPr>
      </w:pPr>
      <w:bookmarkStart w:id="39" w:name="_Toc137829523"/>
      <w:bookmarkStart w:id="40" w:name="_Toc267631684"/>
      <w:bookmarkStart w:id="41" w:name="_Toc139028855"/>
      <w:r w:rsidRPr="001E7AA4">
        <w:rPr>
          <w:lang w:eastAsia="en-AU"/>
        </w:rPr>
        <w:t>1.</w:t>
      </w:r>
      <w:r w:rsidR="12EC9624" w:rsidRPr="001E7AA4">
        <w:rPr>
          <w:lang w:eastAsia="en-AU"/>
        </w:rPr>
        <w:t>3</w:t>
      </w:r>
      <w:r w:rsidRPr="001E7AA4">
        <w:rPr>
          <w:lang w:eastAsia="en-AU"/>
        </w:rPr>
        <w:t xml:space="preserve"> Key challenges for the future higher education system</w:t>
      </w:r>
      <w:bookmarkEnd w:id="39"/>
      <w:bookmarkEnd w:id="40"/>
      <w:bookmarkEnd w:id="41"/>
    </w:p>
    <w:p w14:paraId="190D0442" w14:textId="77777777" w:rsidR="00AC5CE5" w:rsidRDefault="0064464D" w:rsidP="0064464D">
      <w:r w:rsidRPr="001E7AA4">
        <w:t>The Review has considered</w:t>
      </w:r>
      <w:r w:rsidR="00632104" w:rsidRPr="001E7AA4">
        <w:t xml:space="preserve"> </w:t>
      </w:r>
      <w:r w:rsidRPr="001E7AA4">
        <w:t>whether</w:t>
      </w:r>
      <w:r w:rsidR="00632104" w:rsidRPr="001E7AA4">
        <w:t xml:space="preserve"> our current</w:t>
      </w:r>
      <w:r w:rsidRPr="001E7AA4">
        <w:t xml:space="preserve"> higher education system</w:t>
      </w:r>
      <w:r w:rsidR="00632104" w:rsidRPr="001E7AA4">
        <w:t xml:space="preserve"> can </w:t>
      </w:r>
      <w:r w:rsidRPr="001E7AA4">
        <w:t xml:space="preserve">produce the knowledge, skills and equity outcomes that </w:t>
      </w:r>
      <w:r w:rsidR="00632104" w:rsidRPr="001E7AA4">
        <w:t>this rapidly changing situation requires.</w:t>
      </w:r>
    </w:p>
    <w:p w14:paraId="7D4D03F5" w14:textId="25DBC176" w:rsidR="00B552EB" w:rsidRDefault="00B552EB" w:rsidP="00B552EB">
      <w:pPr>
        <w:pStyle w:val="Pulloutboxes"/>
      </w:pPr>
      <w:r w:rsidRPr="009E134D">
        <w:t xml:space="preserve">The status quo will not suffice. Fundamental changes in tertiary education participation will be needed.  </w:t>
      </w:r>
    </w:p>
    <w:p w14:paraId="51340BE9" w14:textId="32E5DFCF" w:rsidR="0064464D" w:rsidRDefault="00632104" w:rsidP="0064464D">
      <w:r w:rsidRPr="001E7AA4">
        <w:t xml:space="preserve">We have been here before. </w:t>
      </w:r>
      <w:r w:rsidR="0064464D" w:rsidRPr="001E7AA4">
        <w:t>Many of these challenges were identified by the 2008 Bradley Review:</w:t>
      </w:r>
    </w:p>
    <w:p w14:paraId="47483DBE" w14:textId="77777777" w:rsidR="00B552EB" w:rsidRDefault="00B552EB" w:rsidP="00F63BDA">
      <w:pPr>
        <w:pStyle w:val="PriorityActions-Body"/>
        <w:rPr>
          <w:b/>
        </w:rPr>
      </w:pPr>
      <w:r w:rsidRPr="00B552EB">
        <w:t xml:space="preserve">The measures supported in this report are designed to reshape the higher education system to assist Australia to adapt to the challenges that it will inevitably face in the future. However, because the world is in a period of rapid and unpredictable change, it is not clear if they will be sufficient to enable the higher education system to meet these challenges adequately. </w:t>
      </w:r>
    </w:p>
    <w:p w14:paraId="084341D0" w14:textId="3975818F" w:rsidR="00B552EB" w:rsidRPr="00B552EB" w:rsidRDefault="00B552EB" w:rsidP="00F63BDA">
      <w:pPr>
        <w:pStyle w:val="PriorityActions-Body"/>
        <w:rPr>
          <w:b/>
        </w:rPr>
      </w:pPr>
      <w:r w:rsidRPr="00B552EB">
        <w:t>Because other countries have already moved to address participation and investment in tertiary education, as a means of assisting them to remain internationally competitive, the recommendations in this report, if fully implemented, are likely to do no more than maintain the relative international performance and position of the Australian higher education sector.</w:t>
      </w:r>
      <w:r w:rsidRPr="00B552EB">
        <w:rPr>
          <w:vertAlign w:val="superscript"/>
        </w:rPr>
        <w:footnoteReference w:id="12"/>
      </w:r>
    </w:p>
    <w:p w14:paraId="172C9C35" w14:textId="179849C7" w:rsidR="0064464D" w:rsidRPr="001E7AA4" w:rsidRDefault="0064464D" w:rsidP="00D50C1B">
      <w:pPr>
        <w:spacing w:before="120"/>
      </w:pPr>
      <w:r w:rsidRPr="001E7AA4">
        <w:lastRenderedPageBreak/>
        <w:t xml:space="preserve">Some progress had been made since then, but not enough. </w:t>
      </w:r>
      <w:r w:rsidR="00632104" w:rsidRPr="001E7AA4">
        <w:t>Despite the sector’s warnings, long-term planning has been completely inadequate and there has been too much complacency at the national level.</w:t>
      </w:r>
    </w:p>
    <w:p w14:paraId="080D5DC8" w14:textId="266BE868" w:rsidR="0064464D" w:rsidRDefault="0064464D" w:rsidP="0064464D">
      <w:r w:rsidRPr="001E7AA4">
        <w:t xml:space="preserve">The impacts of the </w:t>
      </w:r>
      <w:r w:rsidR="00426C19" w:rsidRPr="001E7AA4">
        <w:t>COVID</w:t>
      </w:r>
      <w:r w:rsidR="00F10B9D" w:rsidRPr="001E7AA4">
        <w:t>-</w:t>
      </w:r>
      <w:r w:rsidRPr="001E7AA4">
        <w:t>19 pandemic ha</w:t>
      </w:r>
      <w:r w:rsidR="00C12F43" w:rsidRPr="001E7AA4">
        <w:t>ve</w:t>
      </w:r>
      <w:r w:rsidRPr="001E7AA4">
        <w:t xml:space="preserve"> also increased the pressure on students, </w:t>
      </w:r>
      <w:r w:rsidR="00CE6BD6" w:rsidRPr="001E7AA4">
        <w:t xml:space="preserve">academics and </w:t>
      </w:r>
      <w:r w:rsidRPr="001E7AA4">
        <w:t>professional staff, disrupted enrolments and revenues; depleted financial resources for providers and for governments; intensified short-term demand for domestically</w:t>
      </w:r>
      <w:r w:rsidR="000921DF" w:rsidRPr="001E7AA4">
        <w:t xml:space="preserve"> </w:t>
      </w:r>
      <w:r w:rsidRPr="001E7AA4">
        <w:t xml:space="preserve">produced goods and services in key areas; </w:t>
      </w:r>
      <w:r w:rsidR="00730943" w:rsidRPr="001E7AA4">
        <w:t>and</w:t>
      </w:r>
      <w:r w:rsidRPr="001E7AA4">
        <w:t xml:space="preserve"> forced innovation and adaptation in the delivery of curriculum, research, services and support.</w:t>
      </w:r>
    </w:p>
    <w:p w14:paraId="6AC7AE13" w14:textId="4D128D6A" w:rsidR="00B552EB" w:rsidRDefault="00B552EB" w:rsidP="00B552EB">
      <w:pPr>
        <w:pStyle w:val="Pulloutboxes"/>
      </w:pPr>
      <w:r w:rsidRPr="009E134D">
        <w:t>As a result, the current higher education system is in a stressed state.</w:t>
      </w:r>
    </w:p>
    <w:p w14:paraId="03D36E64" w14:textId="62653026" w:rsidR="0064464D" w:rsidRPr="001E7AA4" w:rsidRDefault="00962949" w:rsidP="0064464D">
      <w:r w:rsidRPr="001E7AA4">
        <w:t>In the face of long-term challenges requiring sustained, predictable pathways and planning, policy</w:t>
      </w:r>
      <w:r w:rsidR="00962F9D" w:rsidRPr="001E7AA4">
        <w:t>-</w:t>
      </w:r>
      <w:r w:rsidRPr="001E7AA4">
        <w:t xml:space="preserve">making has often focused on the short </w:t>
      </w:r>
      <w:r w:rsidR="0064464D" w:rsidRPr="001E7AA4">
        <w:t>term. This causes uncertainty for institutions</w:t>
      </w:r>
      <w:r w:rsidR="00C6112B" w:rsidRPr="001E7AA4">
        <w:t>,</w:t>
      </w:r>
      <w:r w:rsidR="0064464D" w:rsidRPr="001E7AA4">
        <w:t xml:space="preserve"> making it difficult to invest where they need to. A long-term vision is essential. Student numbers take time to build, and investing in staff and infrastructure to support expansion where it is required needs careful planning. Too many people are missing out on the opportunities of higher education, and there is </w:t>
      </w:r>
      <w:r w:rsidR="0064464D" w:rsidRPr="001E7AA4">
        <w:rPr>
          <w:color w:val="000000" w:themeColor="text1"/>
        </w:rPr>
        <w:t xml:space="preserve">no </w:t>
      </w:r>
      <w:r w:rsidR="0064464D" w:rsidRPr="001E7AA4">
        <w:rPr>
          <w:color w:val="000000" w:themeColor="text1"/>
          <w:lang w:val="en-GB"/>
        </w:rPr>
        <w:t>straightforward way</w:t>
      </w:r>
      <w:r w:rsidR="0064464D" w:rsidRPr="001E7AA4">
        <w:rPr>
          <w:rFonts w:ascii="Helvetica Neue" w:hAnsi="Helvetica Neue" w:cs="Helvetica Neue"/>
          <w:color w:val="000000" w:themeColor="text1"/>
          <w:sz w:val="26"/>
          <w:szCs w:val="26"/>
          <w:lang w:val="en-GB"/>
        </w:rPr>
        <w:t xml:space="preserve"> </w:t>
      </w:r>
      <w:r w:rsidR="0064464D" w:rsidRPr="001E7AA4">
        <w:t xml:space="preserve">to help more people to succeed immediately.  </w:t>
      </w:r>
    </w:p>
    <w:p w14:paraId="613EB6A9" w14:textId="77777777" w:rsidR="0064464D" w:rsidRPr="001E7AA4" w:rsidRDefault="0064464D" w:rsidP="0064464D">
      <w:r w:rsidRPr="001E7AA4">
        <w:t>Governments have a clear role to play in setting this vision, but it needs to reflect the views of the wider community and achieve their buy-in to be enduring.</w:t>
      </w:r>
    </w:p>
    <w:p w14:paraId="3DF26469" w14:textId="3CC6D5F4" w:rsidR="0064464D" w:rsidRPr="001E7AA4" w:rsidRDefault="0064464D" w:rsidP="0064464D">
      <w:r w:rsidRPr="001E7AA4">
        <w:t xml:space="preserve">Lack of coherent long-term policy and investment, compounded by the effects of the </w:t>
      </w:r>
      <w:r w:rsidR="00426C19" w:rsidRPr="001E7AA4">
        <w:t>COVID</w:t>
      </w:r>
      <w:r w:rsidR="007B4B85" w:rsidRPr="001E7AA4">
        <w:t>-19</w:t>
      </w:r>
      <w:r w:rsidRPr="001E7AA4">
        <w:t xml:space="preserve"> crisis, has led to a situation where the number of people studying and the structure of courses in many disciplines in tertiary education is not keeping up with fast-changing workforce and industry demand, and with the areas of Australia where </w:t>
      </w:r>
      <w:r w:rsidR="004233FE" w:rsidRPr="001E7AA4">
        <w:t>the</w:t>
      </w:r>
      <w:r w:rsidRPr="001E7AA4">
        <w:t xml:space="preserve"> population is growing fastest. </w:t>
      </w:r>
    </w:p>
    <w:p w14:paraId="1702E305" w14:textId="10F8C4A5" w:rsidR="0064464D" w:rsidRPr="001E7AA4" w:rsidRDefault="0064464D" w:rsidP="0064464D">
      <w:r w:rsidRPr="001E7AA4">
        <w:t>The system is inequitable. Opportunity and attainment are influenced by location and student background. Higher education participation rates for low SES and regional, rural and remote students have gone backwards since 2016. First Nations participation has increased but remains around 40</w:t>
      </w:r>
      <w:r w:rsidR="002C62DE" w:rsidRPr="001E7AA4" w:rsidDel="0002240E">
        <w:t>%</w:t>
      </w:r>
      <w:r w:rsidR="0002240E" w:rsidRPr="001E7AA4">
        <w:t xml:space="preserve"> </w:t>
      </w:r>
      <w:r w:rsidRPr="001E7AA4">
        <w:t>below population parity.</w:t>
      </w:r>
      <w:r w:rsidR="000B335C" w:rsidRPr="001E7AA4">
        <w:rPr>
          <w:rStyle w:val="FootnoteReference"/>
        </w:rPr>
        <w:footnoteReference w:id="13"/>
      </w:r>
      <w:r w:rsidRPr="001E7AA4">
        <w:t xml:space="preserve">   </w:t>
      </w:r>
    </w:p>
    <w:p w14:paraId="7843A727" w14:textId="20AE1D8D" w:rsidR="00480B53" w:rsidRPr="001E7AA4" w:rsidRDefault="0064464D" w:rsidP="00591A84">
      <w:r w:rsidRPr="001E7AA4">
        <w:t xml:space="preserve">The higher education system, including the funding apparatus, hasn’t facilitated the increase in students from equity groups needed to ensure parity of access and degree completion, meaning that many communities are missing out on the transformative change higher education offers. The increases to student contributions through the JRG package affected Indigenous and female students more than </w:t>
      </w:r>
      <w:r w:rsidRPr="001E7AA4" w:rsidDel="00AC7D7C">
        <w:t>others</w:t>
      </w:r>
      <w:r w:rsidR="00AC7D7C" w:rsidRPr="001E7AA4">
        <w:t xml:space="preserve"> and</w:t>
      </w:r>
      <w:r w:rsidR="00102E58" w:rsidRPr="001E7AA4">
        <w:t xml:space="preserve"> </w:t>
      </w:r>
      <w:r w:rsidRPr="001E7AA4">
        <w:t xml:space="preserve">will only worsen this situation. </w:t>
      </w:r>
      <w:r w:rsidR="00BD646F" w:rsidRPr="001E7AA4">
        <w:t>The 50</w:t>
      </w:r>
      <w:r w:rsidR="00BD646F" w:rsidRPr="001E7AA4" w:rsidDel="0002240E">
        <w:t>%</w:t>
      </w:r>
      <w:r w:rsidR="00BD646F" w:rsidRPr="001E7AA4">
        <w:t xml:space="preserve"> pass rule included in the JRG package </w:t>
      </w:r>
      <w:r w:rsidR="00E94603" w:rsidRPr="001E7AA4">
        <w:t>has had greater impact on students from underrepresented backgrounds, compounding the negative effect JRG had on students, particularly those from</w:t>
      </w:r>
      <w:r w:rsidR="00BD646F" w:rsidRPr="001E7AA4">
        <w:t xml:space="preserve"> </w:t>
      </w:r>
      <w:r w:rsidR="00F62345" w:rsidRPr="001E7AA4">
        <w:t xml:space="preserve">equity groups. </w:t>
      </w:r>
      <w:r w:rsidRPr="001E7AA4">
        <w:t>Th</w:t>
      </w:r>
      <w:r w:rsidR="007A5CDF" w:rsidRPr="001E7AA4">
        <w:t xml:space="preserve">e impact of the JRG package </w:t>
      </w:r>
      <w:r w:rsidRPr="001E7AA4">
        <w:t>is directly risking the affordability of the system for students and putting stress on the</w:t>
      </w:r>
      <w:r w:rsidR="00AA709A" w:rsidRPr="001E7AA4">
        <w:t xml:space="preserve"> </w:t>
      </w:r>
      <w:r w:rsidRPr="001E7AA4">
        <w:t xml:space="preserve">HELP system. </w:t>
      </w:r>
    </w:p>
    <w:p w14:paraId="64CBE63E" w14:textId="34329F34" w:rsidR="0064464D" w:rsidRPr="001E7AA4" w:rsidRDefault="0064464D" w:rsidP="00591A84">
      <w:pPr>
        <w:rPr>
          <w:kern w:val="2"/>
          <w14:ligatures w14:val="standardContextual"/>
        </w:rPr>
      </w:pPr>
      <w:r w:rsidRPr="001E7AA4" w:rsidDel="00B77D5F">
        <w:rPr>
          <w:kern w:val="2"/>
          <w14:ligatures w14:val="standardContextual"/>
        </w:rPr>
        <w:t>Australia’s skills needs are growing and changing fast, with industry needs evolving and requiring skills and knowledge that cross the boundaries of our education sectors.</w:t>
      </w:r>
      <w:r w:rsidRPr="001E7AA4">
        <w:rPr>
          <w:kern w:val="2"/>
          <w14:ligatures w14:val="standardContextual"/>
        </w:rPr>
        <w:t xml:space="preserve"> Higher education is not currently well aligned with the VET</w:t>
      </w:r>
      <w:r w:rsidR="000C65B2" w:rsidRPr="001E7AA4">
        <w:rPr>
          <w:kern w:val="2"/>
          <w14:ligatures w14:val="standardContextual"/>
        </w:rPr>
        <w:t xml:space="preserve"> </w:t>
      </w:r>
      <w:r w:rsidRPr="001E7AA4">
        <w:rPr>
          <w:kern w:val="2"/>
          <w14:ligatures w14:val="standardContextual"/>
        </w:rPr>
        <w:t>system. Places, pathways, credit for prior learning</w:t>
      </w:r>
      <w:r w:rsidR="007A5CDF" w:rsidRPr="001E7AA4">
        <w:rPr>
          <w:kern w:val="2"/>
          <w14:ligatures w14:val="standardContextual"/>
        </w:rPr>
        <w:t xml:space="preserve"> and </w:t>
      </w:r>
      <w:r w:rsidR="007A5CDF" w:rsidRPr="001E7AA4">
        <w:rPr>
          <w:kern w:val="2"/>
          <w14:ligatures w14:val="standardContextual"/>
        </w:rPr>
        <w:lastRenderedPageBreak/>
        <w:t>articulation</w:t>
      </w:r>
      <w:r w:rsidRPr="001E7AA4">
        <w:rPr>
          <w:kern w:val="2"/>
          <w14:ligatures w14:val="standardContextual"/>
        </w:rPr>
        <w:t xml:space="preserve">, funding and regulation are fragmented across different institutions, levels of government, industries and places.  </w:t>
      </w:r>
    </w:p>
    <w:p w14:paraId="08038AAB" w14:textId="55700DB7" w:rsidR="0064464D" w:rsidRPr="001E7AA4" w:rsidRDefault="0064464D" w:rsidP="0064464D">
      <w:r w:rsidRPr="001E7AA4">
        <w:t xml:space="preserve">The Review has heard from industry peak bodies, JSA, </w:t>
      </w:r>
      <w:r w:rsidR="00A66DC7" w:rsidRPr="001E7AA4">
        <w:t xml:space="preserve">and </w:t>
      </w:r>
      <w:r w:rsidRPr="001E7AA4">
        <w:t>diverse other stakeholders through submissions and consultations, that Australia’s structural skills shortages are becoming more acute. Without major changes, Australia’s economy will be unable to source the skills and knowledge needed to become a more knowledge-intense economy. Shortages in nursing and teaching are persistent</w:t>
      </w:r>
      <w:r w:rsidR="00BA427D" w:rsidRPr="001E7AA4">
        <w:t xml:space="preserve"> </w:t>
      </w:r>
      <w:r w:rsidRPr="001E7AA4">
        <w:t>a</w:t>
      </w:r>
      <w:r w:rsidR="00BA427D" w:rsidRPr="001E7AA4">
        <w:t>nd there are</w:t>
      </w:r>
      <w:r w:rsidRPr="001E7AA4">
        <w:t xml:space="preserve"> </w:t>
      </w:r>
      <w:r w:rsidR="00C85432" w:rsidRPr="001E7AA4">
        <w:t xml:space="preserve">now </w:t>
      </w:r>
      <w:r w:rsidRPr="001E7AA4">
        <w:t>shortage</w:t>
      </w:r>
      <w:r w:rsidR="00BA427D" w:rsidRPr="001E7AA4">
        <w:t>s</w:t>
      </w:r>
      <w:r w:rsidRPr="001E7AA4">
        <w:t xml:space="preserve"> of ICT and other engineering professionals </w:t>
      </w:r>
      <w:r w:rsidR="00F71624" w:rsidRPr="001E7AA4">
        <w:t>across Australia</w:t>
      </w:r>
      <w:r w:rsidR="00A50F29" w:rsidRPr="001E7AA4">
        <w:t xml:space="preserve">. </w:t>
      </w:r>
      <w:r w:rsidR="002F13EF" w:rsidRPr="001E7AA4">
        <w:t>T</w:t>
      </w:r>
      <w:r w:rsidR="0002009F" w:rsidRPr="001E7AA4">
        <w:t>h</w:t>
      </w:r>
      <w:r w:rsidR="00A50F29" w:rsidRPr="001E7AA4">
        <w:t>ese are</w:t>
      </w:r>
      <w:r w:rsidR="00D93095" w:rsidRPr="001E7AA4">
        <w:t xml:space="preserve"> </w:t>
      </w:r>
      <w:r w:rsidR="00A50F29" w:rsidRPr="001E7AA4">
        <w:t xml:space="preserve">skills </w:t>
      </w:r>
      <w:r w:rsidR="0002009F" w:rsidRPr="001E7AA4">
        <w:t>which are expected to</w:t>
      </w:r>
      <w:r w:rsidR="00A50F29" w:rsidRPr="001E7AA4">
        <w:t xml:space="preserve"> </w:t>
      </w:r>
      <w:r w:rsidR="00B925EF" w:rsidRPr="001E7AA4">
        <w:t>be</w:t>
      </w:r>
      <w:r w:rsidR="00BA427D" w:rsidRPr="001E7AA4">
        <w:t xml:space="preserve"> in</w:t>
      </w:r>
      <w:r w:rsidR="00F71624" w:rsidRPr="001E7AA4">
        <w:t xml:space="preserve"> </w:t>
      </w:r>
      <w:r w:rsidR="00B925EF" w:rsidRPr="001E7AA4">
        <w:t>even higher</w:t>
      </w:r>
      <w:r w:rsidR="00A50F29" w:rsidRPr="001E7AA4">
        <w:t xml:space="preserve"> </w:t>
      </w:r>
      <w:r w:rsidR="00F71624" w:rsidRPr="001E7AA4">
        <w:t>demand in the future</w:t>
      </w:r>
      <w:r w:rsidRPr="001E7AA4">
        <w:t>.</w:t>
      </w:r>
      <w:r w:rsidRPr="001E7AA4">
        <w:rPr>
          <w:rStyle w:val="FootnoteReference"/>
        </w:rPr>
        <w:footnoteReference w:id="14"/>
      </w:r>
      <w:r w:rsidRPr="001E7AA4">
        <w:t xml:space="preserve"> </w:t>
      </w:r>
    </w:p>
    <w:p w14:paraId="0AEB7C32" w14:textId="3B5C6908" w:rsidR="0064464D" w:rsidRPr="001E7AA4" w:rsidRDefault="0064464D" w:rsidP="0064464D">
      <w:pPr>
        <w:rPr>
          <w:rFonts w:ascii="Calibri" w:hAnsi="Calibri" w:cs="Calibri"/>
        </w:rPr>
      </w:pPr>
      <w:r w:rsidRPr="001E7AA4">
        <w:rPr>
          <w:rStyle w:val="normaltextrun"/>
          <w:rFonts w:ascii="Calibri" w:hAnsi="Calibri" w:cs="Calibri"/>
        </w:rPr>
        <w:t xml:space="preserve">Without increasing participation from equity cohorts, Australia will </w:t>
      </w:r>
      <w:r w:rsidR="00BB169A" w:rsidRPr="001E7AA4">
        <w:rPr>
          <w:rStyle w:val="normaltextrun"/>
          <w:rFonts w:ascii="Calibri" w:hAnsi="Calibri" w:cs="Calibri"/>
        </w:rPr>
        <w:t xml:space="preserve">find it harder to </w:t>
      </w:r>
      <w:r w:rsidRPr="001E7AA4">
        <w:rPr>
          <w:rStyle w:val="normaltextrun"/>
          <w:rFonts w:ascii="Calibri" w:hAnsi="Calibri" w:cs="Calibri"/>
        </w:rPr>
        <w:t>reach the education attainment levels needed to boost social mobility and equality and address the forecast skill</w:t>
      </w:r>
      <w:r w:rsidR="0074785C" w:rsidRPr="001E7AA4">
        <w:rPr>
          <w:rStyle w:val="normaltextrun"/>
          <w:rFonts w:ascii="Calibri" w:hAnsi="Calibri" w:cs="Calibri"/>
        </w:rPr>
        <w:t>s</w:t>
      </w:r>
      <w:r w:rsidRPr="001E7AA4">
        <w:rPr>
          <w:rStyle w:val="normaltextrun"/>
          <w:rFonts w:ascii="Calibri" w:hAnsi="Calibri" w:cs="Calibri"/>
        </w:rPr>
        <w:t xml:space="preserve"> gaps and shortages. </w:t>
      </w:r>
    </w:p>
    <w:p w14:paraId="070834E1" w14:textId="684EE71A" w:rsidR="0064464D" w:rsidRPr="001E7AA4" w:rsidRDefault="0064464D" w:rsidP="0064464D">
      <w:pPr>
        <w:pStyle w:val="Quote"/>
      </w:pPr>
      <w:r w:rsidRPr="001E7AA4">
        <w:t xml:space="preserve">“This is because an Australia where all parts of society have increased skills and education is a more productive and dynamic one. We cannot have the degree of knowledge and participation we need to compete in the future economy if large segments of the population are not participating. Increasingly diverse participation in higher education is not something that “should be done”, it is an imperative because it is a key source of strength for our future. …  consideration should be given to increasing the number of Commonwealth </w:t>
      </w:r>
      <w:r w:rsidR="223E058C" w:rsidRPr="001E7AA4">
        <w:t>supported place</w:t>
      </w:r>
      <w:r w:rsidRPr="001E7AA4">
        <w:t xml:space="preserve">s available to those from a disadvantaged background.” </w:t>
      </w:r>
      <w:r w:rsidR="00390B84">
        <w:br/>
      </w:r>
      <w:r w:rsidRPr="001E7AA4">
        <w:t xml:space="preserve">– Business Council of Australia </w:t>
      </w:r>
    </w:p>
    <w:p w14:paraId="71805892" w14:textId="4B401633" w:rsidR="00632104" w:rsidRDefault="0064464D" w:rsidP="0064464D">
      <w:pPr>
        <w:rPr>
          <w:lang w:eastAsia="en-AU"/>
        </w:rPr>
      </w:pPr>
      <w:r w:rsidRPr="001E7AA4">
        <w:rPr>
          <w:lang w:eastAsia="en-AU"/>
        </w:rPr>
        <w:t>The success of the Australian higher education system relies on a secure, enduring and sustainable funding system. Over the last decade, policy shocks, competing interventions and volatility in income</w:t>
      </w:r>
      <w:r w:rsidR="00AF7AEB" w:rsidRPr="001E7AA4">
        <w:rPr>
          <w:lang w:eastAsia="en-AU"/>
        </w:rPr>
        <w:t>,</w:t>
      </w:r>
      <w:r w:rsidRPr="001E7AA4">
        <w:rPr>
          <w:lang w:eastAsia="en-AU"/>
        </w:rPr>
        <w:t xml:space="preserve"> especially associated with the pandemic, have eroded the ability of the sector to plan in a secure way and exposed vulnerabilities in its core activities and workforce development.</w:t>
      </w:r>
    </w:p>
    <w:p w14:paraId="79F05D62" w14:textId="50B624AB" w:rsidR="00B552EB" w:rsidRDefault="00B552EB" w:rsidP="00B552EB">
      <w:pPr>
        <w:pStyle w:val="Pulloutboxes"/>
        <w:rPr>
          <w:lang w:eastAsia="en-AU"/>
        </w:rPr>
      </w:pPr>
      <w:r w:rsidRPr="009E134D">
        <w:rPr>
          <w:lang w:eastAsia="en-AU"/>
        </w:rPr>
        <w:t>It is imperative that a predictable pathway forward for higher education policy and funding be found and a consensus be built around it to give it adequate time to be implemented.</w:t>
      </w:r>
    </w:p>
    <w:p w14:paraId="3BFCA16F" w14:textId="600D37F1" w:rsidR="0064464D" w:rsidRPr="001E7AA4" w:rsidRDefault="0064464D" w:rsidP="0064464D">
      <w:r w:rsidRPr="001E7AA4">
        <w:t xml:space="preserve">The current system does not </w:t>
      </w:r>
      <w:r w:rsidR="004233FE" w:rsidRPr="001E7AA4">
        <w:t xml:space="preserve">adequately </w:t>
      </w:r>
      <w:r w:rsidRPr="001E7AA4">
        <w:t>recognise the added cost</w:t>
      </w:r>
      <w:r w:rsidR="00F519B4" w:rsidRPr="001E7AA4">
        <w:t>s involved in achieving success for</w:t>
      </w:r>
      <w:r w:rsidRPr="001E7AA4" w:rsidDel="00F519B4">
        <w:t xml:space="preserve"> </w:t>
      </w:r>
      <w:r w:rsidRPr="001E7AA4">
        <w:t>some student cohorts, meaning there is insufficient funding for institutions to expand access easily, especially for equity groups, to the extent required to meet the Government’s skills ambition</w:t>
      </w:r>
      <w:r w:rsidR="00565C53" w:rsidRPr="001E7AA4">
        <w:t>s</w:t>
      </w:r>
      <w:r w:rsidRPr="001E7AA4">
        <w:t xml:space="preserve">. This will only be exacerbated </w:t>
      </w:r>
      <w:r w:rsidR="005C24D3" w:rsidRPr="001E7AA4">
        <w:t>if</w:t>
      </w:r>
      <w:r w:rsidRPr="001E7AA4">
        <w:t xml:space="preserve"> the full impact of the </w:t>
      </w:r>
      <w:r w:rsidR="007A5CDF" w:rsidRPr="001E7AA4">
        <w:t xml:space="preserve">overall </w:t>
      </w:r>
      <w:r w:rsidRPr="001E7AA4">
        <w:t xml:space="preserve">reduction in per place funding introduced through </w:t>
      </w:r>
      <w:r w:rsidR="00A607C8">
        <w:t xml:space="preserve">the </w:t>
      </w:r>
      <w:r w:rsidRPr="001E7AA4">
        <w:t xml:space="preserve">JRG </w:t>
      </w:r>
      <w:r w:rsidR="00A607C8">
        <w:t xml:space="preserve">package </w:t>
      </w:r>
      <w:r w:rsidRPr="001E7AA4">
        <w:t>is felt by the sector.</w:t>
      </w:r>
    </w:p>
    <w:p w14:paraId="65C9E814" w14:textId="41F0A19D" w:rsidR="0064464D" w:rsidRPr="001E7AA4" w:rsidRDefault="0064464D" w:rsidP="0064464D">
      <w:r w:rsidRPr="001E7AA4">
        <w:t>The increased costs associated with new contribution rates for many degrees, together with increased costs of living and increased rates of inflation affecting student loans</w:t>
      </w:r>
      <w:r w:rsidR="00045520" w:rsidRPr="001E7AA4">
        <w:t xml:space="preserve"> </w:t>
      </w:r>
      <w:r w:rsidR="002E296F" w:rsidRPr="001E7AA4">
        <w:t>is</w:t>
      </w:r>
      <w:r w:rsidR="00045520" w:rsidRPr="001E7AA4">
        <w:t xml:space="preserve"> causing </w:t>
      </w:r>
      <w:r w:rsidR="007546E9" w:rsidRPr="001E7AA4">
        <w:t xml:space="preserve">unnecessary </w:t>
      </w:r>
      <w:r w:rsidR="00045520" w:rsidRPr="001E7AA4">
        <w:t>stress for students and graduates</w:t>
      </w:r>
      <w:r w:rsidR="00AF2433" w:rsidRPr="001E7AA4">
        <w:t xml:space="preserve"> and may affect other parts of their lives</w:t>
      </w:r>
      <w:r w:rsidR="00C14A81" w:rsidRPr="001E7AA4">
        <w:t>.</w:t>
      </w:r>
    </w:p>
    <w:p w14:paraId="0DD92F6B" w14:textId="4CD60412" w:rsidR="0064464D" w:rsidRPr="001E7AA4" w:rsidRDefault="0064464D" w:rsidP="0064464D">
      <w:r w:rsidRPr="001E7AA4">
        <w:t xml:space="preserve">Infrastructure, workforce development, and research in our universities are not sustainably funded in their own terms. The ability of Australian universities to </w:t>
      </w:r>
      <w:r w:rsidR="00EC74AD" w:rsidRPr="001E7AA4">
        <w:t xml:space="preserve">be </w:t>
      </w:r>
      <w:r w:rsidRPr="001E7AA4">
        <w:t>sustain</w:t>
      </w:r>
      <w:r w:rsidR="00EC74AD" w:rsidRPr="001E7AA4">
        <w:t xml:space="preserve">able </w:t>
      </w:r>
      <w:r w:rsidRPr="001E7AA4">
        <w:t xml:space="preserve">is dependent on their ability to generate income above and beyond government funding. </w:t>
      </w:r>
    </w:p>
    <w:p w14:paraId="5FFCE1C7" w14:textId="77777777" w:rsidR="0064464D" w:rsidRPr="001E7AA4" w:rsidRDefault="0064464D" w:rsidP="0064464D">
      <w:r w:rsidRPr="001E7AA4">
        <w:lastRenderedPageBreak/>
        <w:t>Some universities are consequently over-reliant on international students and their revenue, with the benefits and risks of educating international students uneven across the sector. International students enrich our culture, bolster our skills supply and increase our influence in the global community, but the volatility of these enrolments and income streams threatens to undermine the stability of some institutions, and their ability to maintain research capability and quality.</w:t>
      </w:r>
      <w:r w:rsidRPr="001E7AA4">
        <w:rPr>
          <w:rStyle w:val="FootnoteReference"/>
        </w:rPr>
        <w:footnoteReference w:id="15"/>
      </w:r>
      <w:r w:rsidRPr="001E7AA4">
        <w:t xml:space="preserve"> The growth of international student revenue has become so important to the sector that its volatile nature is now a risk to our national research effort. Relying on funding core research capability and functions from volatile revenue sources has inherent risks and variability.</w:t>
      </w:r>
    </w:p>
    <w:p w14:paraId="70AB2028" w14:textId="1E030206" w:rsidR="00AA7B08" w:rsidRPr="001E7AA4" w:rsidRDefault="00AA7B08" w:rsidP="00AA7B08">
      <w:bookmarkStart w:id="42" w:name="_Hlk138166062"/>
      <w:r w:rsidRPr="001E7AA4">
        <w:t xml:space="preserve">Some Australian universities benefit from substantial endowments, high international rankings which </w:t>
      </w:r>
      <w:r w:rsidR="00B615DF" w:rsidRPr="001E7AA4">
        <w:t>help</w:t>
      </w:r>
      <w:r w:rsidRPr="001E7AA4">
        <w:t xml:space="preserve"> attract larger numbers of international students, and valuable property holdings. However, many do not have access </w:t>
      </w:r>
      <w:r w:rsidR="00F028F2" w:rsidRPr="001E7AA4">
        <w:t>to</w:t>
      </w:r>
      <w:r w:rsidR="00B615DF" w:rsidRPr="001E7AA4">
        <w:t xml:space="preserve"> </w:t>
      </w:r>
      <w:r w:rsidR="00EC3D53" w:rsidRPr="001E7AA4">
        <w:t xml:space="preserve">these </w:t>
      </w:r>
      <w:r w:rsidRPr="001E7AA4">
        <w:t xml:space="preserve">benefits and face challenges to their financial stability. </w:t>
      </w:r>
      <w:r w:rsidR="005C7CE8" w:rsidRPr="001E7AA4">
        <w:t>As a result, many universities are in a precarious financial position. One of the few levers available is to increase scale, and to increase provision of courses that can be managed to generate a surplus – neither of which is necessarily in line with the</w:t>
      </w:r>
      <w:r w:rsidR="002630E5" w:rsidRPr="001E7AA4">
        <w:t xml:space="preserve"> needs of students and will not </w:t>
      </w:r>
      <w:r w:rsidR="00AD034D" w:rsidRPr="001E7AA4">
        <w:t xml:space="preserve">necessarily </w:t>
      </w:r>
      <w:r w:rsidR="002630E5" w:rsidRPr="001E7AA4">
        <w:t>address skills shortages</w:t>
      </w:r>
      <w:r w:rsidR="005C7CE8" w:rsidRPr="001E7AA4">
        <w:t>. This</w:t>
      </w:r>
      <w:r w:rsidRPr="001E7AA4">
        <w:t xml:space="preserve"> is further compounded by subdued levels of student demand as unemployment remains at record lows and living costs soar. A rethink of how university operations are financed is urgently needed to better provide stability and maintain sustainability of the sector.</w:t>
      </w:r>
    </w:p>
    <w:bookmarkEnd w:id="42"/>
    <w:p w14:paraId="4078CFDB" w14:textId="1BAD3A87" w:rsidR="0064464D" w:rsidRDefault="0064464D" w:rsidP="0064464D">
      <w:r w:rsidRPr="001E7AA4">
        <w:t xml:space="preserve">The higher education workforce is also stressed, and some higher education providers rely too heavily on short term contracts and a highly casualised workforce, in part because their funding security from year to year is unpredictable or at best subject to cyclic volatility. </w:t>
      </w:r>
      <w:r w:rsidR="00D11E69" w:rsidRPr="001E7AA4">
        <w:t xml:space="preserve">The funding of higher education and its workforce structure are inextricably linked. </w:t>
      </w:r>
      <w:r w:rsidR="00A66DC7" w:rsidRPr="001E7AA4">
        <w:t xml:space="preserve">Too much short </w:t>
      </w:r>
      <w:r w:rsidR="00D11E69" w:rsidRPr="001E7AA4">
        <w:t>term and casualised work</w:t>
      </w:r>
      <w:r w:rsidRPr="001E7AA4">
        <w:t xml:space="preserve"> threatens the quality of institutions and is undermining the long-term capability of </w:t>
      </w:r>
      <w:r w:rsidR="00B41C72" w:rsidRPr="001E7AA4">
        <w:t xml:space="preserve">the </w:t>
      </w:r>
      <w:r w:rsidRPr="001E7AA4">
        <w:t xml:space="preserve">teaching, research and innovation workforce. </w:t>
      </w:r>
      <w:r w:rsidR="00BA55AD" w:rsidRPr="001E7AA4">
        <w:t>Among academic staff, women are over</w:t>
      </w:r>
      <w:r w:rsidR="001221EE" w:rsidRPr="001E7AA4">
        <w:t>-</w:t>
      </w:r>
      <w:r w:rsidR="00BA55AD" w:rsidRPr="001E7AA4">
        <w:t>represented in casual roles, with</w:t>
      </w:r>
      <w:r w:rsidR="00104E92" w:rsidRPr="001E7AA4">
        <w:t xml:space="preserve"> significant gender equity impacts. </w:t>
      </w:r>
      <w:r w:rsidRPr="001E7AA4">
        <w:t xml:space="preserve">The recent instances of staff underpayment in the sector, particularly of casual and sessional academic staff, are patently unacceptable, especially for a sector funded largely by the public and that relies on its reputation to a substantial degree. That the Fair Work Ombudsman believes these issues are entrenched in the sector is of great concern to the </w:t>
      </w:r>
      <w:r w:rsidR="00D21CB8" w:rsidRPr="001E7AA4">
        <w:t>Review</w:t>
      </w:r>
      <w:r w:rsidRPr="001E7AA4">
        <w:t>.</w:t>
      </w:r>
      <w:r w:rsidRPr="001E7AA4">
        <w:rPr>
          <w:rStyle w:val="FootnoteReference"/>
        </w:rPr>
        <w:footnoteReference w:id="16"/>
      </w:r>
    </w:p>
    <w:p w14:paraId="7725C581" w14:textId="2A1905F1" w:rsidR="00B552EB" w:rsidRDefault="00B552EB" w:rsidP="00B552EB">
      <w:pPr>
        <w:pStyle w:val="Pulloutboxes"/>
      </w:pPr>
      <w:r w:rsidRPr="009E134D">
        <w:t>We must ensure all Australian universities are exemplary employers.</w:t>
      </w:r>
    </w:p>
    <w:p w14:paraId="75CAE237" w14:textId="1DDEB762" w:rsidR="0064464D" w:rsidRPr="001E7AA4" w:rsidRDefault="0064464D" w:rsidP="0064464D">
      <w:r w:rsidRPr="001E7AA4">
        <w:t>Institutions and industry need the capability to work in a fast-changing knowledge economy. Research and innovation are critical for driving this change, both through developing a highly</w:t>
      </w:r>
      <w:r w:rsidR="007E09EF" w:rsidRPr="001E7AA4">
        <w:t>-</w:t>
      </w:r>
      <w:r w:rsidRPr="001E7AA4">
        <w:t xml:space="preserve">skilled workforce, and through effective </w:t>
      </w:r>
      <w:r w:rsidR="007E09EF" w:rsidRPr="001E7AA4">
        <w:t>R&amp;D</w:t>
      </w:r>
      <w:r w:rsidRPr="001E7AA4">
        <w:t xml:space="preserve"> systems in every sector. University research activity is currently underwritten by international student revenue and other cross-subsidies, and this creates unacceptable risk to the future. Yet the success of Australian higher education as an international industry has led to a situation where the funding it provides is so great it cannot realistically be replaced by public sources.  </w:t>
      </w:r>
    </w:p>
    <w:p w14:paraId="03555A23" w14:textId="77777777" w:rsidR="0064464D" w:rsidRPr="001E7AA4" w:rsidRDefault="0064464D" w:rsidP="0064464D">
      <w:r w:rsidRPr="001E7AA4">
        <w:t xml:space="preserve">The above strains on Australia’s higher education system have meant it faces urgent pressures that threaten its ability to meet current and future challenges.  </w:t>
      </w:r>
    </w:p>
    <w:p w14:paraId="7EFEFED6" w14:textId="5FAB1738" w:rsidR="0064464D" w:rsidRPr="001E7AA4" w:rsidRDefault="341E6E31" w:rsidP="00B65F5B">
      <w:pPr>
        <w:pStyle w:val="Heading4"/>
        <w:rPr>
          <w:rStyle w:val="normaltextrun"/>
        </w:rPr>
      </w:pPr>
      <w:bookmarkStart w:id="43" w:name="_Toc137829525"/>
      <w:bookmarkStart w:id="44" w:name="_Toc1299253274"/>
      <w:bookmarkStart w:id="45" w:name="_Toc139028856"/>
      <w:r w:rsidRPr="001E7AA4">
        <w:lastRenderedPageBreak/>
        <w:t>1.</w:t>
      </w:r>
      <w:r w:rsidR="00A251C0" w:rsidRPr="001E7AA4">
        <w:t>4</w:t>
      </w:r>
      <w:r w:rsidRPr="001E7AA4">
        <w:t xml:space="preserve"> First Nations at the </w:t>
      </w:r>
      <w:r w:rsidR="3A28DA2B" w:rsidRPr="001E7AA4">
        <w:t>heart</w:t>
      </w:r>
      <w:r w:rsidRPr="001E7AA4">
        <w:t xml:space="preserve"> of Australia’s higher education system</w:t>
      </w:r>
      <w:bookmarkEnd w:id="43"/>
      <w:bookmarkEnd w:id="44"/>
      <w:bookmarkEnd w:id="45"/>
    </w:p>
    <w:p w14:paraId="3AB5B25E" w14:textId="2A859C55" w:rsidR="00632104" w:rsidRPr="001E7AA4" w:rsidRDefault="00632104" w:rsidP="0064464D">
      <w:pPr>
        <w:rPr>
          <w:rStyle w:val="normaltextrun"/>
          <w:rFonts w:ascii="Calibri" w:hAnsi="Calibri" w:cs="Calibri"/>
        </w:rPr>
      </w:pPr>
      <w:r w:rsidRPr="001E7AA4">
        <w:rPr>
          <w:rStyle w:val="normaltextrun"/>
          <w:rFonts w:ascii="Calibri" w:hAnsi="Calibri" w:cs="Calibri"/>
        </w:rPr>
        <w:t xml:space="preserve">Before outlining immediate recommendations, the </w:t>
      </w:r>
      <w:r w:rsidR="00A607C8">
        <w:rPr>
          <w:rStyle w:val="normaltextrun"/>
          <w:rFonts w:ascii="Calibri" w:hAnsi="Calibri" w:cs="Calibri"/>
        </w:rPr>
        <w:t>Review</w:t>
      </w:r>
      <w:r w:rsidR="00F91BEC" w:rsidRPr="001E7AA4">
        <w:rPr>
          <w:rStyle w:val="normaltextrun"/>
          <w:rFonts w:ascii="Calibri" w:hAnsi="Calibri" w:cs="Calibri"/>
        </w:rPr>
        <w:t xml:space="preserve"> </w:t>
      </w:r>
      <w:r w:rsidRPr="001E7AA4">
        <w:rPr>
          <w:rStyle w:val="normaltextrun"/>
          <w:rFonts w:ascii="Calibri" w:hAnsi="Calibri" w:cs="Calibri"/>
        </w:rPr>
        <w:t xml:space="preserve">wants to specifically address the vital need to </w:t>
      </w:r>
      <w:r w:rsidR="008549F4" w:rsidRPr="001E7AA4">
        <w:rPr>
          <w:rStyle w:val="normaltextrun"/>
          <w:rFonts w:ascii="Calibri" w:hAnsi="Calibri" w:cs="Calibri"/>
        </w:rPr>
        <w:t xml:space="preserve">centre the experience of </w:t>
      </w:r>
      <w:r w:rsidRPr="001E7AA4">
        <w:rPr>
          <w:rStyle w:val="normaltextrun"/>
          <w:rFonts w:ascii="Calibri" w:hAnsi="Calibri" w:cs="Calibri"/>
        </w:rPr>
        <w:t xml:space="preserve">First Nations peoples in higher education. </w:t>
      </w:r>
    </w:p>
    <w:p w14:paraId="17834AD6" w14:textId="0DEC3B90" w:rsidR="0064464D" w:rsidRPr="001E7AA4" w:rsidRDefault="0064464D" w:rsidP="0064464D">
      <w:pPr>
        <w:rPr>
          <w:rStyle w:val="normaltextrun"/>
          <w:rFonts w:ascii="Calibri" w:hAnsi="Calibri" w:cs="Calibri"/>
        </w:rPr>
      </w:pPr>
      <w:r w:rsidRPr="001E7AA4">
        <w:rPr>
          <w:rStyle w:val="normaltextrun"/>
          <w:rFonts w:ascii="Calibri" w:hAnsi="Calibri" w:cs="Calibri"/>
        </w:rPr>
        <w:t>Australia is home to the world’s oldest continuous living culture. Creating space for the knowledges and perspectives of First Nations people in matters that concern them is crucial to Australia’s development as a more equal nation.  </w:t>
      </w:r>
    </w:p>
    <w:p w14:paraId="22DAA738" w14:textId="2D476ED1" w:rsidR="0064464D" w:rsidRPr="001E7AA4" w:rsidRDefault="0064464D" w:rsidP="0064464D">
      <w:pPr>
        <w:rPr>
          <w:rFonts w:ascii="Calibri" w:hAnsi="Calibri" w:cs="Calibri"/>
        </w:rPr>
      </w:pPr>
      <w:r w:rsidRPr="001E7AA4">
        <w:rPr>
          <w:rStyle w:val="normaltextrun"/>
          <w:rFonts w:ascii="Calibri" w:hAnsi="Calibri" w:cs="Calibri"/>
        </w:rPr>
        <w:t xml:space="preserve">Knowledge, understanding, education and scholarship produced by First Nations people, along with commitment to their success through education, employment, research and community partnership, </w:t>
      </w:r>
      <w:r w:rsidRPr="001E7AA4">
        <w:rPr>
          <w:rFonts w:ascii="Calibri" w:hAnsi="Calibri" w:cs="Calibri"/>
        </w:rPr>
        <w:t>need</w:t>
      </w:r>
      <w:r w:rsidR="00BA7AE0" w:rsidRPr="001E7AA4">
        <w:rPr>
          <w:rFonts w:ascii="Calibri" w:hAnsi="Calibri" w:cs="Calibri"/>
        </w:rPr>
        <w:t>s</w:t>
      </w:r>
      <w:r w:rsidRPr="001E7AA4">
        <w:rPr>
          <w:rFonts w:ascii="Calibri" w:hAnsi="Calibri" w:cs="Calibri"/>
        </w:rPr>
        <w:t xml:space="preserve"> to be at the heart of the Australian system of higher education.</w:t>
      </w:r>
      <w:r w:rsidR="006B5277" w:rsidRPr="001E7AA4">
        <w:rPr>
          <w:rFonts w:ascii="Calibri" w:hAnsi="Calibri" w:cs="Calibri"/>
        </w:rPr>
        <w:t xml:space="preserve"> </w:t>
      </w:r>
      <w:r w:rsidR="00636876" w:rsidRPr="001E7AA4">
        <w:rPr>
          <w:rFonts w:ascii="Calibri" w:hAnsi="Calibri" w:cs="Calibri"/>
        </w:rPr>
        <w:t>This requires a commitment to empowerment of First Nations people</w:t>
      </w:r>
      <w:r w:rsidR="00283C21" w:rsidRPr="001E7AA4">
        <w:rPr>
          <w:rFonts w:ascii="Calibri" w:hAnsi="Calibri" w:cs="Calibri"/>
        </w:rPr>
        <w:t xml:space="preserve"> with </w:t>
      </w:r>
      <w:r w:rsidR="00636876" w:rsidRPr="001E7AA4">
        <w:rPr>
          <w:rFonts w:ascii="Calibri" w:hAnsi="Calibri" w:cs="Calibri"/>
        </w:rPr>
        <w:t xml:space="preserve">a </w:t>
      </w:r>
      <w:r w:rsidR="006B5277" w:rsidRPr="001E7AA4">
        <w:rPr>
          <w:rFonts w:ascii="Calibri" w:hAnsi="Calibri" w:cs="Calibri"/>
        </w:rPr>
        <w:t xml:space="preserve">self-determined approach </w:t>
      </w:r>
      <w:r w:rsidR="00283C21" w:rsidRPr="001E7AA4">
        <w:rPr>
          <w:rFonts w:ascii="Calibri" w:hAnsi="Calibri" w:cs="Calibri"/>
        </w:rPr>
        <w:t>developed in relation to</w:t>
      </w:r>
      <w:r w:rsidR="006B5277" w:rsidRPr="001E7AA4">
        <w:rPr>
          <w:rFonts w:ascii="Calibri" w:hAnsi="Calibri" w:cs="Calibri"/>
        </w:rPr>
        <w:t xml:space="preserve"> funding and policy settings </w:t>
      </w:r>
      <w:r w:rsidR="00283C21" w:rsidRPr="001E7AA4">
        <w:rPr>
          <w:rFonts w:ascii="Calibri" w:hAnsi="Calibri" w:cs="Calibri"/>
        </w:rPr>
        <w:t>at both a national and institutional level.</w:t>
      </w:r>
    </w:p>
    <w:p w14:paraId="394DE104" w14:textId="077D1843" w:rsidR="0064464D" w:rsidRPr="001E7AA4" w:rsidRDefault="0064464D" w:rsidP="0064464D">
      <w:pPr>
        <w:rPr>
          <w:rStyle w:val="normaltextrun"/>
          <w:rFonts w:ascii="Segoe UI" w:hAnsi="Segoe UI" w:cs="Segoe UI"/>
          <w:sz w:val="18"/>
          <w:szCs w:val="18"/>
        </w:rPr>
      </w:pPr>
      <w:r w:rsidRPr="001E7AA4">
        <w:rPr>
          <w:rStyle w:val="normaltextrun"/>
          <w:rFonts w:ascii="Calibri" w:hAnsi="Calibri" w:cs="Calibri"/>
        </w:rPr>
        <w:t xml:space="preserve">Education, pedagogy, knowledge and innovation have always been part of First Nations culture, and enshrining these knowledge systems and practices in Australia’s higher education institutions is key to the success of First Nations people in higher education, to the institutions themselves and in the broader community. This inclusion also enriches Australia’s knowledge base. Australia’s commitment to the success of First Nations people </w:t>
      </w:r>
      <w:r w:rsidR="00D26C29" w:rsidRPr="001E7AA4">
        <w:rPr>
          <w:rStyle w:val="normaltextrun"/>
          <w:rFonts w:ascii="Calibri" w:hAnsi="Calibri" w:cs="Calibri"/>
        </w:rPr>
        <w:t>in higher education</w:t>
      </w:r>
      <w:r w:rsidRPr="001E7AA4">
        <w:rPr>
          <w:rStyle w:val="normaltextrun"/>
          <w:rFonts w:ascii="Calibri" w:hAnsi="Calibri" w:cs="Calibri"/>
        </w:rPr>
        <w:t xml:space="preserve"> and </w:t>
      </w:r>
      <w:r w:rsidR="00D26C29" w:rsidRPr="001E7AA4">
        <w:rPr>
          <w:rStyle w:val="normaltextrun"/>
          <w:rFonts w:ascii="Calibri" w:hAnsi="Calibri" w:cs="Calibri"/>
        </w:rPr>
        <w:t>beyond</w:t>
      </w:r>
      <w:r w:rsidRPr="001E7AA4">
        <w:rPr>
          <w:rStyle w:val="normaltextrun"/>
          <w:rFonts w:ascii="Calibri" w:hAnsi="Calibri" w:cs="Calibri"/>
        </w:rPr>
        <w:t xml:space="preserve"> is a national priority and the Review has considered this throughout the chapters of this report and </w:t>
      </w:r>
      <w:r w:rsidR="00D26C29" w:rsidRPr="001E7AA4">
        <w:rPr>
          <w:rStyle w:val="normaltextrun"/>
          <w:rFonts w:ascii="Calibri" w:hAnsi="Calibri" w:cs="Calibri"/>
        </w:rPr>
        <w:t xml:space="preserve">in the </w:t>
      </w:r>
      <w:r w:rsidR="006E267A" w:rsidRPr="001E7AA4">
        <w:rPr>
          <w:rStyle w:val="normaltextrun"/>
          <w:rFonts w:ascii="Calibri" w:hAnsi="Calibri" w:cs="Calibri"/>
        </w:rPr>
        <w:t>c</w:t>
      </w:r>
      <w:r w:rsidR="00045EB9" w:rsidRPr="001E7AA4">
        <w:rPr>
          <w:rStyle w:val="normaltextrun"/>
          <w:rFonts w:ascii="Calibri" w:hAnsi="Calibri" w:cs="Calibri"/>
        </w:rPr>
        <w:t>onsiderations for change</w:t>
      </w:r>
      <w:r w:rsidRPr="001E7AA4">
        <w:rPr>
          <w:rStyle w:val="normaltextrun"/>
          <w:rFonts w:ascii="Calibri" w:hAnsi="Calibri" w:cs="Calibri"/>
        </w:rPr>
        <w:t>.</w:t>
      </w:r>
      <w:r w:rsidRPr="001E7AA4">
        <w:rPr>
          <w:rStyle w:val="eop"/>
          <w:rFonts w:ascii="Calibri" w:hAnsi="Calibri" w:cs="Calibri"/>
        </w:rPr>
        <w:t> </w:t>
      </w:r>
    </w:p>
    <w:p w14:paraId="7BBE2FD7" w14:textId="77777777" w:rsidR="0064464D" w:rsidRPr="001E7AA4" w:rsidRDefault="0064464D" w:rsidP="0064464D">
      <w:pPr>
        <w:rPr>
          <w:rStyle w:val="normaltextrun"/>
          <w:rFonts w:ascii="Calibri" w:hAnsi="Calibri" w:cs="Calibri"/>
        </w:rPr>
      </w:pPr>
      <w:r w:rsidRPr="001E7AA4">
        <w:rPr>
          <w:rStyle w:val="normaltextrun"/>
          <w:rFonts w:ascii="Calibri" w:hAnsi="Calibri" w:cs="Calibri"/>
        </w:rPr>
        <w:t xml:space="preserve">Educational institutions are among many key sites of this cultural preservation, sharing and development, and </w:t>
      </w:r>
      <w:r w:rsidRPr="001E7AA4">
        <w:rPr>
          <w:rFonts w:ascii="Calibri" w:hAnsi="Calibri" w:cs="Calibri"/>
        </w:rPr>
        <w:t>First Nations cultures and knowledge need to be built into the fabric of these institutions.</w:t>
      </w:r>
      <w:r w:rsidRPr="001E7AA4">
        <w:rPr>
          <w:rStyle w:val="normaltextrun"/>
          <w:rFonts w:ascii="Calibri" w:hAnsi="Calibri" w:cs="Calibri"/>
        </w:rPr>
        <w:t xml:space="preserve"> First Nations students, educators and researchers are working to realise this vision in Australia’s higher education sector – from re-awakening languages to creating culturally safe modes of medical care to educating the next generation of First Nations leaders. </w:t>
      </w:r>
    </w:p>
    <w:p w14:paraId="4A3E3FB2" w14:textId="0178E40B" w:rsidR="0064464D" w:rsidRPr="001E7AA4" w:rsidRDefault="0064464D" w:rsidP="0064464D">
      <w:pPr>
        <w:rPr>
          <w:rStyle w:val="normaltextrun"/>
          <w:rFonts w:ascii="Calibri" w:hAnsi="Calibri" w:cs="Calibri"/>
        </w:rPr>
      </w:pPr>
      <w:r w:rsidRPr="001E7AA4">
        <w:rPr>
          <w:rFonts w:ascii="Calibri" w:hAnsi="Calibri" w:cs="Calibri"/>
        </w:rPr>
        <w:t xml:space="preserve">Participation in higher education is a pathway to success for First Nations families and increased capacity for their communities, yet </w:t>
      </w:r>
      <w:r w:rsidRPr="001E7AA4">
        <w:rPr>
          <w:rStyle w:val="normaltextrun"/>
          <w:rFonts w:ascii="Calibri" w:hAnsi="Calibri" w:cs="Calibri"/>
        </w:rPr>
        <w:t>First Nations people continue to be underrepresented across the higher education system.</w:t>
      </w:r>
      <w:r w:rsidRPr="001E7AA4">
        <w:rPr>
          <w:rStyle w:val="FootnoteReference"/>
          <w:rFonts w:ascii="Calibri" w:hAnsi="Calibri" w:cs="Calibri"/>
        </w:rPr>
        <w:footnoteReference w:id="17"/>
      </w:r>
      <w:r w:rsidRPr="001E7AA4">
        <w:rPr>
          <w:rStyle w:val="normaltextrun"/>
          <w:rFonts w:ascii="Calibri" w:hAnsi="Calibri" w:cs="Calibri"/>
        </w:rPr>
        <w:t xml:space="preserve"> A smaller student population </w:t>
      </w:r>
      <w:r w:rsidR="00D26C29" w:rsidRPr="001E7AA4">
        <w:rPr>
          <w:rStyle w:val="normaltextrun"/>
          <w:rFonts w:ascii="Calibri" w:hAnsi="Calibri" w:cs="Calibri"/>
        </w:rPr>
        <w:t>manifests as</w:t>
      </w:r>
      <w:r w:rsidRPr="001E7AA4">
        <w:rPr>
          <w:rStyle w:val="normaltextrun"/>
          <w:rFonts w:ascii="Calibri" w:hAnsi="Calibri" w:cs="Calibri"/>
        </w:rPr>
        <w:t xml:space="preserve"> fewer Aboriginal and Torres Strait Islander researchers and academics, and in the broader community, where Australia misses out on the knowledge, expertise and talent of First Nations people across our society and the economy. </w:t>
      </w:r>
    </w:p>
    <w:p w14:paraId="511E5B6A" w14:textId="651875D0" w:rsidR="0064464D" w:rsidRPr="001E7AA4" w:rsidRDefault="0064464D" w:rsidP="0064464D">
      <w:pPr>
        <w:rPr>
          <w:rStyle w:val="normaltextrun"/>
          <w:rFonts w:ascii="Calibri" w:hAnsi="Calibri" w:cs="Calibri"/>
        </w:rPr>
      </w:pPr>
      <w:r w:rsidRPr="001E7AA4">
        <w:rPr>
          <w:rStyle w:val="normaltextrun"/>
          <w:rFonts w:ascii="Calibri" w:hAnsi="Calibri" w:cs="Calibri"/>
        </w:rPr>
        <w:t xml:space="preserve">The 2012 Behrendt </w:t>
      </w:r>
      <w:r w:rsidRPr="001E7AA4">
        <w:rPr>
          <w:rStyle w:val="normaltextrun"/>
          <w:rFonts w:ascii="Calibri" w:hAnsi="Calibri" w:cs="Calibri"/>
          <w:i/>
          <w:iCs/>
        </w:rPr>
        <w:t>Review of Higher Education Access and Outcomes for Aboriginal and Torres Strait Islander People</w:t>
      </w:r>
      <w:r w:rsidRPr="001E7AA4">
        <w:rPr>
          <w:rStyle w:val="normaltextrun"/>
          <w:rFonts w:ascii="Calibri" w:hAnsi="Calibri" w:cs="Calibri"/>
        </w:rPr>
        <w:t xml:space="preserve"> set a target for parity for First Nations students and staff in the higher education sector.</w:t>
      </w:r>
      <w:r w:rsidRPr="001E7AA4">
        <w:t xml:space="preserve"> While </w:t>
      </w:r>
      <w:r w:rsidRPr="001E7AA4">
        <w:rPr>
          <w:rStyle w:val="normaltextrun"/>
          <w:rFonts w:ascii="Calibri" w:hAnsi="Calibri" w:cs="Calibri"/>
        </w:rPr>
        <w:t>First Nations participation has been increasing steadily over the last decade, from 1.3</w:t>
      </w:r>
      <w:r w:rsidRPr="001E7AA4" w:rsidDel="0002240E">
        <w:rPr>
          <w:rStyle w:val="normaltextrun"/>
          <w:rFonts w:ascii="Calibri" w:hAnsi="Calibri" w:cs="Calibri"/>
        </w:rPr>
        <w:t>%</w:t>
      </w:r>
      <w:r w:rsidR="0002240E" w:rsidRPr="001E7AA4">
        <w:rPr>
          <w:rStyle w:val="normaltextrun"/>
          <w:rFonts w:ascii="Calibri" w:hAnsi="Calibri" w:cs="Calibri"/>
        </w:rPr>
        <w:t xml:space="preserve"> </w:t>
      </w:r>
      <w:r w:rsidRPr="001E7AA4">
        <w:rPr>
          <w:rStyle w:val="normaltextrun"/>
          <w:rFonts w:ascii="Calibri" w:hAnsi="Calibri" w:cs="Calibri"/>
        </w:rPr>
        <w:t>of domestic students in 2008 to 2.1</w:t>
      </w:r>
      <w:r w:rsidRPr="001E7AA4" w:rsidDel="0002240E">
        <w:rPr>
          <w:rStyle w:val="normaltextrun"/>
          <w:rFonts w:ascii="Calibri" w:hAnsi="Calibri" w:cs="Calibri"/>
        </w:rPr>
        <w:t>%</w:t>
      </w:r>
      <w:r w:rsidR="0002240E" w:rsidRPr="001E7AA4">
        <w:rPr>
          <w:rStyle w:val="normaltextrun"/>
          <w:rFonts w:ascii="Calibri" w:hAnsi="Calibri" w:cs="Calibri"/>
        </w:rPr>
        <w:t xml:space="preserve"> </w:t>
      </w:r>
      <w:r w:rsidRPr="001E7AA4">
        <w:rPr>
          <w:rStyle w:val="normaltextrun"/>
          <w:rFonts w:ascii="Calibri" w:hAnsi="Calibri" w:cs="Calibri"/>
        </w:rPr>
        <w:t>in 2021, Indigenous student enrolments would need to increase by 44</w:t>
      </w:r>
      <w:r w:rsidRPr="001E7AA4" w:rsidDel="0002240E">
        <w:rPr>
          <w:rStyle w:val="normaltextrun"/>
          <w:rFonts w:ascii="Calibri" w:hAnsi="Calibri" w:cs="Calibri"/>
        </w:rPr>
        <w:t>%</w:t>
      </w:r>
      <w:r w:rsidR="0002240E" w:rsidRPr="001E7AA4">
        <w:rPr>
          <w:rStyle w:val="normaltextrun"/>
          <w:rFonts w:ascii="Calibri" w:hAnsi="Calibri" w:cs="Calibri"/>
        </w:rPr>
        <w:t xml:space="preserve"> </w:t>
      </w:r>
      <w:r w:rsidRPr="001E7AA4">
        <w:rPr>
          <w:rStyle w:val="normaltextrun"/>
          <w:rFonts w:ascii="Calibri" w:hAnsi="Calibri" w:cs="Calibri"/>
        </w:rPr>
        <w:t>to be at population parity in 2021.</w:t>
      </w:r>
      <w:r w:rsidRPr="001E7AA4">
        <w:rPr>
          <w:rStyle w:val="FootnoteReference"/>
          <w:rFonts w:ascii="Calibri" w:hAnsi="Calibri" w:cs="Calibri"/>
        </w:rPr>
        <w:footnoteReference w:id="18"/>
      </w:r>
      <w:r w:rsidRPr="001E7AA4">
        <w:rPr>
          <w:rStyle w:val="normaltextrun"/>
          <w:rFonts w:ascii="Calibri" w:hAnsi="Calibri" w:cs="Calibri"/>
        </w:rPr>
        <w:t xml:space="preserve"> Similarly, First Nations staff members make up just 1.2</w:t>
      </w:r>
      <w:r w:rsidRPr="001E7AA4" w:rsidDel="0002240E">
        <w:rPr>
          <w:rStyle w:val="normaltextrun"/>
          <w:rFonts w:ascii="Calibri" w:hAnsi="Calibri" w:cs="Calibri"/>
        </w:rPr>
        <w:t>%</w:t>
      </w:r>
      <w:r w:rsidR="0002240E" w:rsidRPr="001E7AA4">
        <w:rPr>
          <w:rStyle w:val="normaltextrun"/>
          <w:rFonts w:ascii="Calibri" w:hAnsi="Calibri" w:cs="Calibri"/>
        </w:rPr>
        <w:t xml:space="preserve"> </w:t>
      </w:r>
      <w:r w:rsidRPr="001E7AA4">
        <w:rPr>
          <w:rStyle w:val="normaltextrun"/>
          <w:rFonts w:ascii="Calibri" w:hAnsi="Calibri" w:cs="Calibri"/>
        </w:rPr>
        <w:t>of academic staff, and 1.6</w:t>
      </w:r>
      <w:r w:rsidRPr="001E7AA4" w:rsidDel="0002240E">
        <w:rPr>
          <w:rStyle w:val="normaltextrun"/>
          <w:rFonts w:ascii="Calibri" w:hAnsi="Calibri" w:cs="Calibri"/>
        </w:rPr>
        <w:t>%</w:t>
      </w:r>
      <w:r w:rsidR="0002240E" w:rsidRPr="001E7AA4">
        <w:rPr>
          <w:rStyle w:val="normaltextrun"/>
          <w:rFonts w:ascii="Calibri" w:hAnsi="Calibri" w:cs="Calibri"/>
        </w:rPr>
        <w:t xml:space="preserve"> </w:t>
      </w:r>
      <w:r w:rsidRPr="001E7AA4">
        <w:rPr>
          <w:rStyle w:val="normaltextrun"/>
          <w:rFonts w:ascii="Calibri" w:hAnsi="Calibri" w:cs="Calibri"/>
        </w:rPr>
        <w:t>of non-academic staff in Australian universities.</w:t>
      </w:r>
      <w:r w:rsidRPr="001E7AA4">
        <w:rPr>
          <w:rStyle w:val="FootnoteReference"/>
          <w:rFonts w:ascii="Calibri" w:hAnsi="Calibri" w:cs="Calibri"/>
        </w:rPr>
        <w:footnoteReference w:id="19"/>
      </w:r>
      <w:r w:rsidRPr="001E7AA4">
        <w:rPr>
          <w:rStyle w:val="normaltextrun"/>
          <w:rFonts w:ascii="Calibri" w:hAnsi="Calibri" w:cs="Calibri"/>
        </w:rPr>
        <w:t xml:space="preserve"> Th</w:t>
      </w:r>
      <w:r w:rsidR="00B94BAF" w:rsidRPr="001E7AA4">
        <w:rPr>
          <w:rStyle w:val="normaltextrun"/>
          <w:rFonts w:ascii="Calibri" w:hAnsi="Calibri" w:cs="Calibri"/>
        </w:rPr>
        <w:t>e</w:t>
      </w:r>
      <w:r w:rsidRPr="001E7AA4">
        <w:rPr>
          <w:rStyle w:val="normaltextrun"/>
          <w:rFonts w:ascii="Calibri" w:hAnsi="Calibri" w:cs="Calibri"/>
        </w:rPr>
        <w:t xml:space="preserve"> Accord</w:t>
      </w:r>
      <w:r w:rsidR="00B94BAF" w:rsidRPr="001E7AA4">
        <w:rPr>
          <w:rStyle w:val="normaltextrun"/>
          <w:rFonts w:ascii="Calibri" w:hAnsi="Calibri" w:cs="Calibri"/>
        </w:rPr>
        <w:t xml:space="preserve"> process</w:t>
      </w:r>
      <w:r w:rsidRPr="001E7AA4">
        <w:rPr>
          <w:rStyle w:val="normaltextrun"/>
          <w:rFonts w:ascii="Calibri" w:hAnsi="Calibri" w:cs="Calibri"/>
        </w:rPr>
        <w:t xml:space="preserve"> gives Australia a chance to </w:t>
      </w:r>
      <w:r w:rsidR="00434447" w:rsidRPr="001E7AA4">
        <w:rPr>
          <w:rStyle w:val="normaltextrun"/>
          <w:rFonts w:ascii="Calibri" w:hAnsi="Calibri" w:cs="Calibri"/>
        </w:rPr>
        <w:t xml:space="preserve">determine </w:t>
      </w:r>
      <w:r w:rsidRPr="001E7AA4">
        <w:rPr>
          <w:rStyle w:val="normaltextrun"/>
          <w:rFonts w:ascii="Calibri" w:hAnsi="Calibri" w:cs="Calibri"/>
        </w:rPr>
        <w:t xml:space="preserve">what needs to be done to meet this target and to </w:t>
      </w:r>
      <w:r w:rsidRPr="001E7AA4">
        <w:rPr>
          <w:rStyle w:val="normaltextrun"/>
          <w:rFonts w:ascii="Calibri" w:hAnsi="Calibri" w:cs="Calibri"/>
        </w:rPr>
        <w:lastRenderedPageBreak/>
        <w:t xml:space="preserve">continue the conversation about First Nations participation, success and self-determination in higher education. </w:t>
      </w:r>
    </w:p>
    <w:p w14:paraId="4BCC114A" w14:textId="40F35AF9" w:rsidR="006809FD" w:rsidRPr="001E7AA4" w:rsidRDefault="0064464D" w:rsidP="0064464D">
      <w:pPr>
        <w:rPr>
          <w:rStyle w:val="normaltextrun"/>
          <w:rFonts w:ascii="Calibri" w:hAnsi="Calibri" w:cs="Calibri"/>
        </w:rPr>
      </w:pPr>
      <w:r w:rsidRPr="001E7AA4">
        <w:rPr>
          <w:rStyle w:val="normaltextrun"/>
          <w:rFonts w:ascii="Calibri" w:hAnsi="Calibri" w:cs="Calibri"/>
        </w:rPr>
        <w:t>In the words of Wesley Enoch, Indigenous Chair in Creative Industries at</w:t>
      </w:r>
      <w:r w:rsidR="00076F9D" w:rsidRPr="001E7AA4">
        <w:rPr>
          <w:rStyle w:val="normaltextrun"/>
          <w:rFonts w:ascii="Calibri" w:hAnsi="Calibri" w:cs="Calibri"/>
        </w:rPr>
        <w:t xml:space="preserve"> Queensland University of Technology</w:t>
      </w:r>
      <w:r w:rsidRPr="001E7AA4">
        <w:rPr>
          <w:rStyle w:val="normaltextrun"/>
          <w:rFonts w:ascii="Calibri" w:hAnsi="Calibri" w:cs="Calibri"/>
        </w:rPr>
        <w:t>, “education has given us choices and the power to make change on our own terms.”</w:t>
      </w:r>
      <w:r w:rsidRPr="001E7AA4">
        <w:rPr>
          <w:rStyle w:val="FootnoteReference"/>
          <w:rFonts w:ascii="Calibri" w:hAnsi="Calibri" w:cs="Calibri"/>
        </w:rPr>
        <w:footnoteReference w:id="20"/>
      </w:r>
      <w:r w:rsidRPr="001E7AA4">
        <w:rPr>
          <w:rStyle w:val="normaltextrun"/>
          <w:rFonts w:ascii="Calibri" w:hAnsi="Calibri" w:cs="Calibri"/>
        </w:rPr>
        <w:t xml:space="preserve"> </w:t>
      </w:r>
      <w:r w:rsidR="009845F2" w:rsidRPr="001E7AA4">
        <w:rPr>
          <w:rStyle w:val="normaltextrun"/>
          <w:rFonts w:ascii="Calibri" w:hAnsi="Calibri" w:cs="Calibri"/>
        </w:rPr>
        <w:t xml:space="preserve">Finishing high school </w:t>
      </w:r>
      <w:r w:rsidRPr="001E7AA4">
        <w:rPr>
          <w:rStyle w:val="normaltextrun"/>
          <w:rFonts w:ascii="Calibri" w:hAnsi="Calibri" w:cs="Calibri"/>
        </w:rPr>
        <w:t>at a time “when universities were actively recruiting and supporting Indigenous students,”</w:t>
      </w:r>
      <w:r w:rsidRPr="001E7AA4">
        <w:rPr>
          <w:rStyle w:val="FootnoteReference"/>
          <w:rFonts w:ascii="Calibri" w:hAnsi="Calibri" w:cs="Calibri"/>
        </w:rPr>
        <w:footnoteReference w:id="21"/>
      </w:r>
      <w:r w:rsidRPr="001E7AA4">
        <w:rPr>
          <w:rStyle w:val="normaltextrun"/>
          <w:rFonts w:ascii="Calibri" w:hAnsi="Calibri" w:cs="Calibri"/>
        </w:rPr>
        <w:t xml:space="preserve"> Enoch touches on the crucial role Governments and institutions need to play in enabling First Nations students to succeed in higher education. </w:t>
      </w:r>
    </w:p>
    <w:p w14:paraId="3B22DCB7" w14:textId="2F5A9CAF" w:rsidR="0064464D" w:rsidRPr="001E7AA4" w:rsidRDefault="0064464D" w:rsidP="0064464D">
      <w:pPr>
        <w:rPr>
          <w:rStyle w:val="normaltextrun"/>
          <w:rFonts w:ascii="Calibri" w:hAnsi="Calibri" w:cs="Calibri"/>
        </w:rPr>
      </w:pPr>
      <w:r w:rsidRPr="001E7AA4">
        <w:rPr>
          <w:rStyle w:val="normaltextrun"/>
          <w:rFonts w:ascii="Calibri" w:hAnsi="Calibri" w:cs="Calibri"/>
        </w:rPr>
        <w:t xml:space="preserve">This Review aims to identify the actions and commitments needed to create better opportunities for First Nations students, supported by a funding system that drives positive outcomes for those students. To achieve this, this Review has proposed to </w:t>
      </w:r>
      <w:r w:rsidR="008B7989" w:rsidRPr="001E7AA4">
        <w:rPr>
          <w:rStyle w:val="normaltextrun"/>
          <w:rFonts w:ascii="Calibri" w:hAnsi="Calibri" w:cs="Calibri"/>
        </w:rPr>
        <w:t>ensure</w:t>
      </w:r>
      <w:r w:rsidRPr="001E7AA4">
        <w:rPr>
          <w:rStyle w:val="normaltextrun"/>
          <w:rFonts w:ascii="Calibri" w:hAnsi="Calibri" w:cs="Calibri"/>
        </w:rPr>
        <w:t xml:space="preserve"> all First Nations students </w:t>
      </w:r>
      <w:r w:rsidR="008B7989" w:rsidRPr="001E7AA4">
        <w:rPr>
          <w:rStyle w:val="normaltextrun"/>
          <w:rFonts w:ascii="Calibri" w:hAnsi="Calibri" w:cs="Calibri"/>
        </w:rPr>
        <w:t>are guaranteed funded place</w:t>
      </w:r>
      <w:r w:rsidR="002E154C" w:rsidRPr="001E7AA4">
        <w:rPr>
          <w:rStyle w:val="normaltextrun"/>
          <w:rFonts w:ascii="Calibri" w:hAnsi="Calibri" w:cs="Calibri"/>
        </w:rPr>
        <w:t>s</w:t>
      </w:r>
      <w:r w:rsidR="008B7989" w:rsidRPr="001E7AA4">
        <w:rPr>
          <w:rStyle w:val="normaltextrun"/>
          <w:rFonts w:ascii="Calibri" w:hAnsi="Calibri" w:cs="Calibri"/>
        </w:rPr>
        <w:t xml:space="preserve"> at university – by extending demand driven funding to metropolitan First Nations students</w:t>
      </w:r>
      <w:r w:rsidRPr="001E7AA4">
        <w:rPr>
          <w:rStyle w:val="normaltextrun"/>
          <w:rFonts w:ascii="Calibri" w:hAnsi="Calibri" w:cs="Calibri"/>
        </w:rPr>
        <w:t xml:space="preserve"> –</w:t>
      </w:r>
      <w:r w:rsidR="003E5509" w:rsidRPr="001E7AA4">
        <w:rPr>
          <w:rStyle w:val="normaltextrun"/>
          <w:rFonts w:ascii="Calibri" w:hAnsi="Calibri" w:cs="Calibri"/>
        </w:rPr>
        <w:t xml:space="preserve"> </w:t>
      </w:r>
      <w:r w:rsidRPr="001E7AA4">
        <w:rPr>
          <w:rStyle w:val="normaltextrun"/>
          <w:rFonts w:ascii="Calibri" w:hAnsi="Calibri" w:cs="Calibri"/>
        </w:rPr>
        <w:t>and to consider ways forward to support those students to succeed at university and to increase representation of First Nations researchers and leaders in the higher education sector, and beyond.</w:t>
      </w:r>
    </w:p>
    <w:p w14:paraId="437A2D00" w14:textId="6D5A96E1" w:rsidR="0064464D" w:rsidRPr="001E7AA4" w:rsidRDefault="0064464D" w:rsidP="0064464D">
      <w:pPr>
        <w:rPr>
          <w:rStyle w:val="normaltextrun"/>
          <w:rFonts w:ascii="Calibri" w:hAnsi="Calibri" w:cs="Calibri"/>
        </w:rPr>
      </w:pPr>
      <w:r w:rsidRPr="001E7AA4">
        <w:rPr>
          <w:rStyle w:val="normaltextrun"/>
          <w:rFonts w:ascii="Calibri" w:hAnsi="Calibri" w:cs="Calibri"/>
        </w:rPr>
        <w:t xml:space="preserve">Higher education outcomes are fundamental to Closing the Gap. In the </w:t>
      </w:r>
      <w:r w:rsidRPr="001E7AA4">
        <w:rPr>
          <w:rStyle w:val="normaltextrun"/>
          <w:rFonts w:ascii="Calibri" w:hAnsi="Calibri" w:cs="Calibri"/>
          <w:i/>
          <w:iCs/>
        </w:rPr>
        <w:t>Uluru Statement from the Heart</w:t>
      </w:r>
      <w:r w:rsidRPr="001E7AA4">
        <w:rPr>
          <w:rStyle w:val="normaltextrun"/>
          <w:rFonts w:ascii="Calibri" w:hAnsi="Calibri" w:cs="Calibri"/>
        </w:rPr>
        <w:t xml:space="preserve">, First Nations </w:t>
      </w:r>
      <w:r w:rsidR="00223F89" w:rsidRPr="001E7AA4">
        <w:rPr>
          <w:rFonts w:ascii="Calibri" w:eastAsia="Calibri" w:hAnsi="Calibri" w:cs="Calibri"/>
        </w:rPr>
        <w:t xml:space="preserve">people </w:t>
      </w:r>
      <w:r w:rsidRPr="001E7AA4">
        <w:rPr>
          <w:rStyle w:val="normaltextrun"/>
          <w:rFonts w:ascii="Calibri" w:hAnsi="Calibri" w:cs="Calibri"/>
        </w:rPr>
        <w:t xml:space="preserve">generously invited all Australian people to work together to build a better future. The Statement envisions that First Nations children </w:t>
      </w:r>
      <w:r w:rsidR="008617BA" w:rsidRPr="001E7AA4">
        <w:rPr>
          <w:rStyle w:val="normaltextrun"/>
          <w:rFonts w:ascii="Calibri" w:hAnsi="Calibri" w:cs="Calibri"/>
        </w:rPr>
        <w:t>“</w:t>
      </w:r>
      <w:r w:rsidRPr="001E7AA4">
        <w:rPr>
          <w:rStyle w:val="normaltextrun"/>
          <w:rFonts w:ascii="Calibri" w:hAnsi="Calibri" w:cs="Calibri"/>
        </w:rPr>
        <w:t>will walk in two worlds and their culture will be a gift to their country.</w:t>
      </w:r>
      <w:r w:rsidR="008617BA" w:rsidRPr="001E7AA4">
        <w:rPr>
          <w:rStyle w:val="normaltextrun"/>
          <w:rFonts w:ascii="Calibri" w:hAnsi="Calibri" w:cs="Calibri"/>
        </w:rPr>
        <w:t>”</w:t>
      </w:r>
      <w:r w:rsidRPr="001E7AA4">
        <w:rPr>
          <w:rStyle w:val="FootnoteReference"/>
          <w:rFonts w:ascii="Calibri" w:hAnsi="Calibri" w:cs="Calibri"/>
        </w:rPr>
        <w:footnoteReference w:id="22"/>
      </w:r>
      <w:r w:rsidRPr="001E7AA4">
        <w:rPr>
          <w:rStyle w:val="normaltextrun"/>
          <w:rFonts w:ascii="Calibri" w:hAnsi="Calibri" w:cs="Calibri"/>
        </w:rPr>
        <w:t xml:space="preserve"> Australia’s higher education sector is a site of opportunity to realise the partnership articulated in the </w:t>
      </w:r>
      <w:r w:rsidRPr="001E7AA4">
        <w:rPr>
          <w:rStyle w:val="normaltextrun"/>
          <w:rFonts w:ascii="Calibri" w:hAnsi="Calibri" w:cs="Calibri"/>
          <w:i/>
          <w:iCs/>
        </w:rPr>
        <w:t xml:space="preserve">Uluru Statement from the Heart. </w:t>
      </w:r>
      <w:r w:rsidRPr="001E7AA4">
        <w:rPr>
          <w:rStyle w:val="normaltextrun"/>
          <w:rFonts w:ascii="Calibri" w:hAnsi="Calibri" w:cs="Calibri"/>
        </w:rPr>
        <w:t xml:space="preserve">Heeding this call, Australia’s educators, researchers, and institutions have a role to play in realising this vision by ensuring First Nations people have a greater say in the decisions that affect them. </w:t>
      </w:r>
    </w:p>
    <w:p w14:paraId="411D2EA5" w14:textId="77777777" w:rsidR="0064464D" w:rsidRPr="001E7AA4" w:rsidRDefault="0064464D" w:rsidP="0064464D">
      <w:pPr>
        <w:rPr>
          <w:rStyle w:val="normaltextrun"/>
          <w:rFonts w:ascii="Calibri" w:hAnsi="Calibri" w:cs="Calibri"/>
        </w:rPr>
      </w:pPr>
      <w:r w:rsidRPr="001E7AA4">
        <w:rPr>
          <w:rStyle w:val="normaltextrun"/>
          <w:rFonts w:ascii="Calibri" w:hAnsi="Calibri" w:cs="Calibri"/>
        </w:rPr>
        <w:t xml:space="preserve">Improving Closing the Gap outcomes in higher education requires full and genuine partnership between First Nations people, higher education institutions, the Australian Government, and other partners in the Accord. </w:t>
      </w:r>
    </w:p>
    <w:p w14:paraId="3E13C19E" w14:textId="77777777" w:rsidR="0002240E" w:rsidRPr="001E7AA4" w:rsidRDefault="0002240E" w:rsidP="0002240E">
      <w:pPr>
        <w:spacing w:after="0"/>
        <w:rPr>
          <w:rFonts w:ascii="Calibri" w:eastAsia="Calibri" w:hAnsi="Calibri" w:cs="Calibri"/>
        </w:rPr>
      </w:pPr>
      <w:r w:rsidRPr="001E7AA4">
        <w:rPr>
          <w:rFonts w:ascii="Calibri" w:eastAsia="Calibri" w:hAnsi="Calibri" w:cs="Calibri"/>
        </w:rPr>
        <w:t xml:space="preserve">For these reasons, the Review is giving further consideration to the following policy areas: </w:t>
      </w:r>
    </w:p>
    <w:p w14:paraId="411412D3" w14:textId="73A9A404" w:rsidR="00F9223E" w:rsidRPr="001E7AA4" w:rsidRDefault="00F9223E" w:rsidP="00A025B1">
      <w:pPr>
        <w:pStyle w:val="ListParagraph"/>
        <w:numPr>
          <w:ilvl w:val="0"/>
          <w:numId w:val="50"/>
        </w:numPr>
        <w:spacing w:after="0" w:line="240" w:lineRule="auto"/>
        <w:rPr>
          <w:rFonts w:ascii="Calibri" w:eastAsia="Calibri" w:hAnsi="Calibri" w:cs="Calibri"/>
        </w:rPr>
      </w:pPr>
      <w:r w:rsidRPr="001E7AA4">
        <w:rPr>
          <w:rFonts w:ascii="Calibri" w:eastAsia="Calibri" w:hAnsi="Calibri" w:cs="Calibri"/>
        </w:rPr>
        <w:t>creating a new First Nations Higher Education Council to give voice to the needs, aspirations and know-how of community</w:t>
      </w:r>
    </w:p>
    <w:p w14:paraId="3A22F72E" w14:textId="23B9D7C7" w:rsidR="00F9223E" w:rsidRPr="001E7AA4" w:rsidRDefault="00F9223E" w:rsidP="00A025B1">
      <w:pPr>
        <w:pStyle w:val="ListParagraph"/>
        <w:numPr>
          <w:ilvl w:val="0"/>
          <w:numId w:val="50"/>
        </w:numPr>
        <w:spacing w:line="240" w:lineRule="auto"/>
        <w:rPr>
          <w:rFonts w:ascii="Calibri" w:eastAsia="Calibri" w:hAnsi="Calibri" w:cs="Calibri"/>
        </w:rPr>
      </w:pPr>
      <w:r w:rsidRPr="001E7AA4">
        <w:rPr>
          <w:rFonts w:ascii="Calibri" w:eastAsia="Calibri" w:hAnsi="Calibri" w:cs="Calibri"/>
        </w:rPr>
        <w:t>moving towards a self-determined approach to national funding and policy settings in relation to First Nations students, employment, teaching, research and engagement, with universities mirroring this approach within their institutions, as is the case in some institutions today</w:t>
      </w:r>
    </w:p>
    <w:p w14:paraId="6A7160F9" w14:textId="46B2441A" w:rsidR="00F9223E" w:rsidRPr="001E7AA4" w:rsidRDefault="00F9223E" w:rsidP="00A025B1">
      <w:pPr>
        <w:pStyle w:val="ListParagraph"/>
        <w:numPr>
          <w:ilvl w:val="0"/>
          <w:numId w:val="50"/>
        </w:numPr>
        <w:spacing w:after="0" w:line="240" w:lineRule="auto"/>
        <w:rPr>
          <w:rFonts w:ascii="Calibri" w:eastAsia="Calibri" w:hAnsi="Calibri" w:cs="Calibri"/>
        </w:rPr>
      </w:pPr>
      <w:r w:rsidRPr="001E7AA4">
        <w:rPr>
          <w:rFonts w:ascii="Calibri" w:eastAsia="Calibri" w:hAnsi="Calibri" w:cs="Calibri"/>
        </w:rPr>
        <w:t>supporting a First Nations-led review of access, participation and outcomes for First Nations students and staff, research, teaching, use of First Nations knowledges, and First Nations governance and leadership within universities</w:t>
      </w:r>
    </w:p>
    <w:p w14:paraId="11ECA19D" w14:textId="74337010" w:rsidR="00F9223E" w:rsidRPr="001E7AA4" w:rsidRDefault="00F9223E" w:rsidP="00A025B1">
      <w:pPr>
        <w:pStyle w:val="ListParagraph"/>
        <w:numPr>
          <w:ilvl w:val="0"/>
          <w:numId w:val="50"/>
        </w:numPr>
        <w:spacing w:after="0" w:line="276" w:lineRule="auto"/>
        <w:rPr>
          <w:rFonts w:ascii="Calibri" w:eastAsia="Calibri" w:hAnsi="Calibri" w:cs="Calibri"/>
        </w:rPr>
      </w:pPr>
      <w:r w:rsidRPr="001E7AA4">
        <w:rPr>
          <w:rFonts w:ascii="Calibri" w:eastAsia="Calibri" w:hAnsi="Calibri" w:cs="Calibri"/>
        </w:rPr>
        <w:t>enhancing research capability for First Nations knowledges and for collaboration and partnerships between First Nations communities, governments, universities and industry.</w:t>
      </w:r>
    </w:p>
    <w:p w14:paraId="17933B06" w14:textId="2B97C51C" w:rsidR="0064464D" w:rsidRPr="001E7AA4" w:rsidRDefault="341E6E31" w:rsidP="00B65F5B">
      <w:pPr>
        <w:pStyle w:val="Heading4"/>
      </w:pPr>
      <w:bookmarkStart w:id="46" w:name="_Toc137829526"/>
      <w:bookmarkStart w:id="47" w:name="_Toc761493126"/>
      <w:bookmarkStart w:id="48" w:name="_Toc139028857"/>
      <w:r w:rsidRPr="001E7AA4">
        <w:lastRenderedPageBreak/>
        <w:t>1.</w:t>
      </w:r>
      <w:r w:rsidR="00A251C0" w:rsidRPr="001E7AA4">
        <w:t>5</w:t>
      </w:r>
      <w:r w:rsidRPr="001E7AA4">
        <w:t xml:space="preserve"> There are </w:t>
      </w:r>
      <w:r w:rsidR="3A28DA2B" w:rsidRPr="001E7AA4">
        <w:t>critical</w:t>
      </w:r>
      <w:r w:rsidRPr="001E7AA4">
        <w:t xml:space="preserve"> first steps to be taken now</w:t>
      </w:r>
      <w:bookmarkEnd w:id="46"/>
      <w:bookmarkEnd w:id="47"/>
      <w:bookmarkEnd w:id="48"/>
    </w:p>
    <w:p w14:paraId="064C08CF" w14:textId="2FE8E507" w:rsidR="0064464D" w:rsidRPr="001E7AA4" w:rsidRDefault="0064464D" w:rsidP="0064464D">
      <w:r w:rsidRPr="001E7AA4">
        <w:t xml:space="preserve">Without decisive action on </w:t>
      </w:r>
      <w:r w:rsidR="00632104" w:rsidRPr="001E7AA4">
        <w:t>higher education</w:t>
      </w:r>
      <w:r w:rsidRPr="001E7AA4">
        <w:t>, Australia’s econom</w:t>
      </w:r>
      <w:r w:rsidR="00632104" w:rsidRPr="001E7AA4">
        <w:t xml:space="preserve">ic and social progress will suffer. </w:t>
      </w:r>
    </w:p>
    <w:p w14:paraId="7C57669B" w14:textId="32EA3784" w:rsidR="00434447" w:rsidRPr="001E7AA4" w:rsidRDefault="00632104" w:rsidP="004A4A5F">
      <w:pPr>
        <w:rPr>
          <w:rStyle w:val="normaltextrun"/>
          <w:rFonts w:ascii="Calibri" w:hAnsi="Calibri" w:cs="Calibri"/>
        </w:rPr>
      </w:pPr>
      <w:r w:rsidRPr="001E7AA4">
        <w:rPr>
          <w:rStyle w:val="normaltextrun"/>
          <w:rFonts w:ascii="Calibri" w:hAnsi="Calibri" w:cs="Calibri"/>
        </w:rPr>
        <w:t xml:space="preserve">While the majority of the </w:t>
      </w:r>
      <w:r w:rsidR="002B538F" w:rsidRPr="001E7AA4">
        <w:rPr>
          <w:rStyle w:val="normaltextrun"/>
          <w:rFonts w:ascii="Calibri" w:hAnsi="Calibri" w:cs="Calibri"/>
        </w:rPr>
        <w:t>Review</w:t>
      </w:r>
      <w:r w:rsidRPr="001E7AA4">
        <w:rPr>
          <w:rStyle w:val="normaltextrun"/>
          <w:rFonts w:ascii="Calibri" w:hAnsi="Calibri" w:cs="Calibri"/>
        </w:rPr>
        <w:t xml:space="preserve">’s longer-term recommendations require more discussion in the lead up to its </w:t>
      </w:r>
      <w:r w:rsidR="006B6212" w:rsidRPr="001E7AA4">
        <w:rPr>
          <w:rStyle w:val="normaltextrun"/>
          <w:rFonts w:ascii="Calibri" w:hAnsi="Calibri" w:cs="Calibri"/>
        </w:rPr>
        <w:t>F</w:t>
      </w:r>
      <w:r w:rsidRPr="001E7AA4">
        <w:rPr>
          <w:rStyle w:val="normaltextrun"/>
          <w:rFonts w:ascii="Calibri" w:hAnsi="Calibri" w:cs="Calibri"/>
        </w:rPr>
        <w:t xml:space="preserve">inal </w:t>
      </w:r>
      <w:r w:rsidR="006B6212" w:rsidRPr="001E7AA4">
        <w:rPr>
          <w:rStyle w:val="normaltextrun"/>
          <w:rFonts w:ascii="Calibri" w:hAnsi="Calibri" w:cs="Calibri"/>
        </w:rPr>
        <w:t>R</w:t>
      </w:r>
      <w:r w:rsidRPr="001E7AA4">
        <w:rPr>
          <w:rStyle w:val="normaltextrun"/>
          <w:rFonts w:ascii="Calibri" w:hAnsi="Calibri" w:cs="Calibri"/>
        </w:rPr>
        <w:t xml:space="preserve">eport in December, some </w:t>
      </w:r>
      <w:r w:rsidR="0064464D" w:rsidRPr="001E7AA4">
        <w:rPr>
          <w:rStyle w:val="normaltextrun"/>
          <w:rFonts w:ascii="Calibri" w:hAnsi="Calibri" w:cs="Calibri"/>
        </w:rPr>
        <w:t xml:space="preserve">warrant immediate action by </w:t>
      </w:r>
      <w:r w:rsidRPr="001E7AA4">
        <w:rPr>
          <w:rStyle w:val="normaltextrun"/>
          <w:rFonts w:ascii="Calibri" w:hAnsi="Calibri" w:cs="Calibri"/>
        </w:rPr>
        <w:t>g</w:t>
      </w:r>
      <w:r w:rsidR="0064464D" w:rsidRPr="001E7AA4">
        <w:rPr>
          <w:rStyle w:val="normaltextrun"/>
          <w:rFonts w:ascii="Calibri" w:hAnsi="Calibri" w:cs="Calibri"/>
        </w:rPr>
        <w:t xml:space="preserve">overnment. </w:t>
      </w:r>
      <w:r w:rsidRPr="001E7AA4">
        <w:rPr>
          <w:rStyle w:val="normaltextrun"/>
          <w:rFonts w:ascii="Calibri" w:hAnsi="Calibri" w:cs="Calibri"/>
        </w:rPr>
        <w:t>These concern equity of access, student safety</w:t>
      </w:r>
      <w:r w:rsidR="00E441AE" w:rsidRPr="001E7AA4">
        <w:rPr>
          <w:rStyle w:val="normaltextrun"/>
          <w:rFonts w:ascii="Calibri" w:hAnsi="Calibri" w:cs="Calibri"/>
        </w:rPr>
        <w:t>, funding certainty for universities</w:t>
      </w:r>
      <w:r w:rsidRPr="001E7AA4">
        <w:rPr>
          <w:rStyle w:val="normaltextrun"/>
          <w:rFonts w:ascii="Calibri" w:hAnsi="Calibri" w:cs="Calibri"/>
        </w:rPr>
        <w:t xml:space="preserve"> and the proper payment of university staff. </w:t>
      </w:r>
    </w:p>
    <w:p w14:paraId="1EEC3E63" w14:textId="77777777" w:rsidR="00D94B38" w:rsidRPr="001E7AA4" w:rsidRDefault="00D94B38" w:rsidP="007D42CC">
      <w:pPr>
        <w:pStyle w:val="Heading5"/>
      </w:pPr>
      <w:r w:rsidRPr="001E7AA4">
        <w:t>Bringing university education to under-serviced communities</w:t>
      </w:r>
    </w:p>
    <w:p w14:paraId="6822143C" w14:textId="77777777" w:rsidR="00D94B38" w:rsidRPr="001E7AA4" w:rsidRDefault="00D94B38" w:rsidP="00D94B38">
      <w:r w:rsidRPr="001E7AA4">
        <w:t>The Review has heard that proximity and connection to a place of learning is a critical decision-making factor for students when determining future study options and is a significant barrier to access to higher education. Evidence has been positive of the benefits of RUCs for participation in the areas that they operate. However, the Review has also heard that place-based need is not restricted to regional areas. Students in outer metropolitan and peri-urban areas can face similar challenges to accessing physical higher education infrastructure, compounded by long or costly commutes. Bringing place-based solutions informed by the RUC model to these areas could improve access for current and prospective students in these areas including First Nations students. It is recommended that government:</w:t>
      </w:r>
    </w:p>
    <w:p w14:paraId="7E6F2B71" w14:textId="6440868B" w:rsidR="00D94B38" w:rsidRPr="001E7AA4" w:rsidRDefault="00D94B38" w:rsidP="00D94B38">
      <w:pPr>
        <w:pStyle w:val="ListParagraph"/>
        <w:spacing w:line="276" w:lineRule="auto"/>
        <w:rPr>
          <w:b/>
        </w:rPr>
      </w:pPr>
      <w:r w:rsidRPr="001E7AA4">
        <w:rPr>
          <w:b/>
        </w:rPr>
        <w:t>Extend visible, local access to tertiary education by creating further Regional University Centres (RUCs</w:t>
      </w:r>
      <w:r w:rsidR="00AA28C9" w:rsidRPr="001E7AA4">
        <w:rPr>
          <w:b/>
        </w:rPr>
        <w:t>)</w:t>
      </w:r>
      <w:r w:rsidRPr="001E7AA4">
        <w:rPr>
          <w:b/>
        </w:rPr>
        <w:t xml:space="preserve"> and establish a similar concept for suburban/metropolitan locations. </w:t>
      </w:r>
    </w:p>
    <w:p w14:paraId="09E2929A" w14:textId="41896810" w:rsidR="00D94B38" w:rsidRPr="001E7AA4" w:rsidRDefault="00D94B38" w:rsidP="00D94B38">
      <w:pPr>
        <w:pStyle w:val="ListParagraph"/>
        <w:spacing w:line="276" w:lineRule="auto"/>
        <w:rPr>
          <w:rStyle w:val="normaltextrun"/>
          <w:rFonts w:ascii="Calibri" w:hAnsi="Calibri" w:cs="Calibri"/>
          <w:i/>
        </w:rPr>
      </w:pPr>
      <w:r w:rsidRPr="001E7AA4">
        <w:rPr>
          <w:rStyle w:val="normaltextrun"/>
          <w:rFonts w:ascii="Calibri" w:hAnsi="Calibri" w:cs="Calibri"/>
          <w:i/>
        </w:rPr>
        <w:t xml:space="preserve">RUCs have been found to be effective at improving student participation, retention and completion rates in regional and remote areas and should be expanded. </w:t>
      </w:r>
    </w:p>
    <w:p w14:paraId="541EDDDC" w14:textId="77777777" w:rsidR="00D94B38" w:rsidRPr="001E7AA4" w:rsidRDefault="00D94B38" w:rsidP="00D94B38">
      <w:pPr>
        <w:pStyle w:val="ListParagraph"/>
        <w:spacing w:after="0" w:line="240" w:lineRule="auto"/>
        <w:contextualSpacing w:val="0"/>
        <w:rPr>
          <w:rStyle w:val="normaltextrun"/>
          <w:rFonts w:ascii="Calibri" w:hAnsi="Calibri" w:cs="Calibri"/>
          <w:i/>
        </w:rPr>
      </w:pPr>
    </w:p>
    <w:p w14:paraId="3F321870" w14:textId="5E6087A9" w:rsidR="00D94B38" w:rsidRPr="001E7AA4" w:rsidRDefault="00D94B38" w:rsidP="00D94B38">
      <w:pPr>
        <w:pStyle w:val="ListParagraph"/>
        <w:spacing w:line="240" w:lineRule="auto"/>
        <w:contextualSpacing w:val="0"/>
        <w:rPr>
          <w:rFonts w:ascii="Calibri" w:hAnsi="Calibri" w:cs="Calibri"/>
          <w:i/>
        </w:rPr>
      </w:pPr>
      <w:r w:rsidRPr="001E7AA4">
        <w:rPr>
          <w:rStyle w:val="normaltextrun"/>
          <w:rFonts w:ascii="Calibri" w:hAnsi="Calibri" w:cs="Calibri"/>
          <w:i/>
        </w:rPr>
        <w:t xml:space="preserve">The Review believes similar place-based and community-led solutions – </w:t>
      </w:r>
      <w:r w:rsidRPr="001E7AA4">
        <w:rPr>
          <w:rStyle w:val="eop"/>
          <w:rFonts w:ascii="Calibri" w:hAnsi="Calibri" w:cs="Calibri"/>
          <w:i/>
        </w:rPr>
        <w:t>New Tertiary Study Hubs</w:t>
      </w:r>
      <w:r w:rsidRPr="001E7AA4">
        <w:rPr>
          <w:rStyle w:val="normaltextrun"/>
          <w:rFonts w:ascii="Calibri" w:hAnsi="Calibri" w:cs="Calibri"/>
          <w:i/>
        </w:rPr>
        <w:t xml:space="preserve"> – could improve participation, retention and completion </w:t>
      </w:r>
      <w:r w:rsidRPr="001E7AA4">
        <w:rPr>
          <w:rStyle w:val="eop"/>
          <w:rFonts w:ascii="Calibri" w:hAnsi="Calibri" w:cs="Calibri"/>
          <w:i/>
        </w:rPr>
        <w:t xml:space="preserve">for students in outer metropolitan and peri-urban areas, especially those from low SES backgrounds. These Hubs should be based on the specific needs of each local </w:t>
      </w:r>
      <w:r w:rsidRPr="001E7AA4" w:rsidDel="00CA384E">
        <w:rPr>
          <w:rStyle w:val="eop"/>
          <w:rFonts w:ascii="Calibri" w:hAnsi="Calibri" w:cs="Calibri"/>
          <w:i/>
        </w:rPr>
        <w:t>communit</w:t>
      </w:r>
      <w:r w:rsidRPr="001E7AA4">
        <w:rPr>
          <w:rStyle w:val="eop"/>
          <w:rFonts w:ascii="Calibri" w:hAnsi="Calibri" w:cs="Calibri"/>
          <w:i/>
        </w:rPr>
        <w:t>ies and have tailored wraparound support to help students to succeed.</w:t>
      </w:r>
    </w:p>
    <w:p w14:paraId="624293CE" w14:textId="77777777" w:rsidR="00D94B38" w:rsidRPr="001E7AA4" w:rsidRDefault="00D94B38" w:rsidP="007D42CC">
      <w:pPr>
        <w:pStyle w:val="Heading5"/>
      </w:pPr>
      <w:r w:rsidRPr="001E7AA4">
        <w:t>Preliminary improvements to the JRG package</w:t>
      </w:r>
    </w:p>
    <w:p w14:paraId="2F2D3016" w14:textId="77777777" w:rsidR="00D94B38" w:rsidRPr="001E7AA4" w:rsidRDefault="00D94B38" w:rsidP="00D94B38">
      <w:pPr>
        <w:rPr>
          <w:rStyle w:val="normaltextrun"/>
          <w:rFonts w:ascii="Calibri" w:hAnsi="Calibri" w:cs="Calibri"/>
        </w:rPr>
      </w:pPr>
      <w:r w:rsidRPr="001E7AA4">
        <w:rPr>
          <w:rFonts w:ascii="Calibri" w:hAnsi="Calibri" w:cs="Calibri"/>
        </w:rPr>
        <w:t xml:space="preserve">The Review heard concerns of the effect of the JRG package on the system and students. This Interim Report includes a number of significant issues for future change, including changes to funding, student contributions and HELP repayments. These require additional research and consultation prior to final recommendations being made. However, there is one area of the JRG package that is causing undue harm to students and can be immediately addressed ahead of these ideas being considered. </w:t>
      </w:r>
      <w:r w:rsidRPr="001E7AA4">
        <w:rPr>
          <w:rStyle w:val="normaltextrun"/>
          <w:rFonts w:ascii="Calibri" w:hAnsi="Calibri" w:cs="Calibri"/>
        </w:rPr>
        <w:t>It is recommended that government:</w:t>
      </w:r>
    </w:p>
    <w:p w14:paraId="739A8532" w14:textId="77777777" w:rsidR="00D94B38" w:rsidRPr="001E7AA4" w:rsidRDefault="00D94B38" w:rsidP="00D94B38">
      <w:pPr>
        <w:pStyle w:val="ListParagraph"/>
        <w:spacing w:after="160" w:line="259" w:lineRule="auto"/>
        <w:rPr>
          <w:rStyle w:val="eop"/>
          <w:rFonts w:ascii="Calibri" w:hAnsi="Calibri" w:cs="Calibri"/>
          <w:b/>
        </w:rPr>
      </w:pPr>
      <w:r w:rsidRPr="001E7AA4">
        <w:rPr>
          <w:b/>
        </w:rPr>
        <w:t>Cease the 50</w:t>
      </w:r>
      <w:r w:rsidRPr="001E7AA4" w:rsidDel="0002240E">
        <w:rPr>
          <w:b/>
        </w:rPr>
        <w:t>%</w:t>
      </w:r>
      <w:r w:rsidRPr="001E7AA4">
        <w:rPr>
          <w:b/>
        </w:rPr>
        <w:t xml:space="preserve"> pass rule, given its poor equity impacts, and require increased reporting on student progress.</w:t>
      </w:r>
    </w:p>
    <w:p w14:paraId="09F4BAC4" w14:textId="59EB0F76" w:rsidR="00D94B38" w:rsidRPr="001E7AA4" w:rsidRDefault="00D94B38" w:rsidP="00D94B38">
      <w:pPr>
        <w:pStyle w:val="ListParagraph"/>
        <w:spacing w:line="240" w:lineRule="auto"/>
        <w:contextualSpacing w:val="0"/>
        <w:rPr>
          <w:rStyle w:val="normaltextrun"/>
          <w:rFonts w:ascii="Calibri" w:hAnsi="Calibri" w:cs="Calibri"/>
          <w:i/>
        </w:rPr>
      </w:pPr>
      <w:r w:rsidRPr="001E7AA4">
        <w:rPr>
          <w:rStyle w:val="normaltextrun"/>
          <w:rFonts w:ascii="Calibri" w:hAnsi="Calibri" w:cs="Calibri"/>
          <w:i/>
        </w:rPr>
        <w:t xml:space="preserve">Introduced as part of the JRG package, the 50% pass rule disproportionately disadvantages students from equity backgrounds. Enhanced reporting on student progress will increase the focus on improving the success rates of at-risk students. While the Review believes other aspects of the JRG package need reform, this change should proceed at the first possible opportunity. </w:t>
      </w:r>
    </w:p>
    <w:p w14:paraId="669D62B3" w14:textId="6B7D633E" w:rsidR="00632104" w:rsidRPr="00032B2A" w:rsidRDefault="00632104" w:rsidP="007D42CC">
      <w:pPr>
        <w:pStyle w:val="Heading5"/>
      </w:pPr>
      <w:r w:rsidRPr="00032B2A">
        <w:lastRenderedPageBreak/>
        <w:t xml:space="preserve">Equity and First </w:t>
      </w:r>
      <w:r w:rsidR="00A2097F" w:rsidRPr="00032B2A">
        <w:t>N</w:t>
      </w:r>
      <w:r w:rsidRPr="00032B2A">
        <w:t>ations people</w:t>
      </w:r>
    </w:p>
    <w:p w14:paraId="657D4749" w14:textId="6DBBDC15" w:rsidR="0064464D" w:rsidRPr="001E7AA4" w:rsidRDefault="0064464D" w:rsidP="004A4A5F">
      <w:pPr>
        <w:rPr>
          <w:rStyle w:val="normaltextrun"/>
          <w:rFonts w:ascii="Calibri" w:eastAsiaTheme="majorEastAsia" w:hAnsi="Calibri" w:cs="Calibri"/>
        </w:rPr>
      </w:pPr>
      <w:r w:rsidRPr="001E7AA4">
        <w:rPr>
          <w:rStyle w:val="normaltextrun"/>
          <w:rFonts w:ascii="Calibri" w:hAnsi="Calibri" w:cs="Calibri"/>
        </w:rPr>
        <w:t xml:space="preserve">Australia </w:t>
      </w:r>
      <w:r w:rsidRPr="001E7AA4">
        <w:rPr>
          <w:rStyle w:val="normaltextrun"/>
          <w:rFonts w:ascii="Calibri" w:eastAsiaTheme="majorEastAsia" w:hAnsi="Calibri" w:cs="Calibri"/>
        </w:rPr>
        <w:t>is not on track to achieve the Closing the Gap target that by 2031, 70</w:t>
      </w:r>
      <w:r w:rsidR="002C62DE" w:rsidRPr="001E7AA4" w:rsidDel="0002240E">
        <w:rPr>
          <w:rStyle w:val="normaltextrun"/>
          <w:rFonts w:ascii="Calibri" w:eastAsiaTheme="majorEastAsia" w:hAnsi="Calibri" w:cs="Calibri"/>
        </w:rPr>
        <w:t>%</w:t>
      </w:r>
      <w:r w:rsidR="0002240E" w:rsidRPr="001E7AA4">
        <w:rPr>
          <w:rStyle w:val="normaltextrun"/>
          <w:rFonts w:ascii="Calibri" w:eastAsiaTheme="majorEastAsia" w:hAnsi="Calibri" w:cs="Calibri"/>
        </w:rPr>
        <w:t xml:space="preserve"> </w:t>
      </w:r>
      <w:r w:rsidRPr="001E7AA4">
        <w:rPr>
          <w:rStyle w:val="normaltextrun"/>
          <w:rFonts w:ascii="Calibri" w:eastAsiaTheme="majorEastAsia" w:hAnsi="Calibri" w:cs="Calibri"/>
        </w:rPr>
        <w:t>of First Nations people have a tertiary qualification.</w:t>
      </w:r>
      <w:r w:rsidR="00A310A1" w:rsidRPr="001E7AA4">
        <w:rPr>
          <w:rStyle w:val="FootnoteReference"/>
          <w:rFonts w:ascii="Calibri" w:eastAsiaTheme="majorEastAsia" w:hAnsi="Calibri" w:cs="Calibri"/>
        </w:rPr>
        <w:footnoteReference w:id="23"/>
      </w:r>
      <w:r w:rsidRPr="001E7AA4">
        <w:rPr>
          <w:rStyle w:val="normaltextrun"/>
          <w:rFonts w:ascii="Calibri" w:eastAsiaTheme="majorEastAsia" w:hAnsi="Calibri" w:cs="Calibri"/>
        </w:rPr>
        <w:t xml:space="preserve"> At the moment, 47</w:t>
      </w:r>
      <w:r w:rsidR="002C62DE" w:rsidRPr="001E7AA4" w:rsidDel="0002240E">
        <w:rPr>
          <w:rStyle w:val="normaltextrun"/>
          <w:rFonts w:ascii="Calibri" w:eastAsiaTheme="majorEastAsia" w:hAnsi="Calibri" w:cs="Calibri"/>
        </w:rPr>
        <w:t>%</w:t>
      </w:r>
      <w:r w:rsidR="0002240E" w:rsidRPr="001E7AA4">
        <w:rPr>
          <w:rStyle w:val="normaltextrun"/>
          <w:rFonts w:ascii="Calibri" w:eastAsiaTheme="majorEastAsia" w:hAnsi="Calibri" w:cs="Calibri"/>
        </w:rPr>
        <w:t xml:space="preserve"> </w:t>
      </w:r>
      <w:r w:rsidRPr="001E7AA4">
        <w:rPr>
          <w:rStyle w:val="normaltextrun"/>
          <w:rFonts w:ascii="Calibri" w:eastAsiaTheme="majorEastAsia" w:hAnsi="Calibri" w:cs="Calibri"/>
        </w:rPr>
        <w:t xml:space="preserve">of First Nations people </w:t>
      </w:r>
      <w:r w:rsidR="009414DD" w:rsidRPr="001E7AA4">
        <w:rPr>
          <w:rStyle w:val="normaltextrun"/>
          <w:rFonts w:ascii="Calibri" w:eastAsiaTheme="majorEastAsia" w:hAnsi="Calibri" w:cs="Calibri"/>
        </w:rPr>
        <w:t>aged 25-34 years</w:t>
      </w:r>
      <w:r w:rsidRPr="001E7AA4">
        <w:rPr>
          <w:rStyle w:val="normaltextrun"/>
          <w:rFonts w:ascii="Calibri" w:eastAsiaTheme="majorEastAsia" w:hAnsi="Calibri" w:cs="Calibri"/>
        </w:rPr>
        <w:t xml:space="preserve"> have completed a tertiary qualification.</w:t>
      </w:r>
      <w:r w:rsidR="00A310A1" w:rsidRPr="001E7AA4">
        <w:rPr>
          <w:rStyle w:val="FootnoteReference"/>
          <w:rFonts w:ascii="Calibri" w:eastAsiaTheme="majorEastAsia" w:hAnsi="Calibri" w:cs="Calibri"/>
        </w:rPr>
        <w:footnoteReference w:id="24"/>
      </w:r>
      <w:r w:rsidRPr="001E7AA4">
        <w:rPr>
          <w:rStyle w:val="normaltextrun"/>
          <w:rFonts w:ascii="Calibri" w:eastAsiaTheme="majorEastAsia" w:hAnsi="Calibri" w:cs="Calibri"/>
        </w:rPr>
        <w:t xml:space="preserve"> Addressing these targets is crucial. It is recommended that </w:t>
      </w:r>
      <w:r w:rsidR="00632104" w:rsidRPr="001E7AA4">
        <w:rPr>
          <w:rStyle w:val="normaltextrun"/>
          <w:rFonts w:ascii="Calibri" w:eastAsiaTheme="majorEastAsia" w:hAnsi="Calibri" w:cs="Calibri"/>
        </w:rPr>
        <w:t>g</w:t>
      </w:r>
      <w:r w:rsidRPr="001E7AA4">
        <w:rPr>
          <w:rStyle w:val="normaltextrun"/>
          <w:rFonts w:ascii="Calibri" w:eastAsiaTheme="majorEastAsia" w:hAnsi="Calibri" w:cs="Calibri"/>
        </w:rPr>
        <w:t>overnment:</w:t>
      </w:r>
    </w:p>
    <w:p w14:paraId="5A980ADC" w14:textId="25CB10CF" w:rsidR="00532F9C" w:rsidRPr="001E7AA4" w:rsidRDefault="00047040" w:rsidP="00D90653">
      <w:pPr>
        <w:pStyle w:val="ListParagraph"/>
        <w:spacing w:after="160" w:line="276" w:lineRule="auto"/>
        <w:rPr>
          <w:rStyle w:val="eop"/>
          <w:rFonts w:ascii="Calibri" w:hAnsi="Calibri" w:cs="Calibri"/>
          <w:b/>
          <w:sz w:val="24"/>
          <w:szCs w:val="24"/>
          <w:lang w:eastAsia="en-AU"/>
        </w:rPr>
      </w:pPr>
      <w:r w:rsidRPr="001E7AA4">
        <w:rPr>
          <w:b/>
        </w:rPr>
        <w:t>Ensure that all First Nations students are eligible for a funded place at university, by extending demand driven funding to metropolitan First Nations students.</w:t>
      </w:r>
    </w:p>
    <w:p w14:paraId="65B9E0F5" w14:textId="34899EBE" w:rsidR="0064464D" w:rsidRPr="001E7AA4" w:rsidRDefault="0064464D" w:rsidP="000673CF">
      <w:pPr>
        <w:pStyle w:val="ListParagraph"/>
        <w:spacing w:line="276" w:lineRule="auto"/>
        <w:rPr>
          <w:rStyle w:val="normaltextrun"/>
          <w:rFonts w:ascii="Calibri" w:hAnsi="Calibri" w:cs="Calibri"/>
          <w:i/>
        </w:rPr>
      </w:pPr>
      <w:r w:rsidRPr="001E7AA4">
        <w:rPr>
          <w:rStyle w:val="normaltextrun"/>
          <w:rFonts w:ascii="Calibri" w:hAnsi="Calibri" w:cs="Calibri"/>
          <w:i/>
        </w:rPr>
        <w:t>Consistent with the principle behind the introduction of guaranteed funding for First Nations students from regional and remote areas in 2021, this funding arrangement should apply to all First Nations people undertaking higher education</w:t>
      </w:r>
      <w:r w:rsidR="008D22E1" w:rsidRPr="001E7AA4">
        <w:rPr>
          <w:rStyle w:val="normaltextrun"/>
          <w:rFonts w:ascii="Calibri" w:hAnsi="Calibri" w:cs="Calibri"/>
          <w:i/>
        </w:rPr>
        <w:t xml:space="preserve">, including </w:t>
      </w:r>
      <w:r w:rsidR="00E441AE" w:rsidRPr="001E7AA4">
        <w:rPr>
          <w:rStyle w:val="normaltextrun"/>
          <w:rFonts w:ascii="Calibri" w:hAnsi="Calibri" w:cs="Calibri"/>
          <w:i/>
        </w:rPr>
        <w:t xml:space="preserve">in </w:t>
      </w:r>
      <w:r w:rsidR="008D22E1" w:rsidRPr="001E7AA4">
        <w:rPr>
          <w:rStyle w:val="normaltextrun"/>
          <w:rFonts w:ascii="Calibri" w:hAnsi="Calibri" w:cs="Calibri"/>
          <w:i/>
        </w:rPr>
        <w:t>metropolitan areas</w:t>
      </w:r>
      <w:r w:rsidRPr="001E7AA4">
        <w:rPr>
          <w:rStyle w:val="normaltextrun"/>
          <w:rFonts w:ascii="Calibri" w:hAnsi="Calibri" w:cs="Calibri"/>
          <w:i/>
        </w:rPr>
        <w:t>. </w:t>
      </w:r>
      <w:r w:rsidRPr="001E7AA4">
        <w:rPr>
          <w:rStyle w:val="normaltextrun"/>
        </w:rPr>
        <w:t> </w:t>
      </w:r>
    </w:p>
    <w:p w14:paraId="73C3A0AA" w14:textId="77777777" w:rsidR="00254BE9" w:rsidRPr="00032B2A" w:rsidRDefault="00254BE9" w:rsidP="007D42CC">
      <w:pPr>
        <w:pStyle w:val="Heading5"/>
      </w:pPr>
      <w:r w:rsidRPr="00032B2A">
        <w:t>Providing funding certainty in advance of the Final Report</w:t>
      </w:r>
    </w:p>
    <w:p w14:paraId="40AD1AD2" w14:textId="6393CFAB" w:rsidR="00523E19" w:rsidRPr="001E7AA4" w:rsidRDefault="00254BE9" w:rsidP="00523E19">
      <w:pPr>
        <w:pStyle w:val="CABNETParagraph"/>
        <w:spacing w:after="240"/>
        <w:rPr>
          <w:rStyle w:val="normaltextrun"/>
          <w:rFonts w:ascii="Calibri" w:hAnsi="Calibri" w:cs="Calibri"/>
        </w:rPr>
      </w:pPr>
      <w:r w:rsidRPr="001E7AA4">
        <w:rPr>
          <w:rStyle w:val="normaltextrun"/>
          <w:rFonts w:ascii="Calibri" w:hAnsi="Calibri" w:cs="Calibri"/>
        </w:rPr>
        <w:t xml:space="preserve">The Review considers that the end of the </w:t>
      </w:r>
      <w:r w:rsidR="00F43EE7" w:rsidRPr="001E7AA4">
        <w:rPr>
          <w:rStyle w:val="normaltextrun"/>
          <w:rFonts w:ascii="Calibri" w:hAnsi="Calibri" w:cs="Calibri"/>
        </w:rPr>
        <w:t>HECG</w:t>
      </w:r>
      <w:r w:rsidRPr="001E7AA4">
        <w:rPr>
          <w:rStyle w:val="normaltextrun"/>
          <w:rFonts w:ascii="Calibri" w:hAnsi="Calibri" w:cs="Calibri"/>
        </w:rPr>
        <w:t xml:space="preserve"> in </w:t>
      </w:r>
      <w:r w:rsidR="00F43EE7" w:rsidRPr="001E7AA4">
        <w:rPr>
          <w:rStyle w:val="normaltextrun"/>
          <w:rFonts w:ascii="Calibri" w:hAnsi="Calibri" w:cs="Calibri"/>
        </w:rPr>
        <w:t xml:space="preserve">December 2023 in </w:t>
      </w:r>
      <w:r w:rsidRPr="001E7AA4">
        <w:rPr>
          <w:rStyle w:val="normaltextrun"/>
          <w:rFonts w:ascii="Calibri" w:hAnsi="Calibri" w:cs="Calibri"/>
        </w:rPr>
        <w:t>the absence of a new funding approach may cause unnecessary disruption to staff, students and the sector. New funding arrangements will be proposed in the Final Report</w:t>
      </w:r>
      <w:r w:rsidR="004E00F4" w:rsidRPr="001E7AA4">
        <w:rPr>
          <w:rStyle w:val="normaltextrun"/>
          <w:rFonts w:ascii="Calibri" w:hAnsi="Calibri" w:cs="Calibri"/>
        </w:rPr>
        <w:t>. I</w:t>
      </w:r>
      <w:r w:rsidRPr="001E7AA4">
        <w:rPr>
          <w:rStyle w:val="normaltextrun"/>
          <w:rFonts w:ascii="Calibri" w:hAnsi="Calibri" w:cs="Calibri"/>
        </w:rPr>
        <w:t xml:space="preserve">nterim funding arrangements are needed in advance of a possible new funding system. </w:t>
      </w:r>
      <w:r w:rsidR="004E00F4" w:rsidRPr="001E7AA4">
        <w:rPr>
          <w:rStyle w:val="normaltextrun"/>
          <w:rFonts w:ascii="Calibri" w:hAnsi="Calibri" w:cs="Calibri"/>
        </w:rPr>
        <w:t>Given</w:t>
      </w:r>
      <w:r w:rsidR="00523E19" w:rsidRPr="001E7AA4">
        <w:rPr>
          <w:rStyle w:val="normaltextrun"/>
          <w:rFonts w:ascii="Calibri" w:hAnsi="Calibri" w:cs="Calibri"/>
        </w:rPr>
        <w:t xml:space="preserve"> the imperatives identified by the Review with regard to growth for skills through greater equity, universities and providers should be expected to direct any funding resulting from this guarantee towards supporting and enhancing equity outcomes</w:t>
      </w:r>
      <w:r w:rsidR="002223C8" w:rsidRPr="001E7AA4">
        <w:rPr>
          <w:rStyle w:val="normaltextrun"/>
          <w:rFonts w:ascii="Calibri" w:hAnsi="Calibri" w:cs="Calibri"/>
        </w:rPr>
        <w:t>.</w:t>
      </w:r>
      <w:r w:rsidR="00523E19" w:rsidRPr="001E7AA4" w:rsidDel="00523E19">
        <w:rPr>
          <w:rStyle w:val="normaltextrun"/>
          <w:rFonts w:ascii="Calibri" w:hAnsi="Calibri" w:cs="Calibri"/>
        </w:rPr>
        <w:t xml:space="preserve"> </w:t>
      </w:r>
    </w:p>
    <w:p w14:paraId="60E2B837" w14:textId="4DD8CE09" w:rsidR="00254BE9" w:rsidRPr="00032B2A" w:rsidRDefault="00254BE9" w:rsidP="00032B2A">
      <w:pPr>
        <w:pStyle w:val="ListParagraph"/>
        <w:spacing w:line="240" w:lineRule="auto"/>
        <w:rPr>
          <w:b/>
          <w:bCs/>
        </w:rPr>
      </w:pPr>
      <w:r w:rsidRPr="00032B2A">
        <w:rPr>
          <w:b/>
          <w:bCs/>
        </w:rPr>
        <w:t xml:space="preserve">Provide funding certainty, through the extension of the Higher Education Continuity Guarantee into 2024 and 2025, to minimise the risk of unnecessary structural adjustment to the sector. Interim funding arrangements </w:t>
      </w:r>
      <w:r w:rsidR="23A39D93" w:rsidRPr="00032B2A">
        <w:rPr>
          <w:b/>
          <w:bCs/>
        </w:rPr>
        <w:t xml:space="preserve">must </w:t>
      </w:r>
      <w:r w:rsidRPr="00032B2A">
        <w:rPr>
          <w:b/>
          <w:bCs/>
        </w:rPr>
        <w:t>prioritise the delivery of support for equity students to accelerate reform towards a high equity, high participation system</w:t>
      </w:r>
      <w:r w:rsidR="00B26410" w:rsidRPr="00032B2A">
        <w:rPr>
          <w:b/>
          <w:bCs/>
        </w:rPr>
        <w:t>.</w:t>
      </w:r>
    </w:p>
    <w:p w14:paraId="483FB760" w14:textId="71C485C3" w:rsidR="00842FED" w:rsidRPr="001E7AA4" w:rsidRDefault="00842FED" w:rsidP="00842FED">
      <w:pPr>
        <w:pStyle w:val="ListParagraph"/>
        <w:spacing w:after="0" w:line="240" w:lineRule="auto"/>
        <w:rPr>
          <w:rStyle w:val="normaltextrun"/>
          <w:rFonts w:ascii="Calibri" w:hAnsi="Calibri" w:cs="Calibri"/>
          <w:i/>
          <w:iCs/>
        </w:rPr>
      </w:pPr>
      <w:r w:rsidRPr="001E7AA4">
        <w:rPr>
          <w:rStyle w:val="normaltextrun"/>
          <w:rFonts w:ascii="Calibri" w:hAnsi="Calibri" w:cs="Calibri"/>
          <w:i/>
          <w:kern w:val="2"/>
          <w14:ligatures w14:val="standardContextual"/>
        </w:rPr>
        <w:t xml:space="preserve">Universities and eligible higher education providers’ Commonwealth Grant Scheme (CGS) funding is currently guaranteed to December 2023 through the HECG. The Final Report will propose new funding arrangements for consideration by </w:t>
      </w:r>
      <w:r w:rsidR="00AF481E" w:rsidRPr="001E7AA4">
        <w:rPr>
          <w:rStyle w:val="normaltextrun"/>
          <w:rFonts w:ascii="Calibri" w:hAnsi="Calibri" w:cs="Calibri"/>
          <w:i/>
          <w:kern w:val="2"/>
          <w14:ligatures w14:val="standardContextual"/>
        </w:rPr>
        <w:t>G</w:t>
      </w:r>
      <w:r w:rsidRPr="001E7AA4">
        <w:rPr>
          <w:rStyle w:val="normaltextrun"/>
          <w:rFonts w:ascii="Calibri" w:hAnsi="Calibri" w:cs="Calibri"/>
          <w:i/>
          <w:kern w:val="2"/>
          <w14:ligatures w14:val="standardContextual"/>
        </w:rPr>
        <w:t xml:space="preserve">overnment. Extending the guarantee into 2024 will avoid unnecessary disruption to staff, students and the sector. </w:t>
      </w:r>
    </w:p>
    <w:p w14:paraId="0F2AF022" w14:textId="32E3C963" w:rsidR="00842FED" w:rsidRPr="00032B2A" w:rsidRDefault="00842FED" w:rsidP="00032B2A">
      <w:pPr>
        <w:pStyle w:val="CABNETParagraph"/>
        <w:ind w:left="720"/>
        <w:rPr>
          <w:rStyle w:val="normaltextrun"/>
          <w:i/>
          <w:iCs/>
          <w14:ligatures w14:val="standardContextual"/>
        </w:rPr>
      </w:pPr>
      <w:r w:rsidRPr="001E7AA4">
        <w:rPr>
          <w:rStyle w:val="normaltextrun"/>
          <w:rFonts w:ascii="Calibri" w:hAnsi="Calibri" w:cs="Calibri"/>
          <w:i/>
          <w:iCs/>
        </w:rPr>
        <w:t>T</w:t>
      </w:r>
      <w:r w:rsidRPr="001E7AA4">
        <w:rPr>
          <w:rStyle w:val="normaltextrun"/>
          <w:rFonts w:ascii="Calibri" w:hAnsi="Calibri" w:cs="Calibri"/>
          <w:i/>
          <w:iCs/>
          <w:kern w:val="2"/>
          <w14:ligatures w14:val="standardContextual"/>
        </w:rPr>
        <w:t xml:space="preserve">he Review </w:t>
      </w:r>
      <w:r w:rsidRPr="001E7AA4">
        <w:rPr>
          <w:rStyle w:val="normaltextrun"/>
          <w:rFonts w:ascii="Calibri" w:hAnsi="Calibri" w:cs="Calibri"/>
          <w:i/>
          <w:iCs/>
        </w:rPr>
        <w:t xml:space="preserve">recommends </w:t>
      </w:r>
      <w:r w:rsidRPr="001E7AA4">
        <w:rPr>
          <w:rStyle w:val="normaltextrun"/>
          <w:rFonts w:ascii="Calibri" w:hAnsi="Calibri" w:cs="Calibri"/>
          <w:i/>
          <w:iCs/>
          <w:kern w:val="2"/>
          <w14:ligatures w14:val="standardContextual"/>
        </w:rPr>
        <w:t xml:space="preserve">that universities and providers should </w:t>
      </w:r>
      <w:r w:rsidRPr="001E7AA4" w:rsidDel="009E5F3D">
        <w:rPr>
          <w:rStyle w:val="normaltextrun"/>
          <w:rFonts w:ascii="Calibri" w:hAnsi="Calibri" w:cs="Calibri"/>
          <w:i/>
          <w:iCs/>
          <w:kern w:val="2"/>
          <w14:ligatures w14:val="standardContextual"/>
        </w:rPr>
        <w:t xml:space="preserve">be expected to direct any </w:t>
      </w:r>
      <w:r w:rsidRPr="001E7AA4">
        <w:rPr>
          <w:rStyle w:val="normaltextrun"/>
          <w:rFonts w:ascii="Calibri" w:hAnsi="Calibri" w:cs="Calibri"/>
          <w:i/>
          <w:iCs/>
          <w:kern w:val="2"/>
          <w14:ligatures w14:val="standardContextual"/>
        </w:rPr>
        <w:t xml:space="preserve">funding </w:t>
      </w:r>
      <w:r w:rsidRPr="001E7AA4" w:rsidDel="009E5F3D">
        <w:rPr>
          <w:rStyle w:val="normaltextrun"/>
          <w:rFonts w:ascii="Calibri" w:hAnsi="Calibri" w:cs="Calibri"/>
          <w:i/>
          <w:iCs/>
          <w:kern w:val="2"/>
          <w14:ligatures w14:val="standardContextual"/>
        </w:rPr>
        <w:t xml:space="preserve">resulting </w:t>
      </w:r>
      <w:r w:rsidRPr="001E7AA4">
        <w:rPr>
          <w:rStyle w:val="normaltextrun"/>
          <w:rFonts w:ascii="Calibri" w:hAnsi="Calibri" w:cs="Calibri"/>
          <w:i/>
          <w:iCs/>
          <w:kern w:val="2"/>
          <w14:ligatures w14:val="standardContextual"/>
        </w:rPr>
        <w:t>from this guarantee to</w:t>
      </w:r>
      <w:r w:rsidRPr="001E7AA4">
        <w:rPr>
          <w:rStyle w:val="normaltextrun"/>
          <w:rFonts w:ascii="Calibri" w:hAnsi="Calibri" w:cs="Calibri"/>
          <w:i/>
          <w:iCs/>
        </w:rPr>
        <w:t xml:space="preserve"> </w:t>
      </w:r>
      <w:r w:rsidRPr="001E7AA4">
        <w:rPr>
          <w:rStyle w:val="normaltextrun"/>
          <w:rFonts w:ascii="Calibri" w:hAnsi="Calibri" w:cs="Calibri"/>
          <w:i/>
        </w:rPr>
        <w:t xml:space="preserve">support greater </w:t>
      </w:r>
      <w:r w:rsidRPr="001E7AA4">
        <w:rPr>
          <w:rStyle w:val="normaltextrun"/>
          <w:rFonts w:ascii="Calibri" w:hAnsi="Calibri" w:cs="Calibri"/>
          <w:i/>
          <w:kern w:val="2"/>
          <w14:ligatures w14:val="standardContextual"/>
        </w:rPr>
        <w:t>equity outcomes</w:t>
      </w:r>
      <w:r w:rsidR="00443409" w:rsidRPr="001E7AA4">
        <w:rPr>
          <w:rStyle w:val="normaltextrun"/>
          <w:rFonts w:ascii="Calibri" w:hAnsi="Calibri" w:cs="Calibri"/>
          <w:i/>
          <w:iCs/>
          <w:kern w:val="2"/>
          <w14:ligatures w14:val="standardContextual"/>
        </w:rPr>
        <w:t>.</w:t>
      </w:r>
      <w:r w:rsidRPr="001E7AA4">
        <w:rPr>
          <w:rStyle w:val="normaltextrun"/>
          <w:rFonts w:ascii="Calibri" w:hAnsi="Calibri" w:cs="Calibri"/>
          <w:i/>
        </w:rPr>
        <w:t xml:space="preserve"> </w:t>
      </w:r>
      <w:r w:rsidR="00443409" w:rsidRPr="001E7AA4">
        <w:rPr>
          <w:rStyle w:val="normaltextrun"/>
          <w:rFonts w:ascii="Calibri" w:hAnsi="Calibri" w:cs="Calibri"/>
          <w:i/>
          <w:iCs/>
        </w:rPr>
        <w:t xml:space="preserve">This should be directed towards a range of </w:t>
      </w:r>
      <w:r w:rsidR="00443409" w:rsidRPr="001E7AA4">
        <w:rPr>
          <w:rFonts w:asciiTheme="minorHAnsi" w:hAnsiTheme="minorHAnsi" w:cstheme="minorBidi"/>
        </w:rPr>
        <w:t>assistance</w:t>
      </w:r>
      <w:r w:rsidR="00443409" w:rsidRPr="001E7AA4">
        <w:rPr>
          <w:rStyle w:val="normaltextrun"/>
          <w:rFonts w:ascii="Calibri" w:hAnsi="Calibri" w:cs="Calibri"/>
          <w:i/>
          <w:iCs/>
        </w:rPr>
        <w:t xml:space="preserve">, </w:t>
      </w:r>
      <w:r w:rsidRPr="001E7AA4">
        <w:rPr>
          <w:rStyle w:val="normaltextrun"/>
          <w:rFonts w:ascii="Calibri" w:hAnsi="Calibri" w:cs="Calibri"/>
          <w:i/>
        </w:rPr>
        <w:t>such as increased support for students in enabling courses, improved academic advice and learning support, wraparound</w:t>
      </w:r>
      <w:r w:rsidR="00421097" w:rsidRPr="001E7AA4">
        <w:rPr>
          <w:rStyle w:val="normaltextrun"/>
          <w:rFonts w:ascii="Calibri" w:hAnsi="Calibri" w:cs="Calibri"/>
          <w:i/>
        </w:rPr>
        <w:t xml:space="preserve"> support and</w:t>
      </w:r>
      <w:r w:rsidRPr="001E7AA4">
        <w:rPr>
          <w:rStyle w:val="normaltextrun"/>
          <w:rFonts w:ascii="Calibri" w:hAnsi="Calibri" w:cs="Calibri"/>
          <w:i/>
        </w:rPr>
        <w:t xml:space="preserve"> services (such as mental health services), scholarships or other equity-related</w:t>
      </w:r>
      <w:r w:rsidRPr="001E7AA4">
        <w:rPr>
          <w:rStyle w:val="normaltextrun"/>
          <w:rFonts w:ascii="Calibri" w:hAnsi="Calibri" w:cs="Calibri"/>
          <w:i/>
          <w:iCs/>
        </w:rPr>
        <w:t xml:space="preserve"> services</w:t>
      </w:r>
      <w:r w:rsidRPr="001E7AA4">
        <w:rPr>
          <w:rStyle w:val="normaltextrun"/>
          <w:rFonts w:ascii="Calibri" w:hAnsi="Calibri" w:cs="Calibri"/>
        </w:rPr>
        <w:t>.</w:t>
      </w:r>
    </w:p>
    <w:p w14:paraId="20C15BE2" w14:textId="0700E008" w:rsidR="00632104" w:rsidRPr="00032B2A" w:rsidRDefault="00632104" w:rsidP="007D42CC">
      <w:pPr>
        <w:pStyle w:val="Heading5"/>
      </w:pPr>
      <w:r w:rsidRPr="00032B2A">
        <w:t>The safety and wellbeing of students and staff</w:t>
      </w:r>
    </w:p>
    <w:p w14:paraId="357EE8EE" w14:textId="467833AA" w:rsidR="002D7F91" w:rsidRDefault="00632104" w:rsidP="00310C13">
      <w:pPr>
        <w:rPr>
          <w:rStyle w:val="normaltextrun"/>
          <w:rFonts w:ascii="Calibri" w:hAnsi="Calibri" w:cs="Calibri"/>
        </w:rPr>
      </w:pPr>
      <w:r w:rsidRPr="001E7AA4">
        <w:rPr>
          <w:rStyle w:val="normaltextrun"/>
          <w:rFonts w:ascii="Calibri" w:hAnsi="Calibri" w:cs="Calibri"/>
        </w:rPr>
        <w:t>T</w:t>
      </w:r>
      <w:r w:rsidR="0064464D" w:rsidRPr="001E7AA4">
        <w:rPr>
          <w:rStyle w:val="normaltextrun"/>
          <w:rFonts w:ascii="Calibri" w:hAnsi="Calibri" w:cs="Calibri"/>
        </w:rPr>
        <w:t xml:space="preserve">he Review </w:t>
      </w:r>
      <w:r w:rsidRPr="001E7AA4">
        <w:rPr>
          <w:rStyle w:val="normaltextrun"/>
          <w:rFonts w:ascii="Calibri" w:hAnsi="Calibri" w:cs="Calibri"/>
        </w:rPr>
        <w:t xml:space="preserve">received submissions and testimony about </w:t>
      </w:r>
      <w:r w:rsidR="0064464D" w:rsidRPr="001E7AA4">
        <w:rPr>
          <w:rStyle w:val="normaltextrun"/>
          <w:rFonts w:ascii="Calibri" w:hAnsi="Calibri" w:cs="Calibri"/>
        </w:rPr>
        <w:t>the safety and wellbeing of students and staff</w:t>
      </w:r>
      <w:r w:rsidRPr="001E7AA4">
        <w:rPr>
          <w:rStyle w:val="normaltextrun"/>
          <w:rFonts w:ascii="Calibri" w:hAnsi="Calibri" w:cs="Calibri"/>
        </w:rPr>
        <w:t xml:space="preserve">. </w:t>
      </w:r>
      <w:r w:rsidR="00D57E0E" w:rsidRPr="001E7AA4">
        <w:rPr>
          <w:rStyle w:val="normaltextrun"/>
          <w:rFonts w:ascii="Calibri" w:hAnsi="Calibri" w:cs="Calibri"/>
        </w:rPr>
        <w:t>It</w:t>
      </w:r>
      <w:r w:rsidRPr="001E7AA4">
        <w:rPr>
          <w:rStyle w:val="normaltextrun"/>
          <w:rFonts w:ascii="Calibri" w:hAnsi="Calibri" w:cs="Calibri"/>
        </w:rPr>
        <w:t xml:space="preserve"> </w:t>
      </w:r>
      <w:r w:rsidR="005910E3" w:rsidRPr="001E7AA4">
        <w:rPr>
          <w:rStyle w:val="normaltextrun"/>
          <w:rFonts w:ascii="Calibri" w:hAnsi="Calibri" w:cs="Calibri"/>
        </w:rPr>
        <w:t xml:space="preserve">considers </w:t>
      </w:r>
      <w:r w:rsidRPr="001E7AA4">
        <w:rPr>
          <w:rStyle w:val="normaltextrun"/>
          <w:rFonts w:ascii="Calibri" w:hAnsi="Calibri" w:cs="Calibri"/>
        </w:rPr>
        <w:t>i</w:t>
      </w:r>
      <w:r w:rsidR="0064464D" w:rsidRPr="001E7AA4">
        <w:rPr>
          <w:rStyle w:val="normaltextrun"/>
          <w:rFonts w:ascii="Calibri" w:hAnsi="Calibri" w:cs="Calibri"/>
        </w:rPr>
        <w:t>ssues of underpayment and student safety in particular warrant immediate action from governments and institutions. Governing bodies have the power to act on these concerns immediately</w:t>
      </w:r>
      <w:r w:rsidRPr="001E7AA4">
        <w:rPr>
          <w:rStyle w:val="normaltextrun"/>
          <w:rFonts w:ascii="Calibri" w:hAnsi="Calibri" w:cs="Calibri"/>
        </w:rPr>
        <w:t>, and g</w:t>
      </w:r>
      <w:r w:rsidR="0064464D" w:rsidRPr="001E7AA4">
        <w:rPr>
          <w:rStyle w:val="normaltextrun"/>
          <w:rFonts w:ascii="Calibri" w:hAnsi="Calibri" w:cs="Calibri"/>
        </w:rPr>
        <w:t xml:space="preserve">overnments </w:t>
      </w:r>
      <w:r w:rsidRPr="001E7AA4">
        <w:rPr>
          <w:rStyle w:val="normaltextrun"/>
          <w:rFonts w:ascii="Calibri" w:hAnsi="Calibri" w:cs="Calibri"/>
        </w:rPr>
        <w:t xml:space="preserve">have the power to </w:t>
      </w:r>
      <w:r w:rsidR="0064464D" w:rsidRPr="001E7AA4">
        <w:rPr>
          <w:rStyle w:val="normaltextrun"/>
          <w:rFonts w:ascii="Calibri" w:hAnsi="Calibri" w:cs="Calibri"/>
        </w:rPr>
        <w:t>strengthen university governance arrangements</w:t>
      </w:r>
      <w:r w:rsidRPr="001E7AA4">
        <w:rPr>
          <w:rStyle w:val="normaltextrun"/>
          <w:rFonts w:ascii="Calibri" w:hAnsi="Calibri" w:cs="Calibri"/>
        </w:rPr>
        <w:t xml:space="preserve"> further</w:t>
      </w:r>
      <w:r w:rsidR="0064464D" w:rsidRPr="001E7AA4">
        <w:rPr>
          <w:rStyle w:val="normaltextrun"/>
          <w:rFonts w:ascii="Calibri" w:hAnsi="Calibri" w:cs="Calibri"/>
        </w:rPr>
        <w:t>. It is recommended that</w:t>
      </w:r>
      <w:r w:rsidR="00460436" w:rsidRPr="001E7AA4">
        <w:rPr>
          <w:rStyle w:val="normaltextrun"/>
          <w:rFonts w:ascii="Calibri" w:hAnsi="Calibri" w:cs="Calibri"/>
        </w:rPr>
        <w:t xml:space="preserve"> </w:t>
      </w:r>
      <w:r w:rsidR="00DD78AB" w:rsidRPr="001E7AA4">
        <w:rPr>
          <w:rStyle w:val="normaltextrun"/>
          <w:rFonts w:ascii="Calibri" w:hAnsi="Calibri" w:cs="Calibri"/>
        </w:rPr>
        <w:t>government</w:t>
      </w:r>
      <w:r w:rsidR="0064464D" w:rsidRPr="001E7AA4">
        <w:rPr>
          <w:rStyle w:val="normaltextrun"/>
          <w:rFonts w:ascii="Calibri" w:hAnsi="Calibri" w:cs="Calibri"/>
        </w:rPr>
        <w:t>:</w:t>
      </w:r>
    </w:p>
    <w:p w14:paraId="0C62CBFD" w14:textId="77777777" w:rsidR="002D7F91" w:rsidRDefault="002D7F91">
      <w:pPr>
        <w:spacing w:after="160"/>
        <w:rPr>
          <w:rStyle w:val="normaltextrun"/>
          <w:rFonts w:ascii="Calibri" w:hAnsi="Calibri" w:cs="Calibri"/>
        </w:rPr>
      </w:pPr>
      <w:r>
        <w:rPr>
          <w:rStyle w:val="normaltextrun"/>
          <w:rFonts w:ascii="Calibri" w:hAnsi="Calibri" w:cs="Calibri"/>
        </w:rPr>
        <w:br w:type="page"/>
      </w:r>
    </w:p>
    <w:p w14:paraId="250160D5" w14:textId="56F44749" w:rsidR="00A516C0" w:rsidRPr="001E7AA4" w:rsidRDefault="00A516C0" w:rsidP="00D90653">
      <w:pPr>
        <w:pStyle w:val="ListParagraph"/>
        <w:spacing w:after="160" w:line="240" w:lineRule="auto"/>
        <w:rPr>
          <w:b/>
          <w:bCs/>
          <w:kern w:val="2"/>
          <w14:ligatures w14:val="standardContextual"/>
        </w:rPr>
      </w:pPr>
      <w:r w:rsidRPr="001E7AA4">
        <w:rPr>
          <w:b/>
          <w:bCs/>
          <w:kern w:val="2"/>
          <w14:ligatures w14:val="standardContextual"/>
        </w:rPr>
        <w:lastRenderedPageBreak/>
        <w:t>Through National Cabinet,</w:t>
      </w:r>
      <w:r w:rsidRPr="001E7AA4">
        <w:rPr>
          <w:b/>
          <w:kern w:val="2"/>
          <w14:ligatures w14:val="standardContextual"/>
        </w:rPr>
        <w:t xml:space="preserve"> i</w:t>
      </w:r>
      <w:r w:rsidRPr="001E7AA4">
        <w:rPr>
          <w:b/>
          <w:bCs/>
          <w:kern w:val="2"/>
          <w14:ligatures w14:val="standardContextual"/>
        </w:rPr>
        <w:t xml:space="preserve">mmediately engage with </w:t>
      </w:r>
      <w:r w:rsidR="00044486" w:rsidRPr="001E7AA4">
        <w:rPr>
          <w:b/>
          <w:bCs/>
          <w:kern w:val="2"/>
          <w14:ligatures w14:val="standardContextual"/>
        </w:rPr>
        <w:t>s</w:t>
      </w:r>
      <w:r w:rsidRPr="001E7AA4">
        <w:rPr>
          <w:b/>
          <w:bCs/>
          <w:kern w:val="2"/>
          <w14:ligatures w14:val="standardContextual"/>
        </w:rPr>
        <w:t xml:space="preserve">tate and </w:t>
      </w:r>
      <w:r w:rsidR="00044486" w:rsidRPr="001E7AA4">
        <w:rPr>
          <w:b/>
          <w:bCs/>
          <w:kern w:val="2"/>
          <w14:ligatures w14:val="standardContextual"/>
        </w:rPr>
        <w:t>t</w:t>
      </w:r>
      <w:r w:rsidRPr="001E7AA4">
        <w:rPr>
          <w:b/>
          <w:bCs/>
          <w:kern w:val="2"/>
          <w14:ligatures w14:val="standardContextual"/>
        </w:rPr>
        <w:t>erritory governments and universities to improve university governance, particularly focusing on:  </w:t>
      </w:r>
    </w:p>
    <w:p w14:paraId="40EC9ABA" w14:textId="77777777" w:rsidR="00A516C0" w:rsidRPr="001E7AA4" w:rsidRDefault="00A516C0" w:rsidP="00A025B1">
      <w:pPr>
        <w:pStyle w:val="ListParagraph"/>
        <w:numPr>
          <w:ilvl w:val="0"/>
          <w:numId w:val="10"/>
        </w:numPr>
        <w:spacing w:after="160" w:line="240" w:lineRule="auto"/>
        <w:rPr>
          <w:b/>
          <w:bCs/>
          <w:kern w:val="2"/>
          <w14:ligatures w14:val="standardContextual"/>
        </w:rPr>
      </w:pPr>
      <w:r w:rsidRPr="001E7AA4">
        <w:rPr>
          <w:b/>
          <w:bCs/>
        </w:rPr>
        <w:t>universities being good employers </w:t>
      </w:r>
    </w:p>
    <w:p w14:paraId="4FF8B91F" w14:textId="77777777" w:rsidR="00A516C0" w:rsidRPr="001E7AA4" w:rsidRDefault="00A516C0" w:rsidP="00A025B1">
      <w:pPr>
        <w:pStyle w:val="ListParagraph"/>
        <w:numPr>
          <w:ilvl w:val="0"/>
          <w:numId w:val="10"/>
        </w:numPr>
        <w:spacing w:after="160" w:line="240" w:lineRule="auto"/>
        <w:rPr>
          <w:b/>
          <w:bCs/>
          <w:kern w:val="2"/>
          <w14:ligatures w14:val="standardContextual"/>
        </w:rPr>
      </w:pPr>
      <w:r w:rsidRPr="001E7AA4">
        <w:rPr>
          <w:b/>
          <w:bCs/>
        </w:rPr>
        <w:t>student and staff safety  </w:t>
      </w:r>
    </w:p>
    <w:p w14:paraId="13E2B527" w14:textId="77777777" w:rsidR="00A516C0" w:rsidRPr="001E7AA4" w:rsidRDefault="00A516C0" w:rsidP="00A025B1">
      <w:pPr>
        <w:pStyle w:val="ListParagraph"/>
        <w:numPr>
          <w:ilvl w:val="0"/>
          <w:numId w:val="10"/>
        </w:numPr>
        <w:spacing w:after="160" w:line="240" w:lineRule="auto"/>
        <w:rPr>
          <w:b/>
          <w:bCs/>
          <w:kern w:val="2"/>
          <w14:ligatures w14:val="standardContextual"/>
        </w:rPr>
      </w:pPr>
      <w:r w:rsidRPr="001E7AA4">
        <w:rPr>
          <w:b/>
          <w:bCs/>
        </w:rPr>
        <w:t>membership of governing bodies, including ensuring additional involvement of people with expertise in the business of universities.</w:t>
      </w:r>
      <w:r w:rsidRPr="001E7AA4">
        <w:rPr>
          <w:rStyle w:val="eop"/>
          <w:rFonts w:ascii="Calibri" w:hAnsi="Calibri" w:cs="Calibri"/>
          <w:bCs/>
        </w:rPr>
        <w:t> </w:t>
      </w:r>
    </w:p>
    <w:p w14:paraId="00D6B43E" w14:textId="77777777" w:rsidR="0007596B" w:rsidRPr="001E7AA4" w:rsidRDefault="0064464D" w:rsidP="00BC654C">
      <w:pPr>
        <w:spacing w:after="120" w:line="240" w:lineRule="auto"/>
        <w:ind w:left="720"/>
        <w:rPr>
          <w:rStyle w:val="eop"/>
          <w:rFonts w:ascii="Calibri" w:eastAsia="Times New Roman" w:hAnsi="Calibri" w:cs="Calibri"/>
          <w:i/>
          <w:sz w:val="24"/>
          <w:szCs w:val="24"/>
          <w:lang w:eastAsia="en-GB"/>
        </w:rPr>
      </w:pPr>
      <w:r w:rsidRPr="001E7AA4">
        <w:rPr>
          <w:rStyle w:val="normaltextrun"/>
          <w:rFonts w:ascii="Calibri" w:hAnsi="Calibri" w:cs="Calibri"/>
          <w:i/>
          <w:kern w:val="2"/>
          <w14:ligatures w14:val="standardContextual"/>
        </w:rPr>
        <w:t xml:space="preserve">Australian governments should </w:t>
      </w:r>
      <w:r w:rsidR="00911B06" w:rsidRPr="001E7AA4">
        <w:rPr>
          <w:rStyle w:val="normaltextrun"/>
          <w:rFonts w:ascii="Calibri" w:hAnsi="Calibri" w:cs="Calibri"/>
          <w:i/>
          <w:kern w:val="2"/>
          <w14:ligatures w14:val="standardContextual"/>
        </w:rPr>
        <w:t xml:space="preserve">work together to </w:t>
      </w:r>
      <w:r w:rsidRPr="001E7AA4">
        <w:rPr>
          <w:rStyle w:val="normaltextrun"/>
          <w:rFonts w:ascii="Calibri" w:hAnsi="Calibri" w:cs="Calibri"/>
          <w:i/>
          <w:kern w:val="2"/>
          <w14:ligatures w14:val="standardContextual"/>
        </w:rPr>
        <w:t>strengthen university governing boards by rebalancing the</w:t>
      </w:r>
      <w:r w:rsidRPr="001E7AA4">
        <w:rPr>
          <w:rStyle w:val="normaltextrun"/>
          <w:rFonts w:ascii="Calibri" w:hAnsi="Calibri" w:cs="Calibri"/>
          <w:i/>
        </w:rPr>
        <w:t>ir</w:t>
      </w:r>
      <w:r w:rsidRPr="001E7AA4">
        <w:rPr>
          <w:rStyle w:val="normaltextrun"/>
          <w:rFonts w:ascii="Calibri" w:hAnsi="Calibri" w:cs="Calibri"/>
          <w:i/>
          <w:kern w:val="2"/>
          <w14:ligatures w14:val="standardContextual"/>
        </w:rPr>
        <w:t xml:space="preserve"> composition to put greater emphasis on higher education expertise</w:t>
      </w:r>
      <w:r w:rsidR="00C7267B" w:rsidRPr="001E7AA4">
        <w:rPr>
          <w:rStyle w:val="normaltextrun"/>
          <w:rFonts w:ascii="Calibri" w:hAnsi="Calibri" w:cs="Calibri"/>
          <w:i/>
          <w:kern w:val="2"/>
          <w14:ligatures w14:val="standardContextual"/>
        </w:rPr>
        <w:t xml:space="preserve">. </w:t>
      </w:r>
      <w:r w:rsidR="0007596B" w:rsidRPr="001E7AA4">
        <w:rPr>
          <w:rStyle w:val="normaltextrun"/>
          <w:rFonts w:ascii="Calibri" w:hAnsi="Calibri" w:cs="Calibri"/>
          <w:i/>
          <w:kern w:val="2"/>
          <w14:ligatures w14:val="standardContextual"/>
        </w:rPr>
        <w:t>Governing bodies must as a priority do more to improve student and staff wellbeing and become exemplary employers.</w:t>
      </w:r>
      <w:r w:rsidR="0007596B" w:rsidRPr="001E7AA4">
        <w:rPr>
          <w:rStyle w:val="eop"/>
          <w:rFonts w:ascii="Calibri" w:eastAsia="Times New Roman" w:hAnsi="Calibri" w:cs="Calibri"/>
          <w:i/>
          <w:sz w:val="24"/>
          <w:szCs w:val="24"/>
          <w:lang w:eastAsia="en-GB"/>
        </w:rPr>
        <w:t> </w:t>
      </w:r>
    </w:p>
    <w:p w14:paraId="727C71D0" w14:textId="7F3524C1" w:rsidR="0064464D" w:rsidRPr="001E7AA4" w:rsidRDefault="341E6E31" w:rsidP="00B65F5B">
      <w:pPr>
        <w:pStyle w:val="Heading4"/>
      </w:pPr>
      <w:bookmarkStart w:id="49" w:name="_Toc137829527"/>
      <w:bookmarkStart w:id="50" w:name="_Toc1660502579"/>
      <w:bookmarkStart w:id="51" w:name="_Toc139028858"/>
      <w:r w:rsidRPr="001E7AA4">
        <w:t>1.</w:t>
      </w:r>
      <w:r w:rsidR="00500A3C" w:rsidRPr="001E7AA4">
        <w:t>6</w:t>
      </w:r>
      <w:r w:rsidRPr="001E7AA4">
        <w:t xml:space="preserve"> Consultation, engagement and next steps</w:t>
      </w:r>
      <w:bookmarkEnd w:id="49"/>
      <w:bookmarkEnd w:id="50"/>
      <w:bookmarkEnd w:id="51"/>
      <w:r w:rsidRPr="001E7AA4">
        <w:t xml:space="preserve"> </w:t>
      </w:r>
    </w:p>
    <w:p w14:paraId="19A8752A" w14:textId="0E693C28" w:rsidR="0064464D" w:rsidRPr="001E7AA4" w:rsidRDefault="0064464D" w:rsidP="0064464D">
      <w:pPr>
        <w:spacing w:line="240" w:lineRule="auto"/>
        <w:rPr>
          <w:rFonts w:ascii="Segoe UI" w:hAnsi="Segoe UI" w:cs="Segoe UI"/>
          <w:sz w:val="18"/>
          <w:szCs w:val="18"/>
          <w:lang w:eastAsia="en-AU"/>
        </w:rPr>
      </w:pPr>
      <w:r w:rsidRPr="001E7AA4">
        <w:rPr>
          <w:lang w:eastAsia="en-AU"/>
        </w:rPr>
        <w:t xml:space="preserve">The Universities Accord Review process </w:t>
      </w:r>
      <w:r w:rsidR="00632104" w:rsidRPr="001E7AA4">
        <w:rPr>
          <w:lang w:eastAsia="en-AU"/>
        </w:rPr>
        <w:t xml:space="preserve">coincides with a number of </w:t>
      </w:r>
      <w:r w:rsidRPr="001E7AA4">
        <w:rPr>
          <w:lang w:eastAsia="en-AU"/>
        </w:rPr>
        <w:t xml:space="preserve">major reviews </w:t>
      </w:r>
      <w:r w:rsidR="00632104" w:rsidRPr="001E7AA4">
        <w:rPr>
          <w:lang w:eastAsia="en-AU"/>
        </w:rPr>
        <w:t xml:space="preserve">with relevance to higher education. These include </w:t>
      </w:r>
      <w:r w:rsidRPr="001E7AA4">
        <w:rPr>
          <w:lang w:eastAsia="en-AU"/>
        </w:rPr>
        <w:t>the</w:t>
      </w:r>
      <w:r w:rsidR="00434447" w:rsidRPr="001E7AA4">
        <w:rPr>
          <w:lang w:eastAsia="en-AU"/>
        </w:rPr>
        <w:t xml:space="preserve"> Productivity Commission </w:t>
      </w:r>
      <w:r w:rsidR="00453ABA" w:rsidRPr="001E7AA4">
        <w:rPr>
          <w:i/>
          <w:iCs/>
          <w:lang w:eastAsia="en-AU"/>
        </w:rPr>
        <w:t>I</w:t>
      </w:r>
      <w:r w:rsidRPr="001E7AA4">
        <w:rPr>
          <w:i/>
          <w:lang w:eastAsia="en-AU"/>
        </w:rPr>
        <w:t xml:space="preserve">nquiry into Australia’s </w:t>
      </w:r>
      <w:r w:rsidR="00453ABA" w:rsidRPr="001E7AA4">
        <w:rPr>
          <w:i/>
          <w:lang w:eastAsia="en-AU"/>
        </w:rPr>
        <w:t>E</w:t>
      </w:r>
      <w:r w:rsidRPr="001E7AA4">
        <w:rPr>
          <w:i/>
          <w:lang w:eastAsia="en-AU"/>
        </w:rPr>
        <w:t xml:space="preserve">arly </w:t>
      </w:r>
      <w:r w:rsidR="00453ABA" w:rsidRPr="001E7AA4">
        <w:rPr>
          <w:i/>
          <w:lang w:eastAsia="en-AU"/>
        </w:rPr>
        <w:t>C</w:t>
      </w:r>
      <w:r w:rsidRPr="001E7AA4">
        <w:rPr>
          <w:i/>
          <w:lang w:eastAsia="en-AU"/>
        </w:rPr>
        <w:t xml:space="preserve">hildhood </w:t>
      </w:r>
      <w:r w:rsidR="00453ABA" w:rsidRPr="001E7AA4">
        <w:rPr>
          <w:i/>
          <w:lang w:eastAsia="en-AU"/>
        </w:rPr>
        <w:t>E</w:t>
      </w:r>
      <w:r w:rsidRPr="001E7AA4">
        <w:rPr>
          <w:i/>
          <w:lang w:eastAsia="en-AU"/>
        </w:rPr>
        <w:t xml:space="preserve">ducation and </w:t>
      </w:r>
      <w:r w:rsidR="00453ABA" w:rsidRPr="001E7AA4">
        <w:rPr>
          <w:i/>
          <w:lang w:eastAsia="en-AU"/>
        </w:rPr>
        <w:t>C</w:t>
      </w:r>
      <w:r w:rsidRPr="001E7AA4">
        <w:rPr>
          <w:i/>
          <w:lang w:eastAsia="en-AU"/>
        </w:rPr>
        <w:t xml:space="preserve">are </w:t>
      </w:r>
      <w:r w:rsidR="00453ABA" w:rsidRPr="001E7AA4">
        <w:rPr>
          <w:i/>
          <w:lang w:eastAsia="en-AU"/>
        </w:rPr>
        <w:t>S</w:t>
      </w:r>
      <w:r w:rsidRPr="001E7AA4">
        <w:rPr>
          <w:i/>
          <w:lang w:eastAsia="en-AU"/>
        </w:rPr>
        <w:t>ystem</w:t>
      </w:r>
      <w:r w:rsidRPr="001E7AA4">
        <w:rPr>
          <w:lang w:eastAsia="en-AU"/>
        </w:rPr>
        <w:t xml:space="preserve"> led by Emeritus Professor Deborah Brennan AM, </w:t>
      </w:r>
      <w:r w:rsidR="00E36203" w:rsidRPr="001E7AA4">
        <w:rPr>
          <w:lang w:eastAsia="en-AU"/>
        </w:rPr>
        <w:t xml:space="preserve">and </w:t>
      </w:r>
      <w:r w:rsidRPr="001E7AA4">
        <w:rPr>
          <w:lang w:eastAsia="en-AU"/>
        </w:rPr>
        <w:t xml:space="preserve">the </w:t>
      </w:r>
      <w:r w:rsidR="00B82863" w:rsidRPr="001E7AA4">
        <w:rPr>
          <w:i/>
          <w:lang w:eastAsia="en-AU"/>
        </w:rPr>
        <w:t>Review to Inform a Better and Fairer Education System</w:t>
      </w:r>
      <w:r w:rsidRPr="001E7AA4">
        <w:rPr>
          <w:lang w:eastAsia="en-AU"/>
        </w:rPr>
        <w:t xml:space="preserve"> led by Dr Lisa O’Brien AM</w:t>
      </w:r>
      <w:r w:rsidR="00632104" w:rsidRPr="001E7AA4">
        <w:rPr>
          <w:lang w:eastAsia="en-AU"/>
        </w:rPr>
        <w:t>.</w:t>
      </w:r>
      <w:r w:rsidRPr="001E7AA4">
        <w:rPr>
          <w:lang w:eastAsia="en-AU"/>
        </w:rPr>
        <w:t xml:space="preserve">  </w:t>
      </w:r>
    </w:p>
    <w:p w14:paraId="6EA38726" w14:textId="52C70089" w:rsidR="0064464D" w:rsidRPr="001E7AA4" w:rsidRDefault="0064464D" w:rsidP="0064464D">
      <w:pPr>
        <w:spacing w:line="240" w:lineRule="auto"/>
        <w:rPr>
          <w:lang w:eastAsia="en-AU"/>
        </w:rPr>
      </w:pPr>
      <w:r w:rsidRPr="001E7AA4">
        <w:rPr>
          <w:lang w:eastAsia="en-AU"/>
        </w:rPr>
        <w:t>The Review believes that strong collaboration between these three reviews</w:t>
      </w:r>
      <w:r w:rsidR="00791502" w:rsidRPr="001E7AA4">
        <w:rPr>
          <w:lang w:eastAsia="en-AU"/>
        </w:rPr>
        <w:t>,</w:t>
      </w:r>
      <w:r w:rsidRPr="001E7AA4">
        <w:rPr>
          <w:lang w:eastAsia="en-AU"/>
        </w:rPr>
        <w:t xml:space="preserve"> and </w:t>
      </w:r>
      <w:r w:rsidR="00E36203" w:rsidRPr="001E7AA4">
        <w:rPr>
          <w:lang w:eastAsia="en-AU"/>
        </w:rPr>
        <w:t xml:space="preserve">with </w:t>
      </w:r>
      <w:r w:rsidRPr="001E7AA4">
        <w:rPr>
          <w:lang w:eastAsia="en-AU"/>
        </w:rPr>
        <w:t xml:space="preserve">the development of the </w:t>
      </w:r>
      <w:r w:rsidR="00716839" w:rsidRPr="001E7AA4">
        <w:rPr>
          <w:lang w:eastAsia="en-AU"/>
        </w:rPr>
        <w:t xml:space="preserve">new </w:t>
      </w:r>
      <w:r w:rsidRPr="001E7AA4">
        <w:rPr>
          <w:lang w:eastAsia="en-AU"/>
        </w:rPr>
        <w:t xml:space="preserve">National Skills Agreement </w:t>
      </w:r>
      <w:r w:rsidR="001B3318" w:rsidRPr="001E7AA4">
        <w:rPr>
          <w:lang w:eastAsia="en-AU"/>
        </w:rPr>
        <w:t>between the Commonwealth,</w:t>
      </w:r>
      <w:r w:rsidR="0085599B" w:rsidRPr="001E7AA4">
        <w:rPr>
          <w:lang w:eastAsia="en-AU"/>
        </w:rPr>
        <w:t xml:space="preserve"> </w:t>
      </w:r>
      <w:r w:rsidR="00044486" w:rsidRPr="001E7AA4">
        <w:rPr>
          <w:lang w:eastAsia="en-AU"/>
        </w:rPr>
        <w:t>states and territories</w:t>
      </w:r>
      <w:r w:rsidR="00E36203" w:rsidRPr="001E7AA4">
        <w:rPr>
          <w:lang w:eastAsia="en-AU"/>
        </w:rPr>
        <w:t xml:space="preserve"> and with the review of national research priorities, </w:t>
      </w:r>
      <w:r w:rsidR="00E36203" w:rsidRPr="001E7AA4">
        <w:rPr>
          <w:rFonts w:eastAsia="Times New Roman" w:cstheme="minorHAnsi"/>
          <w:i/>
          <w:iCs/>
          <w:color w:val="000000" w:themeColor="text1"/>
          <w:kern w:val="36"/>
          <w:lang w:eastAsia="en-GB"/>
        </w:rPr>
        <w:t>Revitalising Australia’s</w:t>
      </w:r>
      <w:r w:rsidR="00015246" w:rsidRPr="001E7AA4">
        <w:rPr>
          <w:rFonts w:eastAsia="Times New Roman" w:cstheme="minorHAnsi"/>
          <w:i/>
          <w:iCs/>
          <w:color w:val="000000" w:themeColor="text1"/>
          <w:kern w:val="36"/>
          <w:lang w:eastAsia="en-GB"/>
        </w:rPr>
        <w:t xml:space="preserve"> V</w:t>
      </w:r>
      <w:r w:rsidR="00E36203" w:rsidRPr="001E7AA4">
        <w:rPr>
          <w:rFonts w:eastAsia="Times New Roman" w:cstheme="minorHAnsi"/>
          <w:i/>
          <w:iCs/>
          <w:color w:val="000000" w:themeColor="text1"/>
          <w:kern w:val="36"/>
          <w:lang w:eastAsia="en-GB"/>
        </w:rPr>
        <w:t xml:space="preserve">ision for </w:t>
      </w:r>
      <w:r w:rsidR="00015246" w:rsidRPr="001E7AA4">
        <w:rPr>
          <w:rFonts w:eastAsia="Times New Roman" w:cstheme="minorHAnsi"/>
          <w:i/>
          <w:iCs/>
          <w:color w:val="000000" w:themeColor="text1"/>
          <w:kern w:val="36"/>
          <w:lang w:eastAsia="en-GB"/>
        </w:rPr>
        <w:t>S</w:t>
      </w:r>
      <w:r w:rsidR="00E36203" w:rsidRPr="001E7AA4">
        <w:rPr>
          <w:rFonts w:eastAsia="Times New Roman" w:cstheme="minorHAnsi"/>
          <w:i/>
          <w:iCs/>
          <w:color w:val="000000" w:themeColor="text1"/>
          <w:kern w:val="36"/>
          <w:lang w:eastAsia="en-GB"/>
        </w:rPr>
        <w:t xml:space="preserve">cience and </w:t>
      </w:r>
      <w:r w:rsidR="00015246" w:rsidRPr="001E7AA4">
        <w:rPr>
          <w:rFonts w:eastAsia="Times New Roman" w:cstheme="minorHAnsi"/>
          <w:i/>
          <w:iCs/>
          <w:color w:val="000000" w:themeColor="text1"/>
          <w:kern w:val="36"/>
          <w:lang w:eastAsia="en-GB"/>
        </w:rPr>
        <w:t>R</w:t>
      </w:r>
      <w:r w:rsidR="00E36203" w:rsidRPr="001E7AA4">
        <w:rPr>
          <w:rFonts w:eastAsia="Times New Roman" w:cstheme="minorHAnsi"/>
          <w:i/>
          <w:iCs/>
          <w:color w:val="000000" w:themeColor="text1"/>
          <w:kern w:val="36"/>
          <w:lang w:eastAsia="en-GB"/>
        </w:rPr>
        <w:t>esearch,</w:t>
      </w:r>
      <w:r w:rsidR="00E36203" w:rsidRPr="001E7AA4">
        <w:rPr>
          <w:i/>
          <w:iCs/>
          <w:lang w:eastAsia="en-AU"/>
        </w:rPr>
        <w:t xml:space="preserve"> </w:t>
      </w:r>
      <w:r w:rsidR="00E36203" w:rsidRPr="001E7AA4">
        <w:rPr>
          <w:lang w:eastAsia="en-AU"/>
        </w:rPr>
        <w:t xml:space="preserve">being led by the Chief Scientist </w:t>
      </w:r>
      <w:r w:rsidRPr="001E7AA4">
        <w:rPr>
          <w:lang w:eastAsia="en-AU"/>
        </w:rPr>
        <w:t>is vital. Ensuring that all</w:t>
      </w:r>
      <w:r w:rsidR="00C67935" w:rsidRPr="001E7AA4">
        <w:rPr>
          <w:lang w:eastAsia="en-AU"/>
        </w:rPr>
        <w:t xml:space="preserve"> aspects</w:t>
      </w:r>
      <w:r w:rsidRPr="001E7AA4">
        <w:rPr>
          <w:lang w:eastAsia="en-AU"/>
        </w:rPr>
        <w:t xml:space="preserve"> of the education </w:t>
      </w:r>
      <w:r w:rsidR="00E36203" w:rsidRPr="001E7AA4">
        <w:rPr>
          <w:lang w:eastAsia="en-AU"/>
        </w:rPr>
        <w:t xml:space="preserve">and research </w:t>
      </w:r>
      <w:r w:rsidRPr="001E7AA4">
        <w:rPr>
          <w:lang w:eastAsia="en-AU"/>
        </w:rPr>
        <w:t>system</w:t>
      </w:r>
      <w:r w:rsidR="00E36203" w:rsidRPr="001E7AA4">
        <w:rPr>
          <w:lang w:eastAsia="en-AU"/>
        </w:rPr>
        <w:t>s</w:t>
      </w:r>
      <w:r w:rsidRPr="001E7AA4">
        <w:rPr>
          <w:lang w:eastAsia="en-AU"/>
        </w:rPr>
        <w:t xml:space="preserve"> pull together toward a common vision of an educated and informed Australia</w:t>
      </w:r>
      <w:r w:rsidR="00632104" w:rsidRPr="001E7AA4">
        <w:rPr>
          <w:lang w:eastAsia="en-AU"/>
        </w:rPr>
        <w:t xml:space="preserve"> will help achieve </w:t>
      </w:r>
      <w:r w:rsidRPr="001E7AA4">
        <w:rPr>
          <w:lang w:eastAsia="en-AU"/>
        </w:rPr>
        <w:t xml:space="preserve">the step-change in skills, knowledge and participation that our society </w:t>
      </w:r>
      <w:r w:rsidR="00632104" w:rsidRPr="001E7AA4">
        <w:rPr>
          <w:lang w:eastAsia="en-AU"/>
        </w:rPr>
        <w:t xml:space="preserve">urgently </w:t>
      </w:r>
      <w:r w:rsidRPr="001E7AA4">
        <w:rPr>
          <w:lang w:eastAsia="en-AU"/>
        </w:rPr>
        <w:t xml:space="preserve">needs. </w:t>
      </w:r>
    </w:p>
    <w:p w14:paraId="1284B42B" w14:textId="7FCC2237" w:rsidR="0064464D" w:rsidRPr="001E7AA4" w:rsidRDefault="0064464D" w:rsidP="0064464D">
      <w:pPr>
        <w:textAlignment w:val="baseline"/>
      </w:pPr>
      <w:r w:rsidRPr="001E7AA4">
        <w:rPr>
          <w:rStyle w:val="normaltextrun"/>
          <w:rFonts w:ascii="Calibri" w:eastAsiaTheme="majorEastAsia" w:hAnsi="Calibri" w:cs="Calibri"/>
        </w:rPr>
        <w:t xml:space="preserve">Following the release of this Interim Report, the Review will consult </w:t>
      </w:r>
      <w:r w:rsidR="00632104" w:rsidRPr="001E7AA4">
        <w:rPr>
          <w:rStyle w:val="normaltextrun"/>
          <w:rFonts w:ascii="Calibri" w:eastAsiaTheme="majorEastAsia" w:hAnsi="Calibri" w:cs="Calibri"/>
        </w:rPr>
        <w:t xml:space="preserve">widely </w:t>
      </w:r>
      <w:r w:rsidR="00BA54AC" w:rsidRPr="001E7AA4">
        <w:rPr>
          <w:rStyle w:val="normaltextrun"/>
          <w:rFonts w:ascii="Calibri" w:eastAsiaTheme="majorEastAsia" w:hAnsi="Calibri" w:cs="Calibri"/>
        </w:rPr>
        <w:t>to inform its Final Report, which will include</w:t>
      </w:r>
      <w:r w:rsidRPr="001E7AA4">
        <w:rPr>
          <w:rStyle w:val="normaltextrun"/>
          <w:rFonts w:ascii="Calibri" w:eastAsiaTheme="majorEastAsia" w:hAnsi="Calibri" w:cs="Calibri"/>
        </w:rPr>
        <w:t xml:space="preserve"> recommendations and a roadmap for the future. </w:t>
      </w:r>
      <w:r w:rsidRPr="001E7AA4">
        <w:rPr>
          <w:rStyle w:val="eop"/>
          <w:rFonts w:ascii="Calibri" w:eastAsiaTheme="majorEastAsia" w:hAnsi="Calibri" w:cs="Calibri"/>
        </w:rPr>
        <w:t> </w:t>
      </w:r>
    </w:p>
    <w:p w14:paraId="080096BD" w14:textId="77F9957C" w:rsidR="0064464D" w:rsidRPr="001E7AA4" w:rsidRDefault="0064464D" w:rsidP="0064464D">
      <w:pPr>
        <w:spacing w:line="240" w:lineRule="auto"/>
        <w:rPr>
          <w:lang w:eastAsia="en-AU"/>
        </w:rPr>
      </w:pPr>
      <w:r w:rsidRPr="001E7AA4">
        <w:rPr>
          <w:rStyle w:val="normaltextrun"/>
          <w:rFonts w:ascii="Calibri" w:hAnsi="Calibri" w:cs="Calibri"/>
        </w:rPr>
        <w:t xml:space="preserve">The </w:t>
      </w:r>
      <w:r w:rsidR="008461B8" w:rsidRPr="001E7AA4">
        <w:rPr>
          <w:rStyle w:val="normaltextrun"/>
          <w:rFonts w:ascii="Calibri" w:hAnsi="Calibri" w:cs="Calibri"/>
        </w:rPr>
        <w:t>F</w:t>
      </w:r>
      <w:r w:rsidRPr="001E7AA4">
        <w:rPr>
          <w:rStyle w:val="normaltextrun"/>
          <w:rFonts w:ascii="Calibri" w:hAnsi="Calibri" w:cs="Calibri"/>
        </w:rPr>
        <w:t xml:space="preserve">inal </w:t>
      </w:r>
      <w:r w:rsidR="008461B8" w:rsidRPr="001E7AA4">
        <w:rPr>
          <w:rStyle w:val="normaltextrun"/>
          <w:rFonts w:ascii="Calibri" w:hAnsi="Calibri" w:cs="Calibri"/>
        </w:rPr>
        <w:t>R</w:t>
      </w:r>
      <w:r w:rsidRPr="001E7AA4">
        <w:rPr>
          <w:rStyle w:val="normaltextrun"/>
          <w:rFonts w:ascii="Calibri" w:hAnsi="Calibri" w:cs="Calibri"/>
        </w:rPr>
        <w:t>eport is due to be submitted to the Minister for Education in December 2023</w:t>
      </w:r>
      <w:r w:rsidR="008461B8" w:rsidRPr="001E7AA4">
        <w:rPr>
          <w:rStyle w:val="normaltextrun"/>
          <w:rFonts w:ascii="Calibri" w:hAnsi="Calibri" w:cs="Calibri"/>
        </w:rPr>
        <w:t>.</w:t>
      </w:r>
      <w:r w:rsidRPr="001E7AA4">
        <w:rPr>
          <w:rStyle w:val="eop"/>
          <w:rFonts w:ascii="Calibri" w:hAnsi="Calibri" w:cs="Calibri"/>
        </w:rPr>
        <w:t> </w:t>
      </w:r>
    </w:p>
    <w:p w14:paraId="19A37E38" w14:textId="55498201" w:rsidR="0064464D" w:rsidRPr="001E7AA4" w:rsidRDefault="0064464D" w:rsidP="00B65F5B">
      <w:pPr>
        <w:pStyle w:val="Heading4"/>
      </w:pPr>
      <w:bookmarkStart w:id="52" w:name="_Toc139028859"/>
      <w:r w:rsidRPr="001E7AA4">
        <w:t>1.</w:t>
      </w:r>
      <w:r w:rsidR="00500A3C" w:rsidRPr="001E7AA4">
        <w:t>7</w:t>
      </w:r>
      <w:r w:rsidRPr="001E7AA4">
        <w:t xml:space="preserve"> Building an Accord</w:t>
      </w:r>
      <w:bookmarkEnd w:id="52"/>
      <w:r w:rsidRPr="001E7AA4">
        <w:t xml:space="preserve"> </w:t>
      </w:r>
    </w:p>
    <w:p w14:paraId="1A46AC36" w14:textId="40F86914" w:rsidR="64C4AD5A" w:rsidRPr="001E7AA4" w:rsidRDefault="0064464D" w:rsidP="00BC654C">
      <w:pPr>
        <w:textAlignment w:val="baseline"/>
        <w:rPr>
          <w:rStyle w:val="normaltextrun"/>
          <w:rFonts w:ascii="Calibri" w:eastAsiaTheme="majorEastAsia" w:hAnsi="Calibri" w:cs="Calibri"/>
          <w:b/>
          <w:color w:val="008599" w:themeColor="accent1"/>
        </w:rPr>
      </w:pPr>
      <w:r w:rsidRPr="001E7AA4">
        <w:rPr>
          <w:rStyle w:val="normaltextrun"/>
          <w:rFonts w:ascii="Calibri" w:eastAsiaTheme="majorEastAsia" w:hAnsi="Calibri" w:cs="Calibri"/>
          <w:color w:val="000000" w:themeColor="text1"/>
        </w:rPr>
        <w:t>A collective effort, with great ambition</w:t>
      </w:r>
      <w:r w:rsidR="00C1084F" w:rsidRPr="001E7AA4">
        <w:rPr>
          <w:rStyle w:val="normaltextrun"/>
          <w:rFonts w:ascii="Calibri" w:eastAsiaTheme="majorEastAsia" w:hAnsi="Calibri" w:cs="Calibri"/>
          <w:color w:val="000000" w:themeColor="text1"/>
        </w:rPr>
        <w:t>,</w:t>
      </w:r>
      <w:r w:rsidRPr="001E7AA4">
        <w:rPr>
          <w:rStyle w:val="normaltextrun"/>
          <w:rFonts w:ascii="Calibri" w:eastAsiaTheme="majorEastAsia" w:hAnsi="Calibri" w:cs="Calibri"/>
          <w:color w:val="000000" w:themeColor="text1"/>
        </w:rPr>
        <w:t xml:space="preserve"> will be required to achieve the step change described in this report. This will take a sustained commitment over multiple decades. </w:t>
      </w:r>
      <w:r w:rsidR="00106AB5" w:rsidRPr="001E7AA4">
        <w:rPr>
          <w:rStyle w:val="normaltextrun"/>
          <w:rFonts w:ascii="Calibri" w:eastAsiaTheme="majorEastAsia" w:hAnsi="Calibri" w:cs="Calibri"/>
        </w:rPr>
        <w:t xml:space="preserve">Governments from all levels will have a role to play in the future skills system. Local </w:t>
      </w:r>
      <w:r w:rsidR="00632104" w:rsidRPr="001E7AA4">
        <w:rPr>
          <w:rStyle w:val="normaltextrun"/>
          <w:rFonts w:ascii="Calibri" w:eastAsiaTheme="majorEastAsia" w:hAnsi="Calibri" w:cs="Calibri"/>
        </w:rPr>
        <w:t>g</w:t>
      </w:r>
      <w:r w:rsidR="00106AB5" w:rsidRPr="001E7AA4">
        <w:rPr>
          <w:rStyle w:val="normaltextrun"/>
          <w:rFonts w:ascii="Calibri" w:eastAsiaTheme="majorEastAsia" w:hAnsi="Calibri" w:cs="Calibri"/>
        </w:rPr>
        <w:t>overnments as leaders of their communities,</w:t>
      </w:r>
      <w:r w:rsidR="00714137" w:rsidRPr="001E7AA4">
        <w:rPr>
          <w:rStyle w:val="normaltextrun"/>
          <w:rFonts w:ascii="Calibri" w:eastAsiaTheme="majorEastAsia" w:hAnsi="Calibri" w:cs="Calibri"/>
        </w:rPr>
        <w:t xml:space="preserve"> </w:t>
      </w:r>
      <w:r w:rsidR="00044486" w:rsidRPr="001E7AA4">
        <w:rPr>
          <w:rStyle w:val="normaltextrun"/>
          <w:rFonts w:ascii="Calibri" w:eastAsiaTheme="majorEastAsia" w:hAnsi="Calibri" w:cs="Calibri"/>
        </w:rPr>
        <w:t>states and territories</w:t>
      </w:r>
      <w:r w:rsidR="00106AB5" w:rsidRPr="001E7AA4">
        <w:rPr>
          <w:rStyle w:val="normaltextrun"/>
          <w:rFonts w:ascii="Calibri" w:eastAsiaTheme="majorEastAsia" w:hAnsi="Calibri" w:cs="Calibri"/>
        </w:rPr>
        <w:t xml:space="preserve"> in their role in the higher education system as well as stewards of the VET system, and the Australian Government as the funder and regulator of </w:t>
      </w:r>
      <w:r w:rsidR="000D1545" w:rsidRPr="001E7AA4">
        <w:rPr>
          <w:rStyle w:val="normaltextrun"/>
          <w:rFonts w:ascii="Calibri" w:eastAsiaTheme="majorEastAsia" w:hAnsi="Calibri" w:cs="Calibri"/>
        </w:rPr>
        <w:t>h</w:t>
      </w:r>
      <w:r w:rsidR="00106AB5" w:rsidRPr="001E7AA4">
        <w:rPr>
          <w:rStyle w:val="normaltextrun"/>
          <w:rFonts w:ascii="Calibri" w:eastAsiaTheme="majorEastAsia" w:hAnsi="Calibri" w:cs="Calibri"/>
        </w:rPr>
        <w:t xml:space="preserve">igher </w:t>
      </w:r>
      <w:r w:rsidR="000D1545" w:rsidRPr="001E7AA4">
        <w:rPr>
          <w:rStyle w:val="normaltextrun"/>
          <w:rFonts w:ascii="Calibri" w:eastAsiaTheme="majorEastAsia" w:hAnsi="Calibri" w:cs="Calibri"/>
        </w:rPr>
        <w:t>e</w:t>
      </w:r>
      <w:r w:rsidR="00106AB5" w:rsidRPr="001E7AA4">
        <w:rPr>
          <w:rStyle w:val="normaltextrun"/>
          <w:rFonts w:ascii="Calibri" w:eastAsiaTheme="majorEastAsia" w:hAnsi="Calibri" w:cs="Calibri"/>
        </w:rPr>
        <w:t>ducation</w:t>
      </w:r>
      <w:r w:rsidR="000458AB" w:rsidRPr="001E7AA4">
        <w:rPr>
          <w:rStyle w:val="normaltextrun"/>
          <w:rFonts w:ascii="Calibri" w:eastAsiaTheme="majorEastAsia" w:hAnsi="Calibri" w:cs="Calibri"/>
        </w:rPr>
        <w:t>,</w:t>
      </w:r>
      <w:r w:rsidR="00935B8B" w:rsidRPr="001E7AA4">
        <w:rPr>
          <w:rStyle w:val="normaltextrun"/>
          <w:rFonts w:ascii="Calibri" w:eastAsiaTheme="majorEastAsia" w:hAnsi="Calibri" w:cs="Calibri"/>
        </w:rPr>
        <w:t xml:space="preserve"> will need to work together as part of this process.</w:t>
      </w:r>
    </w:p>
    <w:p w14:paraId="4DA93A1D" w14:textId="07B53936" w:rsidR="64C4AD5A" w:rsidRPr="001E7AA4" w:rsidRDefault="0064464D" w:rsidP="00D90653">
      <w:pPr>
        <w:textAlignment w:val="baseline"/>
        <w:rPr>
          <w:rStyle w:val="normaltextrun"/>
          <w:rFonts w:ascii="Calibri" w:eastAsiaTheme="majorEastAsia" w:hAnsi="Calibri" w:cs="Calibri"/>
        </w:rPr>
      </w:pPr>
      <w:r w:rsidRPr="001E7AA4">
        <w:rPr>
          <w:rStyle w:val="eop"/>
          <w:rFonts w:ascii="Calibri" w:eastAsiaTheme="majorEastAsia" w:hAnsi="Calibri" w:cs="Calibri"/>
          <w:color w:val="000000" w:themeColor="text1"/>
        </w:rPr>
        <w:t>A dynamic partnership must be forged between governments, institutions</w:t>
      </w:r>
      <w:r w:rsidR="00465A46" w:rsidRPr="001E7AA4">
        <w:rPr>
          <w:rStyle w:val="eop"/>
          <w:rFonts w:ascii="Calibri" w:eastAsiaTheme="majorEastAsia" w:hAnsi="Calibri" w:cs="Calibri"/>
          <w:color w:val="000000" w:themeColor="text1"/>
        </w:rPr>
        <w:t>,</w:t>
      </w:r>
      <w:r w:rsidR="00C85432" w:rsidRPr="001E7AA4">
        <w:rPr>
          <w:rStyle w:val="eop"/>
          <w:rFonts w:ascii="Calibri" w:eastAsiaTheme="majorEastAsia" w:hAnsi="Calibri" w:cs="Calibri"/>
          <w:color w:val="000000" w:themeColor="text1"/>
        </w:rPr>
        <w:t xml:space="preserve"> students,</w:t>
      </w:r>
      <w:r w:rsidR="00465A46" w:rsidRPr="001E7AA4">
        <w:rPr>
          <w:rStyle w:val="eop"/>
          <w:rFonts w:ascii="Calibri" w:eastAsiaTheme="majorEastAsia" w:hAnsi="Calibri" w:cs="Calibri"/>
          <w:color w:val="000000" w:themeColor="text1"/>
        </w:rPr>
        <w:t xml:space="preserve"> </w:t>
      </w:r>
      <w:r w:rsidRPr="001E7AA4">
        <w:rPr>
          <w:rStyle w:val="eop"/>
          <w:rFonts w:ascii="Calibri" w:eastAsiaTheme="majorEastAsia" w:hAnsi="Calibri" w:cs="Calibri"/>
          <w:color w:val="000000" w:themeColor="text1"/>
        </w:rPr>
        <w:t xml:space="preserve">industry, </w:t>
      </w:r>
      <w:r w:rsidR="00C85432" w:rsidRPr="001E7AA4">
        <w:rPr>
          <w:rStyle w:val="eop"/>
          <w:rFonts w:ascii="Calibri" w:eastAsiaTheme="majorEastAsia" w:hAnsi="Calibri" w:cs="Calibri"/>
          <w:color w:val="000000" w:themeColor="text1"/>
        </w:rPr>
        <w:t xml:space="preserve">unions </w:t>
      </w:r>
      <w:r w:rsidR="00465A46" w:rsidRPr="001E7AA4">
        <w:rPr>
          <w:rStyle w:val="eop"/>
          <w:rFonts w:ascii="Calibri" w:eastAsiaTheme="majorEastAsia" w:hAnsi="Calibri" w:cs="Calibri"/>
          <w:color w:val="000000" w:themeColor="text1"/>
        </w:rPr>
        <w:t>and communities</w:t>
      </w:r>
      <w:r w:rsidR="00AD0CD0" w:rsidRPr="001E7AA4">
        <w:rPr>
          <w:rStyle w:val="eop"/>
          <w:rFonts w:ascii="Calibri" w:eastAsiaTheme="majorEastAsia" w:hAnsi="Calibri" w:cs="Calibri"/>
          <w:color w:val="000000" w:themeColor="text1"/>
        </w:rPr>
        <w:t xml:space="preserve">, </w:t>
      </w:r>
      <w:r w:rsidRPr="001E7AA4">
        <w:rPr>
          <w:rStyle w:val="eop"/>
          <w:rFonts w:ascii="Calibri" w:eastAsiaTheme="majorEastAsia" w:hAnsi="Calibri" w:cs="Calibri"/>
          <w:color w:val="000000" w:themeColor="text1"/>
        </w:rPr>
        <w:t xml:space="preserve">among others, </w:t>
      </w:r>
      <w:r w:rsidRPr="001E7AA4">
        <w:rPr>
          <w:rStyle w:val="normaltextrun"/>
          <w:rFonts w:ascii="Calibri" w:eastAsiaTheme="majorEastAsia" w:hAnsi="Calibri" w:cs="Calibri"/>
        </w:rPr>
        <w:t>to drive genuine engagement and collaboration in planning for the future</w:t>
      </w:r>
      <w:r w:rsidR="00A641E1" w:rsidRPr="001E7AA4">
        <w:rPr>
          <w:rStyle w:val="normaltextrun"/>
          <w:rFonts w:ascii="Calibri" w:eastAsiaTheme="majorEastAsia" w:hAnsi="Calibri" w:cs="Calibri"/>
        </w:rPr>
        <w:t>. T</w:t>
      </w:r>
      <w:r w:rsidRPr="001E7AA4">
        <w:rPr>
          <w:rStyle w:val="normaltextrun"/>
          <w:rFonts w:ascii="Calibri" w:eastAsiaTheme="majorEastAsia" w:hAnsi="Calibri" w:cs="Calibri"/>
        </w:rPr>
        <w:t xml:space="preserve">his is the work of an Accord. </w:t>
      </w:r>
    </w:p>
    <w:p w14:paraId="4ABA7F2F" w14:textId="08731B7D" w:rsidR="008B1A15" w:rsidRPr="00032B2A" w:rsidRDefault="0064464D" w:rsidP="00032B2A">
      <w:pPr>
        <w:textAlignment w:val="baseline"/>
        <w:rPr>
          <w:rFonts w:ascii="Calibri" w:eastAsiaTheme="majorEastAsia" w:hAnsi="Calibri" w:cs="Calibri"/>
        </w:rPr>
      </w:pPr>
      <w:r w:rsidRPr="001E7AA4">
        <w:rPr>
          <w:rStyle w:val="normaltextrun"/>
          <w:rFonts w:ascii="Calibri" w:eastAsiaTheme="majorEastAsia" w:hAnsi="Calibri" w:cs="Calibri"/>
        </w:rPr>
        <w:t>Considerations for next steps in the process to design and implement an Accord to deliver against the opportunities and priorities outlined in this report, and as part of the Final Report, is contained in Chapter 4.</w:t>
      </w:r>
      <w:r w:rsidR="008B1A15" w:rsidRPr="001E7AA4">
        <w:rPr>
          <w:b/>
        </w:rPr>
        <w:br w:type="page"/>
      </w:r>
    </w:p>
    <w:p w14:paraId="528B93F7" w14:textId="735D54CD" w:rsidR="00901E30" w:rsidRPr="00A303C9" w:rsidRDefault="40BA0521" w:rsidP="00A303C9">
      <w:pPr>
        <w:pStyle w:val="Heading2"/>
      </w:pPr>
      <w:bookmarkStart w:id="53" w:name="_Toc137829528"/>
      <w:bookmarkStart w:id="54" w:name="_Toc1082335367"/>
      <w:bookmarkStart w:id="55" w:name="_Toc139028860"/>
      <w:bookmarkStart w:id="56" w:name="_Toc136029882"/>
      <w:r w:rsidRPr="00A303C9">
        <w:lastRenderedPageBreak/>
        <w:t>Part 2</w:t>
      </w:r>
      <w:bookmarkEnd w:id="53"/>
      <w:bookmarkEnd w:id="54"/>
      <w:bookmarkEnd w:id="55"/>
    </w:p>
    <w:p w14:paraId="302EAC48" w14:textId="2A85F78B" w:rsidR="008B1A15" w:rsidRPr="001D56F3" w:rsidRDefault="5BAAEE5A" w:rsidP="00B65F5B">
      <w:pPr>
        <w:pStyle w:val="Heading3"/>
      </w:pPr>
      <w:bookmarkStart w:id="57" w:name="_Toc137829529"/>
      <w:bookmarkStart w:id="58" w:name="_Toc1751634095"/>
      <w:bookmarkStart w:id="59" w:name="_Toc139028861"/>
      <w:r w:rsidRPr="001D56F3">
        <w:t>Chapter 2</w:t>
      </w:r>
      <w:r w:rsidR="004E32B3">
        <w:t xml:space="preserve"> –</w:t>
      </w:r>
      <w:r w:rsidRPr="001D56F3">
        <w:t xml:space="preserve"> </w:t>
      </w:r>
      <w:r w:rsidRPr="00F77051">
        <w:rPr>
          <w:b w:val="0"/>
          <w:bCs/>
        </w:rPr>
        <w:t>Evolving the mission for higher education</w:t>
      </w:r>
      <w:bookmarkEnd w:id="56"/>
      <w:bookmarkEnd w:id="57"/>
      <w:bookmarkEnd w:id="58"/>
      <w:bookmarkEnd w:id="59"/>
    </w:p>
    <w:p w14:paraId="09941BBA" w14:textId="77777777" w:rsidR="008B1A15" w:rsidRPr="001E7AA4" w:rsidRDefault="008B1A15" w:rsidP="008B1A15">
      <w:pPr>
        <w:rPr>
          <w:rStyle w:val="normaltextrun"/>
          <w:rFonts w:ascii="Calibri" w:hAnsi="Calibri" w:cs="Calibri"/>
          <w:color w:val="000000"/>
        </w:rPr>
      </w:pPr>
    </w:p>
    <w:p w14:paraId="11F872AF" w14:textId="468145F9" w:rsidR="008B1A15" w:rsidRPr="001E7AA4" w:rsidRDefault="008B1A15" w:rsidP="008B1A15">
      <w:pPr>
        <w:rPr>
          <w:rStyle w:val="normaltextrun"/>
          <w:rFonts w:ascii="Calibri" w:hAnsi="Calibri" w:cs="Calibri"/>
          <w:color w:val="000000"/>
        </w:rPr>
      </w:pPr>
      <w:r w:rsidRPr="001E7AA4">
        <w:rPr>
          <w:rStyle w:val="normaltextrun"/>
          <w:rFonts w:ascii="Calibri" w:hAnsi="Calibri" w:cs="Calibri"/>
          <w:color w:val="000000"/>
        </w:rPr>
        <w:t xml:space="preserve">This </w:t>
      </w:r>
      <w:r w:rsidR="00632104" w:rsidRPr="001E7AA4">
        <w:rPr>
          <w:rStyle w:val="normaltextrun"/>
          <w:rFonts w:ascii="Calibri" w:hAnsi="Calibri" w:cs="Calibri"/>
          <w:color w:val="000000"/>
        </w:rPr>
        <w:t>c</w:t>
      </w:r>
      <w:r w:rsidRPr="001E7AA4">
        <w:rPr>
          <w:rStyle w:val="normaltextrun"/>
          <w:rFonts w:ascii="Calibri" w:hAnsi="Calibri" w:cs="Calibri"/>
          <w:color w:val="000000"/>
        </w:rPr>
        <w:t xml:space="preserve">hapter sets out </w:t>
      </w:r>
      <w:r w:rsidR="00632104" w:rsidRPr="001E7AA4">
        <w:rPr>
          <w:rStyle w:val="normaltextrun"/>
          <w:rFonts w:ascii="Calibri" w:hAnsi="Calibri" w:cs="Calibri"/>
          <w:color w:val="000000"/>
        </w:rPr>
        <w:t xml:space="preserve">ideas </w:t>
      </w:r>
      <w:r w:rsidRPr="001E7AA4">
        <w:rPr>
          <w:rStyle w:val="normaltextrun"/>
          <w:rFonts w:ascii="Calibri" w:hAnsi="Calibri" w:cs="Calibri"/>
          <w:color w:val="000000"/>
        </w:rPr>
        <w:t>to evolve the mission for higher education and achieve the Review’s vision of a high-functioning system.</w:t>
      </w:r>
    </w:p>
    <w:p w14:paraId="03545B53" w14:textId="27B45E95" w:rsidR="008B1A15" w:rsidRPr="001E7AA4" w:rsidRDefault="008B1A15" w:rsidP="008B1A15">
      <w:pPr>
        <w:rPr>
          <w:rStyle w:val="normaltextrun"/>
          <w:rFonts w:ascii="Calibri" w:hAnsi="Calibri" w:cs="Calibri"/>
          <w:color w:val="000000"/>
        </w:rPr>
      </w:pPr>
      <w:r w:rsidRPr="001E7AA4">
        <w:rPr>
          <w:rStyle w:val="normaltextrun"/>
          <w:rFonts w:ascii="Calibri" w:hAnsi="Calibri" w:cs="Calibri"/>
          <w:color w:val="000000"/>
        </w:rPr>
        <w:t xml:space="preserve">It describes </w:t>
      </w:r>
      <w:r w:rsidR="00632104" w:rsidRPr="001E7AA4">
        <w:rPr>
          <w:rStyle w:val="normaltextrun"/>
          <w:rFonts w:ascii="Calibri" w:hAnsi="Calibri" w:cs="Calibri"/>
          <w:color w:val="000000"/>
        </w:rPr>
        <w:t xml:space="preserve">how our </w:t>
      </w:r>
      <w:r w:rsidRPr="001E7AA4">
        <w:rPr>
          <w:rStyle w:val="normaltextrun"/>
          <w:rFonts w:ascii="Calibri" w:hAnsi="Calibri" w:cs="Calibri"/>
          <w:color w:val="000000"/>
        </w:rPr>
        <w:t xml:space="preserve">higher education system </w:t>
      </w:r>
      <w:r w:rsidR="00632104" w:rsidRPr="001E7AA4">
        <w:rPr>
          <w:rStyle w:val="normaltextrun"/>
          <w:rFonts w:ascii="Calibri" w:hAnsi="Calibri" w:cs="Calibri"/>
          <w:color w:val="000000"/>
        </w:rPr>
        <w:t xml:space="preserve">can </w:t>
      </w:r>
      <w:r w:rsidRPr="001E7AA4">
        <w:rPr>
          <w:rStyle w:val="normaltextrun"/>
          <w:rFonts w:ascii="Calibri" w:hAnsi="Calibri" w:cs="Calibri"/>
          <w:color w:val="000000"/>
        </w:rPr>
        <w:t>address Australia’s skills and knowledge needs to meet generational challenges</w:t>
      </w:r>
      <w:r w:rsidR="00632104" w:rsidRPr="001E7AA4">
        <w:rPr>
          <w:rStyle w:val="normaltextrun"/>
          <w:rFonts w:ascii="Calibri" w:hAnsi="Calibri" w:cs="Calibri"/>
          <w:color w:val="000000"/>
        </w:rPr>
        <w:t>,</w:t>
      </w:r>
      <w:r w:rsidRPr="001E7AA4">
        <w:rPr>
          <w:rStyle w:val="normaltextrun"/>
          <w:rFonts w:ascii="Calibri" w:hAnsi="Calibri" w:cs="Calibri"/>
          <w:color w:val="000000"/>
        </w:rPr>
        <w:t xml:space="preserve"> including climate adaptation, energy transformation, </w:t>
      </w:r>
      <w:r w:rsidR="007B4F28" w:rsidRPr="001E7AA4">
        <w:rPr>
          <w:rStyle w:val="normaltextrun"/>
          <w:rFonts w:ascii="Calibri" w:hAnsi="Calibri" w:cs="Calibri"/>
          <w:color w:val="000000"/>
        </w:rPr>
        <w:t xml:space="preserve">health and care, </w:t>
      </w:r>
      <w:r w:rsidRPr="001E7AA4">
        <w:rPr>
          <w:rStyle w:val="normaltextrun"/>
          <w:rFonts w:ascii="Calibri" w:hAnsi="Calibri" w:cs="Calibri"/>
          <w:color w:val="000000"/>
        </w:rPr>
        <w:t xml:space="preserve">Closing the Gap on </w:t>
      </w:r>
      <w:r w:rsidR="00A607C8">
        <w:rPr>
          <w:rStyle w:val="normaltextrun"/>
          <w:rFonts w:ascii="Calibri" w:hAnsi="Calibri" w:cs="Calibri"/>
          <w:color w:val="000000"/>
        </w:rPr>
        <w:t>First Nations</w:t>
      </w:r>
      <w:r w:rsidRPr="001E7AA4">
        <w:rPr>
          <w:rStyle w:val="normaltextrun"/>
          <w:rFonts w:ascii="Calibri" w:hAnsi="Calibri" w:cs="Calibri"/>
          <w:color w:val="000000"/>
        </w:rPr>
        <w:t xml:space="preserve"> disadvantage, buttressing our inclusive democratic culture and creating </w:t>
      </w:r>
      <w:r w:rsidR="00632104" w:rsidRPr="001E7AA4">
        <w:rPr>
          <w:rStyle w:val="normaltextrun"/>
          <w:rFonts w:ascii="Calibri" w:hAnsi="Calibri" w:cs="Calibri"/>
          <w:color w:val="000000"/>
        </w:rPr>
        <w:t xml:space="preserve">stronger and more </w:t>
      </w:r>
      <w:r w:rsidRPr="001E7AA4">
        <w:rPr>
          <w:rStyle w:val="normaltextrun"/>
          <w:rFonts w:ascii="Calibri" w:hAnsi="Calibri" w:cs="Calibri"/>
          <w:color w:val="000000"/>
        </w:rPr>
        <w:t>prosperous communities.</w:t>
      </w:r>
    </w:p>
    <w:p w14:paraId="56403806" w14:textId="50E1D08E" w:rsidR="008B1A15" w:rsidRPr="001E7AA4" w:rsidRDefault="008B1A15" w:rsidP="008B1A15">
      <w:pPr>
        <w:rPr>
          <w:rFonts w:eastAsia="Calibri"/>
          <w:b/>
          <w:color w:val="000000" w:themeColor="text1"/>
        </w:rPr>
      </w:pPr>
      <w:r w:rsidRPr="001E7AA4">
        <w:rPr>
          <w:rStyle w:val="normaltextrun"/>
          <w:rFonts w:ascii="Calibri" w:hAnsi="Calibri" w:cs="Calibri"/>
          <w:color w:val="000000"/>
        </w:rPr>
        <w:t>It explores barriers and gaps in Australia’s current higher education system, describes opportunities for change and identifies possible ways forward.</w:t>
      </w:r>
    </w:p>
    <w:p w14:paraId="2442A340" w14:textId="77777777" w:rsidR="00946370" w:rsidRPr="001E7AA4" w:rsidRDefault="00946370">
      <w:pPr>
        <w:spacing w:after="160"/>
        <w:rPr>
          <w:rFonts w:ascii="Calibri" w:eastAsiaTheme="majorEastAsia" w:hAnsi="Calibri" w:cstheme="majorBidi"/>
          <w:b/>
          <w:color w:val="00254A" w:themeColor="text2"/>
          <w:sz w:val="60"/>
          <w:szCs w:val="32"/>
        </w:rPr>
      </w:pPr>
      <w:bookmarkStart w:id="60" w:name="_Toc136169127"/>
      <w:bookmarkStart w:id="61" w:name="_Toc137829530"/>
      <w:bookmarkStart w:id="62" w:name="_Toc1677368664"/>
      <w:bookmarkStart w:id="63" w:name="_Toc134812559"/>
      <w:bookmarkStart w:id="64" w:name="_Toc140606914"/>
      <w:bookmarkStart w:id="65" w:name="_Toc787473336"/>
      <w:bookmarkStart w:id="66" w:name="_Toc1636083245"/>
      <w:bookmarkStart w:id="67" w:name="_Toc1243273746"/>
      <w:bookmarkStart w:id="68" w:name="_Toc1037169012"/>
      <w:bookmarkStart w:id="69" w:name="_Toc1929408152"/>
      <w:bookmarkStart w:id="70" w:name="_Toc611114094"/>
      <w:bookmarkStart w:id="71" w:name="_Toc1534501434"/>
      <w:bookmarkStart w:id="72" w:name="_Toc167874381"/>
      <w:bookmarkStart w:id="73" w:name="_Toc135059032"/>
      <w:bookmarkStart w:id="74" w:name="_Toc135739779"/>
      <w:bookmarkStart w:id="75" w:name="_Toc135741074"/>
      <w:bookmarkStart w:id="76" w:name="_Toc136259189"/>
      <w:r w:rsidRPr="001E7AA4">
        <w:br w:type="page"/>
      </w:r>
    </w:p>
    <w:p w14:paraId="3B6FD245" w14:textId="6785A356" w:rsidR="00145E3C" w:rsidRPr="00F72CFE" w:rsidRDefault="0B1F8B95" w:rsidP="00B65F5B">
      <w:pPr>
        <w:pStyle w:val="Heading4"/>
      </w:pPr>
      <w:bookmarkStart w:id="77" w:name="_Toc139028862"/>
      <w:r w:rsidRPr="00F72CFE">
        <w:lastRenderedPageBreak/>
        <w:t>2.1: A larger, fairer system</w:t>
      </w:r>
      <w:bookmarkEnd w:id="60"/>
      <w:bookmarkEnd w:id="61"/>
      <w:bookmarkEnd w:id="62"/>
      <w:bookmarkEnd w:id="77"/>
      <w:r w:rsidRPr="00F72CFE">
        <w:t xml:space="preserve"> </w:t>
      </w:r>
    </w:p>
    <w:p w14:paraId="6F14D4B8" w14:textId="77777777" w:rsidR="004A6FCA" w:rsidRPr="001E7AA4" w:rsidRDefault="004A6FCA" w:rsidP="00145E3C">
      <w:pPr>
        <w:pStyle w:val="Quote"/>
      </w:pPr>
    </w:p>
    <w:p w14:paraId="33B10D09" w14:textId="680EA35D" w:rsidR="00145E3C" w:rsidRPr="001E7AA4" w:rsidRDefault="00145E3C" w:rsidP="00145E3C">
      <w:pPr>
        <w:pStyle w:val="Quote"/>
      </w:pPr>
      <w:r w:rsidRPr="001E7AA4">
        <w:t>“</w:t>
      </w:r>
      <w:r w:rsidR="00632104" w:rsidRPr="001E7AA4">
        <w:t>…</w:t>
      </w:r>
      <w:r w:rsidR="00EE36EE" w:rsidRPr="001E7AA4">
        <w:t>t</w:t>
      </w:r>
      <w:r w:rsidR="00C41983" w:rsidRPr="001E7AA4">
        <w:t>o deliver an Australian higher education system that ‘delivers equal access to higher education for all, irrespective of location, financial circumstance, cultural background, gender or other factors’ ... more ambitious targets for underrepresented groups must be set</w:t>
      </w:r>
      <w:r w:rsidRPr="001E7AA4">
        <w:t xml:space="preserve">” </w:t>
      </w:r>
      <w:r w:rsidR="00A303C9">
        <w:br/>
      </w:r>
      <w:r w:rsidRPr="001E7AA4">
        <w:t xml:space="preserve">– </w:t>
      </w:r>
      <w:r w:rsidR="000934CA" w:rsidRPr="001E7AA4">
        <w:t>Equity Practitioners in Higher Education Australasia</w:t>
      </w:r>
    </w:p>
    <w:p w14:paraId="6F8A275B" w14:textId="52F2D53B" w:rsidR="00632104" w:rsidRPr="001E7AA4" w:rsidRDefault="0B1F8B95" w:rsidP="00B65F5B">
      <w:pPr>
        <w:pStyle w:val="Heading5"/>
      </w:pPr>
      <w:bookmarkStart w:id="78" w:name="_Toc137829531"/>
      <w:bookmarkStart w:id="79" w:name="_Toc1909076684"/>
      <w:bookmarkStart w:id="80" w:name="_Toc139028863"/>
      <w:r w:rsidRPr="001E7AA4">
        <w:t>Issues</w:t>
      </w:r>
      <w:bookmarkEnd w:id="78"/>
      <w:bookmarkEnd w:id="79"/>
      <w:bookmarkEnd w:id="80"/>
    </w:p>
    <w:p w14:paraId="07A49FA9" w14:textId="0A44DF8B" w:rsidR="00145E3C" w:rsidRPr="001E7AA4" w:rsidRDefault="00145E3C" w:rsidP="00145E3C">
      <w:r w:rsidRPr="001E7AA4">
        <w:t xml:space="preserve">The Bradley Review </w:t>
      </w:r>
      <w:r w:rsidR="00632104" w:rsidRPr="001E7AA4">
        <w:t xml:space="preserve">set a target </w:t>
      </w:r>
      <w:r w:rsidR="00880106" w:rsidRPr="001E7AA4">
        <w:t xml:space="preserve">that </w:t>
      </w:r>
      <w:r w:rsidRPr="001E7AA4">
        <w:t>40</w:t>
      </w:r>
      <w:r w:rsidRPr="001E7AA4" w:rsidDel="0002240E">
        <w:t>%</w:t>
      </w:r>
      <w:r w:rsidR="0002240E" w:rsidRPr="001E7AA4">
        <w:t xml:space="preserve"> </w:t>
      </w:r>
      <w:r w:rsidRPr="001E7AA4">
        <w:t xml:space="preserve">of Australians aged 25 to 34 </w:t>
      </w:r>
      <w:r w:rsidR="009E20F0" w:rsidRPr="001E7AA4">
        <w:t>have</w:t>
      </w:r>
      <w:r w:rsidR="00A032D1" w:rsidRPr="001E7AA4">
        <w:t xml:space="preserve"> </w:t>
      </w:r>
      <w:r w:rsidRPr="001E7AA4">
        <w:t>a bachelor</w:t>
      </w:r>
      <w:r w:rsidR="0061358C" w:rsidRPr="001E7AA4">
        <w:t xml:space="preserve"> or higher</w:t>
      </w:r>
      <w:r w:rsidRPr="001E7AA4">
        <w:t xml:space="preserve"> degree</w:t>
      </w:r>
      <w:r w:rsidR="00A032D1" w:rsidRPr="001E7AA4">
        <w:t>,</w:t>
      </w:r>
      <w:r w:rsidR="00632104" w:rsidRPr="001E7AA4">
        <w:t xml:space="preserve"> and a participation target that 20</w:t>
      </w:r>
      <w:r w:rsidR="00632104" w:rsidRPr="001E7AA4" w:rsidDel="0002240E">
        <w:t>%</w:t>
      </w:r>
      <w:r w:rsidR="0002240E" w:rsidRPr="001E7AA4">
        <w:t xml:space="preserve"> </w:t>
      </w:r>
      <w:r w:rsidR="00632104" w:rsidRPr="001E7AA4">
        <w:t xml:space="preserve">of undergraduates </w:t>
      </w:r>
      <w:r w:rsidR="00880106" w:rsidRPr="001E7AA4">
        <w:t xml:space="preserve">should be </w:t>
      </w:r>
      <w:r w:rsidR="00632104" w:rsidRPr="001E7AA4">
        <w:t>from low</w:t>
      </w:r>
      <w:r w:rsidR="00856A92" w:rsidRPr="001E7AA4">
        <w:t xml:space="preserve"> </w:t>
      </w:r>
      <w:r w:rsidR="00632104" w:rsidRPr="001E7AA4">
        <w:t>SES backgrounds</w:t>
      </w:r>
      <w:r w:rsidR="00B42190" w:rsidRPr="001E7AA4">
        <w:t>.</w:t>
      </w:r>
      <w:r w:rsidR="006641C9" w:rsidRPr="001E7AA4">
        <w:rPr>
          <w:rStyle w:val="FootnoteReference"/>
        </w:rPr>
        <w:footnoteReference w:id="25"/>
      </w:r>
      <w:r w:rsidR="00632104" w:rsidRPr="001E7AA4">
        <w:t xml:space="preserve"> The first target has been met – although </w:t>
      </w:r>
      <w:r w:rsidRPr="001E7AA4">
        <w:t>it no longer reflects the projected skills needs of Australia’s economy</w:t>
      </w:r>
      <w:r w:rsidR="00632104" w:rsidRPr="001E7AA4">
        <w:t>, which have risen substantially</w:t>
      </w:r>
      <w:r w:rsidRPr="001E7AA4">
        <w:t xml:space="preserve">. The </w:t>
      </w:r>
      <w:r w:rsidR="00632104" w:rsidRPr="001E7AA4">
        <w:t>second target has not.</w:t>
      </w:r>
      <w:r w:rsidRPr="001E7AA4">
        <w:t xml:space="preserve"> In fact, participation rates for low</w:t>
      </w:r>
      <w:r w:rsidR="00856A92" w:rsidRPr="001E7AA4">
        <w:t xml:space="preserve"> </w:t>
      </w:r>
      <w:r w:rsidRPr="001E7AA4">
        <w:t>SES students have barely increased over the past decade.</w:t>
      </w:r>
      <w:r w:rsidRPr="001E7AA4">
        <w:rPr>
          <w:rStyle w:val="FootnoteReference"/>
        </w:rPr>
        <w:footnoteReference w:id="26"/>
      </w:r>
    </w:p>
    <w:p w14:paraId="518DD9C1" w14:textId="3EF4C288" w:rsidR="00145E3C" w:rsidRPr="001E7AA4" w:rsidRDefault="00632104" w:rsidP="00145E3C">
      <w:r w:rsidRPr="001E7AA4">
        <w:t xml:space="preserve">More ambitious targets in both areas are now needed. </w:t>
      </w:r>
    </w:p>
    <w:p w14:paraId="49E7A644" w14:textId="3A7C3FFE" w:rsidR="00145E3C" w:rsidRPr="001E7AA4" w:rsidRDefault="00145E3C" w:rsidP="00145E3C">
      <w:pPr>
        <w:rPr>
          <w:rFonts w:eastAsia="Calibri"/>
        </w:rPr>
      </w:pPr>
      <w:r w:rsidRPr="001E7AA4">
        <w:t xml:space="preserve">This </w:t>
      </w:r>
      <w:r w:rsidR="00F62B94" w:rsidRPr="001E7AA4">
        <w:t xml:space="preserve">section </w:t>
      </w:r>
      <w:r w:rsidRPr="001E7AA4">
        <w:t xml:space="preserve">discusses </w:t>
      </w:r>
      <w:r w:rsidR="00632104" w:rsidRPr="001E7AA4">
        <w:t xml:space="preserve">the need to increase </w:t>
      </w:r>
      <w:r w:rsidRPr="001E7AA4">
        <w:t>higher education attainment to meet Australia's future skills needs</w:t>
      </w:r>
      <w:r w:rsidR="00632104" w:rsidRPr="001E7AA4">
        <w:t xml:space="preserve"> and how doing so </w:t>
      </w:r>
      <w:r w:rsidRPr="001E7AA4">
        <w:t xml:space="preserve">will require an increase in enrolments from students </w:t>
      </w:r>
      <w:r w:rsidR="00247052" w:rsidRPr="001E7AA4">
        <w:t xml:space="preserve">historically </w:t>
      </w:r>
      <w:r w:rsidRPr="001E7AA4">
        <w:t>underrepresented in the higher education system</w:t>
      </w:r>
      <w:r w:rsidR="00632104" w:rsidRPr="001E7AA4">
        <w:t xml:space="preserve">. It </w:t>
      </w:r>
      <w:r w:rsidRPr="001E7AA4">
        <w:t>proposes setting new targets for attainment and a com</w:t>
      </w:r>
      <w:r w:rsidRPr="001E7AA4">
        <w:rPr>
          <w:rFonts w:eastAsia="Calibri"/>
        </w:rPr>
        <w:t>mitment to parity in participation for students from underrepresented backgrounds.</w:t>
      </w:r>
    </w:p>
    <w:p w14:paraId="68E97DDD" w14:textId="39BC77FC" w:rsidR="00632104" w:rsidRDefault="00632104" w:rsidP="00145E3C">
      <w:pPr>
        <w:rPr>
          <w:rFonts w:eastAsia="Calibri"/>
        </w:rPr>
      </w:pPr>
      <w:r w:rsidRPr="001E7AA4">
        <w:rPr>
          <w:rFonts w:eastAsia="Calibri"/>
        </w:rPr>
        <w:t xml:space="preserve">Our direction is clear: </w:t>
      </w:r>
      <w:r w:rsidR="00E845CA" w:rsidRPr="001E7AA4">
        <w:rPr>
          <w:rFonts w:eastAsia="Calibri"/>
        </w:rPr>
        <w:t>t</w:t>
      </w:r>
      <w:r w:rsidRPr="001E7AA4">
        <w:rPr>
          <w:rFonts w:eastAsia="Calibri"/>
        </w:rPr>
        <w:t xml:space="preserve">o succeed in the future, Australia needs to grow skills through greater equity. </w:t>
      </w:r>
    </w:p>
    <w:p w14:paraId="67A3B3C3" w14:textId="72B17A71" w:rsidR="00B552EB" w:rsidRDefault="00B552EB" w:rsidP="00B552EB">
      <w:pPr>
        <w:pStyle w:val="Pulloutboxes"/>
      </w:pPr>
      <w:r w:rsidRPr="009E134D">
        <w:t>To achieve this, the Review’s Final Report will set higher targets for higher education participation and equity.</w:t>
      </w:r>
    </w:p>
    <w:p w14:paraId="56E260C8" w14:textId="77777777" w:rsidR="00145E3C" w:rsidRPr="00F72CFE" w:rsidRDefault="0B1F8B95" w:rsidP="00B65F5B">
      <w:pPr>
        <w:pStyle w:val="Heading5"/>
      </w:pPr>
      <w:bookmarkStart w:id="81" w:name="_Toc136169130"/>
      <w:bookmarkStart w:id="82" w:name="_Toc137829532"/>
      <w:bookmarkStart w:id="83" w:name="_Toc525403202"/>
      <w:bookmarkStart w:id="84" w:name="_Toc139028864"/>
      <w:r w:rsidRPr="00F72CFE">
        <w:t>2.1.1 New targets to drive action</w:t>
      </w:r>
      <w:bookmarkEnd w:id="81"/>
      <w:bookmarkEnd w:id="82"/>
      <w:bookmarkEnd w:id="83"/>
      <w:bookmarkEnd w:id="84"/>
    </w:p>
    <w:p w14:paraId="45A7CFF1" w14:textId="0986DA91" w:rsidR="00145E3C" w:rsidRPr="001E7AA4" w:rsidRDefault="39C70FA7" w:rsidP="002D7F91">
      <w:pPr>
        <w:spacing w:after="0"/>
      </w:pPr>
      <w:r w:rsidRPr="001E7AA4">
        <w:t>The Terms of Reference for the Review ask it to:</w:t>
      </w:r>
    </w:p>
    <w:p w14:paraId="51E130FC" w14:textId="7475E5DB" w:rsidR="00145E3C" w:rsidRPr="001E7AA4" w:rsidRDefault="00145E3C" w:rsidP="002D7F91">
      <w:pPr>
        <w:pStyle w:val="ListBullet"/>
      </w:pPr>
      <w:r w:rsidRPr="001E7AA4">
        <w:t>“Include recommendations for new targets and reforms recognising that more than nine in ten new jobs will require post-school qualifications, and 50</w:t>
      </w:r>
      <w:r w:rsidRPr="001E7AA4" w:rsidDel="0002240E">
        <w:t>%</w:t>
      </w:r>
      <w:r w:rsidR="0002240E" w:rsidRPr="001E7AA4">
        <w:t xml:space="preserve"> </w:t>
      </w:r>
      <w:r w:rsidRPr="001E7AA4">
        <w:t>of new jobs are expected to require a bachelor degree or higher.”</w:t>
      </w:r>
    </w:p>
    <w:p w14:paraId="4721049F" w14:textId="77777777" w:rsidR="00145E3C" w:rsidRPr="001E7AA4" w:rsidRDefault="00145E3C" w:rsidP="002D7F91">
      <w:pPr>
        <w:pStyle w:val="ListBullet"/>
      </w:pPr>
      <w:r w:rsidRPr="001E7AA4">
        <w:t>“Include recommendations for new targets and reforms to support greater access and participation for students from underrepresented backgrounds.”</w:t>
      </w:r>
    </w:p>
    <w:p w14:paraId="58BB0FC4" w14:textId="0BB65B79" w:rsidR="00145E3C" w:rsidRPr="001E7AA4" w:rsidRDefault="39C70FA7">
      <w:pPr>
        <w:spacing w:after="0" w:line="240" w:lineRule="auto"/>
      </w:pPr>
      <w:r w:rsidRPr="001E7AA4">
        <w:t xml:space="preserve">In considering what these targets might be, it is necessary to estimate the number of skilled workers required in the future and what this means for a new attainment target. </w:t>
      </w:r>
      <w:r w:rsidR="667CDDF4" w:rsidRPr="001E7AA4">
        <w:rPr>
          <w:rFonts w:ascii="Calibri" w:eastAsia="Calibri" w:hAnsi="Calibri" w:cs="Calibri"/>
        </w:rPr>
        <w:t xml:space="preserve">Given </w:t>
      </w:r>
      <w:r w:rsidR="56BDD9A3" w:rsidRPr="001E7AA4">
        <w:rPr>
          <w:rFonts w:ascii="Calibri" w:eastAsia="Calibri" w:hAnsi="Calibri" w:cs="Calibri"/>
        </w:rPr>
        <w:t>current participation</w:t>
      </w:r>
      <w:r w:rsidR="00B03443" w:rsidRPr="001E7AA4">
        <w:rPr>
          <w:rFonts w:ascii="Calibri" w:eastAsia="Calibri" w:hAnsi="Calibri" w:cs="Calibri"/>
        </w:rPr>
        <w:t xml:space="preserve"> and attainment</w:t>
      </w:r>
      <w:r w:rsidR="56BDD9A3" w:rsidRPr="001E7AA4">
        <w:rPr>
          <w:rFonts w:ascii="Calibri" w:eastAsia="Calibri" w:hAnsi="Calibri" w:cs="Calibri"/>
        </w:rPr>
        <w:t xml:space="preserve"> rates and patterns</w:t>
      </w:r>
      <w:r w:rsidR="667CDDF4" w:rsidRPr="001E7AA4">
        <w:rPr>
          <w:rFonts w:ascii="Calibri" w:eastAsia="Calibri" w:hAnsi="Calibri" w:cs="Calibri"/>
        </w:rPr>
        <w:t xml:space="preserve">, </w:t>
      </w:r>
      <w:r w:rsidR="215FE084" w:rsidRPr="001E7AA4">
        <w:rPr>
          <w:rFonts w:ascii="Calibri" w:eastAsia="Calibri" w:hAnsi="Calibri" w:cs="Calibri"/>
        </w:rPr>
        <w:t xml:space="preserve">this requires </w:t>
      </w:r>
      <w:r w:rsidR="667CDDF4" w:rsidRPr="001E7AA4">
        <w:rPr>
          <w:rFonts w:ascii="Calibri" w:eastAsia="Calibri" w:hAnsi="Calibri" w:cs="Calibri"/>
        </w:rPr>
        <w:t xml:space="preserve">substantial growth in participation from cohorts currently </w:t>
      </w:r>
      <w:r w:rsidR="43FF4277" w:rsidRPr="001E7AA4">
        <w:rPr>
          <w:rFonts w:ascii="Calibri" w:eastAsia="Calibri" w:hAnsi="Calibri" w:cs="Calibri"/>
        </w:rPr>
        <w:t>underrepresented in Australian</w:t>
      </w:r>
      <w:r w:rsidR="667CDDF4" w:rsidRPr="001E7AA4">
        <w:rPr>
          <w:rFonts w:ascii="Calibri" w:eastAsia="Calibri" w:hAnsi="Calibri" w:cs="Calibri"/>
        </w:rPr>
        <w:t xml:space="preserve"> higher education</w:t>
      </w:r>
      <w:r w:rsidR="00AB72A9" w:rsidRPr="001E7AA4">
        <w:rPr>
          <w:rFonts w:ascii="Calibri" w:eastAsia="Calibri" w:hAnsi="Calibri" w:cs="Calibri"/>
        </w:rPr>
        <w:t>.</w:t>
      </w:r>
    </w:p>
    <w:p w14:paraId="432B9D98" w14:textId="77777777" w:rsidR="00560132" w:rsidRDefault="00560132">
      <w:pPr>
        <w:spacing w:after="160"/>
      </w:pPr>
      <w:r>
        <w:br w:type="page"/>
      </w:r>
    </w:p>
    <w:p w14:paraId="1B58C166" w14:textId="077F8C07" w:rsidR="00145E3C" w:rsidRPr="001E7AA4" w:rsidRDefault="00632104" w:rsidP="00145E3C">
      <w:r w:rsidRPr="001E7AA4">
        <w:lastRenderedPageBreak/>
        <w:t>We look here at h</w:t>
      </w:r>
      <w:r w:rsidR="39C70FA7" w:rsidRPr="001E7AA4">
        <w:t xml:space="preserve">ow the system </w:t>
      </w:r>
      <w:r w:rsidRPr="001E7AA4">
        <w:t>need</w:t>
      </w:r>
      <w:r w:rsidR="00DF1D33" w:rsidRPr="001E7AA4">
        <w:t>s</w:t>
      </w:r>
      <w:r w:rsidRPr="001E7AA4">
        <w:t xml:space="preserve"> to</w:t>
      </w:r>
      <w:r w:rsidR="39C70FA7" w:rsidRPr="001E7AA4">
        <w:t xml:space="preserve"> change over the coming decades</w:t>
      </w:r>
      <w:r w:rsidRPr="001E7AA4">
        <w:t xml:space="preserve"> to achieve its desired targets. </w:t>
      </w:r>
    </w:p>
    <w:p w14:paraId="37002ED0" w14:textId="5B3B9EB1" w:rsidR="00145E3C" w:rsidRPr="001E7AA4" w:rsidRDefault="00145E3C" w:rsidP="00B65F5B">
      <w:pPr>
        <w:pStyle w:val="Heading6"/>
      </w:pPr>
      <w:r w:rsidRPr="001E7AA4">
        <w:t>2.1.1.1 Considering future demand and attainment</w:t>
      </w:r>
    </w:p>
    <w:p w14:paraId="71A9A656" w14:textId="1B625DC7" w:rsidR="00826CEC" w:rsidRPr="001E7AA4" w:rsidRDefault="00826CEC" w:rsidP="00145E3C">
      <w:r w:rsidRPr="001E7AA4">
        <w:t xml:space="preserve">The Bradley </w:t>
      </w:r>
      <w:r w:rsidR="349F1748" w:rsidRPr="001E7AA4">
        <w:t>R</w:t>
      </w:r>
      <w:r w:rsidRPr="001E7AA4">
        <w:t xml:space="preserve">eview set a target of 40% of 25-34 year olds </w:t>
      </w:r>
      <w:r w:rsidR="009E20F0" w:rsidRPr="001E7AA4">
        <w:t>having</w:t>
      </w:r>
      <w:r w:rsidRPr="001E7AA4">
        <w:t xml:space="preserve"> a bachelor degree or higher</w:t>
      </w:r>
      <w:r w:rsidR="50876B3D" w:rsidRPr="001E7AA4">
        <w:t xml:space="preserve">. This </w:t>
      </w:r>
      <w:r w:rsidRPr="001E7AA4">
        <w:t xml:space="preserve"> served us well at the time</w:t>
      </w:r>
      <w:r w:rsidR="3B28E3EF" w:rsidRPr="001E7AA4">
        <w:t xml:space="preserve">. </w:t>
      </w:r>
      <w:r w:rsidR="0467F274" w:rsidRPr="001E7AA4">
        <w:t>There are a range of issues to be considered in determining new</w:t>
      </w:r>
      <w:r w:rsidR="74943507" w:rsidRPr="001E7AA4">
        <w:t xml:space="preserve"> </w:t>
      </w:r>
      <w:r w:rsidR="0467F274" w:rsidRPr="001E7AA4">
        <w:t>targets for participation and attainment.</w:t>
      </w:r>
    </w:p>
    <w:p w14:paraId="1D10A35A" w14:textId="57243897" w:rsidR="00145E3C" w:rsidRPr="001E7AA4" w:rsidRDefault="00377D9F" w:rsidP="00145E3C">
      <w:r w:rsidRPr="001E7AA4">
        <w:t xml:space="preserve">New jobs in the labour market are already tilted heavily towards tertiary and higher education as a requirement: </w:t>
      </w:r>
      <w:r w:rsidR="00145E3C" w:rsidRPr="001E7AA4">
        <w:t>JSA projects more than one million new jobs will be generated by 2026, with 90</w:t>
      </w:r>
      <w:r w:rsidR="00145E3C" w:rsidRPr="001E7AA4" w:rsidDel="0002240E">
        <w:t>%</w:t>
      </w:r>
      <w:r w:rsidR="0002240E" w:rsidRPr="001E7AA4">
        <w:t xml:space="preserve"> </w:t>
      </w:r>
      <w:r w:rsidR="00145E3C" w:rsidRPr="001E7AA4">
        <w:t>of these requiring a post school qualification. More than half of these jobs will require a bachelor degree or above.</w:t>
      </w:r>
      <w:r w:rsidR="00603003" w:rsidRPr="001E7AA4">
        <w:rPr>
          <w:rStyle w:val="FootnoteReference"/>
        </w:rPr>
        <w:footnoteReference w:id="27"/>
      </w:r>
      <w:r w:rsidR="00603003" w:rsidRPr="001E7AA4">
        <w:t xml:space="preserve"> </w:t>
      </w:r>
      <w:r w:rsidR="00145E3C" w:rsidRPr="001E7AA4">
        <w:t xml:space="preserve"> </w:t>
      </w:r>
    </w:p>
    <w:p w14:paraId="67BF8F5F" w14:textId="05AFA01B" w:rsidR="00236779" w:rsidRPr="001E7AA4" w:rsidRDefault="00236779" w:rsidP="00236779">
      <w:r w:rsidRPr="001E7AA4">
        <w:t>This shift towards higher qualification requirements will persist into the long</w:t>
      </w:r>
      <w:r w:rsidR="009E3598" w:rsidRPr="001E7AA4">
        <w:t>-</w:t>
      </w:r>
      <w:r w:rsidRPr="001E7AA4">
        <w:t xml:space="preserve">term. The Review commissioned analysis from BIS OE to provide estimates of the number of </w:t>
      </w:r>
      <w:r w:rsidR="000225B5" w:rsidRPr="001E7AA4">
        <w:t xml:space="preserve">higher education </w:t>
      </w:r>
      <w:r w:rsidRPr="001E7AA4">
        <w:t xml:space="preserve">graduates required to meet future </w:t>
      </w:r>
      <w:r w:rsidRPr="001E7AA4" w:rsidDel="0025011B">
        <w:t>demand</w:t>
      </w:r>
      <w:r w:rsidR="000225B5" w:rsidRPr="001E7AA4" w:rsidDel="0025011B">
        <w:t xml:space="preserve"> </w:t>
      </w:r>
      <w:r w:rsidR="0025011B" w:rsidRPr="001E7AA4">
        <w:t>over</w:t>
      </w:r>
      <w:r w:rsidRPr="001E7AA4">
        <w:t xml:space="preserve"> the next 30 years. </w:t>
      </w:r>
    </w:p>
    <w:p w14:paraId="3AEC13C4" w14:textId="08E79C5C" w:rsidR="00236779" w:rsidRPr="001E7AA4" w:rsidRDefault="00236779" w:rsidP="00236779">
      <w:r w:rsidRPr="001E7AA4">
        <w:t xml:space="preserve">BIS OE’s preliminary analysis suggests that </w:t>
      </w:r>
      <w:r w:rsidR="00B90F4A" w:rsidRPr="001E7AA4">
        <w:t xml:space="preserve">by around </w:t>
      </w:r>
      <w:r w:rsidRPr="001E7AA4">
        <w:t>205</w:t>
      </w:r>
      <w:r w:rsidR="00B90F4A" w:rsidRPr="001E7AA4">
        <w:t>0</w:t>
      </w:r>
      <w:r w:rsidRPr="001E7AA4">
        <w:t>, 55</w:t>
      </w:r>
      <w:r w:rsidRPr="001E7AA4" w:rsidDel="0002240E">
        <w:t>%</w:t>
      </w:r>
      <w:r w:rsidR="0002240E" w:rsidRPr="001E7AA4">
        <w:t xml:space="preserve"> </w:t>
      </w:r>
      <w:r w:rsidRPr="001E7AA4">
        <w:t>of all employed persons will require a higher education qualification</w:t>
      </w:r>
      <w:r w:rsidR="003B29EC" w:rsidRPr="001E7AA4">
        <w:t>,</w:t>
      </w:r>
      <w:r w:rsidRPr="001E7AA4">
        <w:t xml:space="preserve"> up from 36</w:t>
      </w:r>
      <w:r w:rsidRPr="001E7AA4" w:rsidDel="0002240E">
        <w:t>%</w:t>
      </w:r>
      <w:r w:rsidR="003B29EC" w:rsidRPr="001E7AA4">
        <w:t xml:space="preserve"> </w:t>
      </w:r>
      <w:r w:rsidR="00826CEC" w:rsidRPr="001E7AA4">
        <w:t>of the entire working population</w:t>
      </w:r>
      <w:r w:rsidR="003B29EC" w:rsidRPr="001E7AA4">
        <w:t xml:space="preserve"> at present </w:t>
      </w:r>
      <w:r w:rsidR="003578AA" w:rsidRPr="001E7AA4">
        <w:t>(</w:t>
      </w:r>
      <w:r w:rsidR="003B29EC" w:rsidRPr="001E7AA4">
        <w:t xml:space="preserve">this is different to the </w:t>
      </w:r>
      <w:r w:rsidR="003578AA" w:rsidRPr="001E7AA4">
        <w:t>cohort</w:t>
      </w:r>
      <w:r w:rsidR="003B29EC" w:rsidRPr="001E7AA4">
        <w:t xml:space="preserve"> covered by the Bradley target </w:t>
      </w:r>
      <w:r w:rsidR="00C07933" w:rsidRPr="001E7AA4">
        <w:t>which</w:t>
      </w:r>
      <w:r w:rsidR="003B29EC" w:rsidRPr="001E7AA4">
        <w:t xml:space="preserve"> </w:t>
      </w:r>
      <w:r w:rsidR="003578AA" w:rsidRPr="001E7AA4">
        <w:t>relates to 25-34 year olds)</w:t>
      </w:r>
      <w:r w:rsidRPr="001E7AA4">
        <w:t>.</w:t>
      </w:r>
      <w:r w:rsidRPr="001E7AA4">
        <w:rPr>
          <w:rStyle w:val="FootnoteReference"/>
        </w:rPr>
        <w:footnoteReference w:id="28"/>
      </w:r>
      <w:r w:rsidRPr="001E7AA4">
        <w:t xml:space="preserve"> Achieving this level of attainment across the working population will require more young people going into higher education and more upskilling of the existing workforce.</w:t>
      </w:r>
      <w:r w:rsidRPr="001E7AA4">
        <w:rPr>
          <w:rStyle w:val="FootnoteReference"/>
        </w:rPr>
        <w:footnoteReference w:id="29"/>
      </w:r>
      <w:r w:rsidRPr="001E7AA4">
        <w:t xml:space="preserve"> Skilled migration will also continue to play an important role. Given the amount of time it takes to train graduates and the scale of the expected future skill</w:t>
      </w:r>
      <w:r w:rsidR="007436E0" w:rsidRPr="001E7AA4">
        <w:t>s</w:t>
      </w:r>
      <w:r w:rsidRPr="001E7AA4">
        <w:t xml:space="preserve"> need</w:t>
      </w:r>
      <w:r w:rsidR="007436E0" w:rsidRPr="001E7AA4">
        <w:t>s</w:t>
      </w:r>
      <w:r w:rsidRPr="001E7AA4">
        <w:t xml:space="preserve">, we must increase participation quickly. </w:t>
      </w:r>
    </w:p>
    <w:p w14:paraId="211DCB87" w14:textId="42A0FDE1" w:rsidR="00145E3C" w:rsidRPr="001E7AA4" w:rsidRDefault="00145E3C" w:rsidP="00F72CFE">
      <w:pPr>
        <w:pStyle w:val="Heading6"/>
      </w:pPr>
      <w:r w:rsidRPr="001E7AA4">
        <w:t xml:space="preserve">2.1.1.2 Current levels of </w:t>
      </w:r>
      <w:r w:rsidR="4D441A10" w:rsidRPr="001E7AA4">
        <w:t xml:space="preserve">higher education </w:t>
      </w:r>
      <w:r w:rsidRPr="001E7AA4">
        <w:t xml:space="preserve">attainment </w:t>
      </w:r>
    </w:p>
    <w:p w14:paraId="3676376D" w14:textId="104DA51E" w:rsidR="00BA0029" w:rsidRDefault="0038409A" w:rsidP="00145E3C">
      <w:r w:rsidRPr="001E7AA4">
        <w:t>As shown in Figure 2.1-1, t</w:t>
      </w:r>
      <w:r w:rsidR="00145E3C" w:rsidRPr="001E7AA4">
        <w:t>he proportion of Australians aged 25</w:t>
      </w:r>
      <w:r w:rsidR="00F37791" w:rsidRPr="001E7AA4">
        <w:t xml:space="preserve"> to </w:t>
      </w:r>
      <w:r w:rsidR="00145E3C" w:rsidRPr="001E7AA4">
        <w:t>34 with a bachelor degree or above has increased from 31.9</w:t>
      </w:r>
      <w:r w:rsidR="00145E3C" w:rsidRPr="001E7AA4" w:rsidDel="0002240E">
        <w:t>%</w:t>
      </w:r>
      <w:r w:rsidR="0002240E" w:rsidRPr="001E7AA4">
        <w:t xml:space="preserve"> </w:t>
      </w:r>
      <w:r w:rsidR="00145E3C" w:rsidRPr="001E7AA4">
        <w:t>in 2008 to 44.6</w:t>
      </w:r>
      <w:r w:rsidR="00145E3C" w:rsidRPr="001E7AA4" w:rsidDel="0002240E">
        <w:t>%</w:t>
      </w:r>
      <w:r w:rsidR="0002240E" w:rsidRPr="001E7AA4">
        <w:t xml:space="preserve"> </w:t>
      </w:r>
      <w:r w:rsidR="00145E3C" w:rsidRPr="001E7AA4">
        <w:t>in 2022.</w:t>
      </w:r>
      <w:r w:rsidR="00145E3C" w:rsidRPr="001E7AA4">
        <w:rPr>
          <w:rStyle w:val="FootnoteReference"/>
        </w:rPr>
        <w:footnoteReference w:id="30"/>
      </w:r>
      <w:r w:rsidR="00145E3C" w:rsidRPr="001E7AA4">
        <w:t xml:space="preserve"> In achieving this, Australia has met the Bradley target of 40%. However, these qualifications are not evenly distributed across the nation, with both Queensland (3</w:t>
      </w:r>
      <w:r w:rsidR="00E84BB2" w:rsidRPr="001E7AA4">
        <w:t>5.8</w:t>
      </w:r>
      <w:r w:rsidR="00145E3C" w:rsidRPr="001E7AA4">
        <w:t xml:space="preserve">%) and Tasmania (37.7%) </w:t>
      </w:r>
      <w:r w:rsidR="004233FE" w:rsidRPr="001E7AA4">
        <w:t>still below 40%</w:t>
      </w:r>
      <w:r w:rsidR="00145E3C" w:rsidRPr="001E7AA4">
        <w:t>.</w:t>
      </w:r>
      <w:r w:rsidR="00145E3C" w:rsidRPr="001E7AA4">
        <w:rPr>
          <w:rStyle w:val="FootnoteReference"/>
        </w:rPr>
        <w:footnoteReference w:id="31"/>
      </w:r>
      <w:r w:rsidR="00145E3C" w:rsidRPr="001E7AA4">
        <w:t xml:space="preserve"> The Review’s analysis suggests further action is required to increase this attainment level to meet demand for qualifications in the future.</w:t>
      </w:r>
    </w:p>
    <w:p w14:paraId="0DC42088" w14:textId="77777777" w:rsidR="00BA0029" w:rsidRDefault="00BA0029">
      <w:pPr>
        <w:spacing w:after="160"/>
      </w:pPr>
      <w:r>
        <w:br w:type="page"/>
      </w:r>
    </w:p>
    <w:p w14:paraId="363713B9" w14:textId="5929DFA9" w:rsidR="00145E3C" w:rsidRPr="001E7AA4" w:rsidRDefault="00145E3C" w:rsidP="00BA0029">
      <w:pPr>
        <w:pStyle w:val="Caption"/>
      </w:pPr>
      <w:r w:rsidRPr="001E7AA4">
        <w:lastRenderedPageBreak/>
        <w:t xml:space="preserve">Figure 2.1-1: Proportion of people with a </w:t>
      </w:r>
      <w:r w:rsidR="001E25B6" w:rsidRPr="001E7AA4">
        <w:t>b</w:t>
      </w:r>
      <w:r w:rsidRPr="001E7AA4">
        <w:t>achelor or above qualification</w:t>
      </w:r>
      <w:r w:rsidR="00AB52AE" w:rsidRPr="001E7AA4">
        <w:t xml:space="preserve"> by year (1986 to 2022) and by jurisdiction (2022).</w:t>
      </w:r>
    </w:p>
    <w:p w14:paraId="61B2EB5E" w14:textId="77777777" w:rsidR="00C52937" w:rsidRDefault="00C52937" w:rsidP="00C52937">
      <w:pPr>
        <w:rPr>
          <w:sz w:val="18"/>
          <w:szCs w:val="18"/>
        </w:rPr>
        <w:sectPr w:rsidR="00C52937" w:rsidSect="000F5DA3">
          <w:headerReference w:type="even" r:id="rId18"/>
          <w:headerReference w:type="default" r:id="rId19"/>
          <w:footerReference w:type="even" r:id="rId20"/>
          <w:footerReference w:type="default" r:id="rId21"/>
          <w:headerReference w:type="first" r:id="rId22"/>
          <w:footerReference w:type="first" r:id="rId23"/>
          <w:pgSz w:w="11906" w:h="16838" w:code="9"/>
          <w:pgMar w:top="1225" w:right="1440" w:bottom="1440" w:left="1440" w:header="709" w:footer="709" w:gutter="0"/>
          <w:pgNumType w:start="0"/>
          <w:cols w:space="708"/>
          <w:titlePg/>
          <w:docGrid w:linePitch="360"/>
        </w:sectPr>
      </w:pPr>
    </w:p>
    <w:p w14:paraId="34DDC0FA" w14:textId="77777777" w:rsidR="00C52937" w:rsidRPr="001E7AA4" w:rsidRDefault="00C52937" w:rsidP="00C52937">
      <w:pPr>
        <w:rPr>
          <w:sz w:val="18"/>
          <w:szCs w:val="18"/>
        </w:rPr>
      </w:pPr>
      <w:r w:rsidRPr="001E7AA4">
        <w:rPr>
          <w:noProof/>
        </w:rPr>
        <w:drawing>
          <wp:inline distT="0" distB="0" distL="0" distR="0" wp14:anchorId="3A410798" wp14:editId="6BCD24B6">
            <wp:extent cx="2800800" cy="2296800"/>
            <wp:effectExtent l="0" t="0" r="0" b="0"/>
            <wp:docPr id="37" name="Picture 37" descr="Line graph showing the upwards trend in the proportion of people with a Bachelor aged 25-34 or above qualification from 1986 to 202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Line graph showing the upwards trend in the proportion of people with a Bachelor aged 25-34 or above qualification from 1986 to 2022. "/>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2800800" cy="2296800"/>
                    </a:xfrm>
                    <a:prstGeom prst="rect">
                      <a:avLst/>
                    </a:prstGeom>
                  </pic:spPr>
                </pic:pic>
              </a:graphicData>
            </a:graphic>
          </wp:inline>
        </w:drawing>
      </w:r>
      <w:r>
        <w:rPr>
          <w:sz w:val="18"/>
          <w:szCs w:val="18"/>
        </w:rPr>
        <w:br w:type="column"/>
      </w:r>
      <w:r w:rsidRPr="001E7AA4">
        <w:rPr>
          <w:noProof/>
        </w:rPr>
        <w:drawing>
          <wp:inline distT="0" distB="0" distL="0" distR="0" wp14:anchorId="380659CC" wp14:editId="66AFAE5D">
            <wp:extent cx="2815200" cy="2318400"/>
            <wp:effectExtent l="0" t="0" r="0" b="0"/>
            <wp:docPr id="1" name="Graphic 1" descr="Column graph showing the proportion of people with a Bachelor or above qualification by state and territory, 2022. The ACT has the highest proportion, followed by Victoria, NSW, NT, SA, WA, Tasmania and Q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Column graph showing the proportion of people with a Bachelor or above qualification by state and territory, 2022. The ACT has the highest proportion, followed by Victoria, NSW, NT, SA, WA, Tasmania and QLD."/>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2815200" cy="2318400"/>
                    </a:xfrm>
                    <a:prstGeom prst="rect">
                      <a:avLst/>
                    </a:prstGeom>
                  </pic:spPr>
                </pic:pic>
              </a:graphicData>
            </a:graphic>
          </wp:inline>
        </w:drawing>
      </w:r>
    </w:p>
    <w:p w14:paraId="27FC4DF1" w14:textId="77777777" w:rsidR="00C52937" w:rsidRDefault="00C52937" w:rsidP="00BA0029">
      <w:pPr>
        <w:pStyle w:val="Source"/>
        <w:sectPr w:rsidR="00C52937" w:rsidSect="00C52937">
          <w:type w:val="continuous"/>
          <w:pgSz w:w="11906" w:h="16838" w:code="9"/>
          <w:pgMar w:top="1225" w:right="1440" w:bottom="1440" w:left="1440" w:header="709" w:footer="709" w:gutter="0"/>
          <w:pgNumType w:start="0"/>
          <w:cols w:num="2" w:space="708"/>
          <w:titlePg/>
          <w:docGrid w:linePitch="360"/>
        </w:sectPr>
      </w:pPr>
    </w:p>
    <w:p w14:paraId="67026319" w14:textId="5BEA03FD" w:rsidR="00145E3C" w:rsidRPr="00E96855" w:rsidRDefault="00145E3C" w:rsidP="00BA0029">
      <w:pPr>
        <w:pStyle w:val="Source"/>
      </w:pPr>
      <w:r w:rsidRPr="00E96855">
        <w:t xml:space="preserve">Source: </w:t>
      </w:r>
      <w:r w:rsidR="0016107B" w:rsidRPr="00E96855">
        <w:t>Australian Bureau of Statistics (ABS)</w:t>
      </w:r>
      <w:r w:rsidR="00105F91" w:rsidRPr="00E96855">
        <w:t>,</w:t>
      </w:r>
      <w:r w:rsidR="0016107B" w:rsidRPr="00E96855">
        <w:t xml:space="preserve"> </w:t>
      </w:r>
      <w:hyperlink r:id="rId28" w:history="1">
        <w:r w:rsidR="0016107B" w:rsidRPr="00E96855">
          <w:rPr>
            <w:rStyle w:val="Hyperlink"/>
            <w:i/>
            <w:szCs w:val="18"/>
          </w:rPr>
          <w:t>Education and Work, Australia</w:t>
        </w:r>
      </w:hyperlink>
      <w:r w:rsidR="0016107B" w:rsidRPr="00E96855">
        <w:t xml:space="preserve"> [data set], 2022, accessed 8 June 2023.</w:t>
      </w:r>
    </w:p>
    <w:p w14:paraId="7A650F31" w14:textId="5D4C6C30" w:rsidR="004233FE" w:rsidRPr="001E7AA4" w:rsidRDefault="004233FE" w:rsidP="004233FE">
      <w:r w:rsidRPr="001E7AA4">
        <w:t>More broadly, the proportion of people with a Certificate 3 or higher qualification has also increased. In 2022, 73</w:t>
      </w:r>
      <w:r w:rsidRPr="001E7AA4" w:rsidDel="0002240E">
        <w:t>%</w:t>
      </w:r>
      <w:r w:rsidR="0002240E" w:rsidRPr="001E7AA4">
        <w:t xml:space="preserve"> </w:t>
      </w:r>
      <w:r w:rsidRPr="001E7AA4">
        <w:t xml:space="preserve">of </w:t>
      </w:r>
      <w:r w:rsidR="00D65519" w:rsidRPr="001E7AA4">
        <w:t xml:space="preserve">people aged </w:t>
      </w:r>
      <w:r w:rsidRPr="001E7AA4">
        <w:t>25 to 34 year</w:t>
      </w:r>
      <w:r w:rsidR="00D65519" w:rsidRPr="001E7AA4">
        <w:t>s</w:t>
      </w:r>
      <w:r w:rsidR="00400016">
        <w:t xml:space="preserve"> </w:t>
      </w:r>
      <w:r w:rsidRPr="001E7AA4">
        <w:t>old had a Certificate 3 or higher.</w:t>
      </w:r>
      <w:r w:rsidRPr="001E7AA4">
        <w:rPr>
          <w:rStyle w:val="FootnoteReference"/>
        </w:rPr>
        <w:footnoteReference w:id="32"/>
      </w:r>
    </w:p>
    <w:p w14:paraId="61A09983" w14:textId="7C840236" w:rsidR="00BA0029" w:rsidRDefault="00145E3C" w:rsidP="00145E3C">
      <w:r w:rsidRPr="001E7AA4">
        <w:t xml:space="preserve">According to the OECD’s measurement of tertiary attainment, </w:t>
      </w:r>
      <w:r w:rsidR="00A03BDB" w:rsidRPr="001E7AA4">
        <w:t xml:space="preserve">which focuses on </w:t>
      </w:r>
      <w:r w:rsidR="00400016">
        <w:t>d</w:t>
      </w:r>
      <w:r w:rsidR="00A03BDB" w:rsidRPr="001E7AA4">
        <w:t xml:space="preserve">iploma or higher qualifications, </w:t>
      </w:r>
      <w:r w:rsidRPr="001E7AA4">
        <w:t>Australia sits above the average, but trails comparator countries such as Korea, Canada and Japan (see Figure 2.1-2).</w:t>
      </w:r>
      <w:r w:rsidR="00D41D76" w:rsidRPr="001E7AA4">
        <w:rPr>
          <w:rStyle w:val="FootnoteReference"/>
        </w:rPr>
        <w:footnoteReference w:id="33"/>
      </w:r>
      <w:r w:rsidRPr="001E7AA4">
        <w:t xml:space="preserve"> Many of the countries with high tertiary attainment, especially Korea and Japan, are industrial powerhouses and have strong cultural commitments to further education. Canada has significant numbers of high</w:t>
      </w:r>
      <w:r w:rsidR="006D5138" w:rsidRPr="001E7AA4">
        <w:t>ly</w:t>
      </w:r>
      <w:r w:rsidRPr="001E7AA4">
        <w:t>-skilled migrants</w:t>
      </w:r>
      <w:r w:rsidR="002B3A7E">
        <w:t>:</w:t>
      </w:r>
      <w:r w:rsidRPr="001E7AA4">
        <w:t xml:space="preserve"> from 2016 to 2021 recent immigrants made up nearly half of the growth in the share of Canadians with a bachelor degree or higher.</w:t>
      </w:r>
      <w:r w:rsidRPr="001E7AA4">
        <w:rPr>
          <w:rStyle w:val="FootnoteReference"/>
        </w:rPr>
        <w:footnoteReference w:id="34"/>
      </w:r>
    </w:p>
    <w:p w14:paraId="51FD466F" w14:textId="77777777" w:rsidR="00BA0029" w:rsidRDefault="00BA0029">
      <w:pPr>
        <w:spacing w:after="160"/>
      </w:pPr>
      <w:r>
        <w:br w:type="page"/>
      </w:r>
    </w:p>
    <w:p w14:paraId="692E11DA" w14:textId="637CB39C" w:rsidR="00145E3C" w:rsidRPr="001E7AA4" w:rsidRDefault="00145E3C" w:rsidP="00BA0029">
      <w:pPr>
        <w:pStyle w:val="Caption"/>
      </w:pPr>
      <w:r w:rsidRPr="001E7AA4">
        <w:lastRenderedPageBreak/>
        <w:t xml:space="preserve">Figure 2.1-2: </w:t>
      </w:r>
      <w:r w:rsidR="00223035" w:rsidRPr="001E7AA4">
        <w:t>P</w:t>
      </w:r>
      <w:r w:rsidRPr="001E7AA4">
        <w:t>roportion of the population with a tertiary education* (25</w:t>
      </w:r>
      <w:r w:rsidR="00B24F70" w:rsidRPr="001E7AA4">
        <w:t xml:space="preserve"> to </w:t>
      </w:r>
      <w:r w:rsidRPr="001E7AA4">
        <w:t>34 year olds), 2021</w:t>
      </w:r>
      <w:r w:rsidR="00223035" w:rsidRPr="001E7AA4">
        <w:t>.</w:t>
      </w:r>
    </w:p>
    <w:p w14:paraId="276FBB2D" w14:textId="73E135C7" w:rsidR="00145E3C" w:rsidRPr="009115D1" w:rsidRDefault="00C52937" w:rsidP="00BA0029">
      <w:pPr>
        <w:pStyle w:val="Source"/>
      </w:pPr>
      <w:r w:rsidRPr="001E7AA4">
        <w:rPr>
          <w:noProof/>
        </w:rPr>
        <w:drawing>
          <wp:inline distT="0" distB="0" distL="0" distR="0" wp14:anchorId="21D90F4D" wp14:editId="14E2CD19">
            <wp:extent cx="5731510" cy="2155190"/>
            <wp:effectExtent l="0" t="0" r="0" b="0"/>
            <wp:docPr id="3" name="Picture 3" descr="Column graph showing Australia's proportion of the population aged 25-34 years old with a tertiary qualification compared to other OECD countries, using 2021 data. The graph shows that Australia ranks 10th in the world, with 54% of the population with a tertiary qualification. This is above the OECD average of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olumn graph showing Australia's proportion of the population aged 25-34 years old with a tertiary qualification compared to other OECD countries, using 2021 data. The graph shows that Australia ranks 10th in the world, with 54% of the population with a tertiary qualification. This is above the OECD average of 47%."/>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5731510" cy="2155190"/>
                    </a:xfrm>
                    <a:prstGeom prst="rect">
                      <a:avLst/>
                    </a:prstGeom>
                  </pic:spPr>
                </pic:pic>
              </a:graphicData>
            </a:graphic>
          </wp:inline>
        </w:drawing>
      </w:r>
      <w:r w:rsidR="009115D1" w:rsidRPr="00E96855">
        <w:t xml:space="preserve">* Tertiary education includes diploma or above degrees (diploma, advanced diploma, bachelor, graduate certificate, graduate diploma and </w:t>
      </w:r>
      <w:r w:rsidR="009115D1" w:rsidRPr="00C278D3">
        <w:t>postgraduate degree).</w:t>
      </w:r>
      <w:r w:rsidR="009115D1" w:rsidRPr="00C278D3">
        <w:br/>
      </w:r>
      <w:r w:rsidR="00145E3C" w:rsidRPr="00C278D3">
        <w:t xml:space="preserve">Source: </w:t>
      </w:r>
      <w:r w:rsidR="00223035" w:rsidRPr="00C278D3">
        <w:t>Organisation for Economi</w:t>
      </w:r>
      <w:r w:rsidR="00223035" w:rsidRPr="00E96855">
        <w:rPr>
          <w:rFonts w:ascii="Calibri" w:hAnsi="Calibri" w:cs="Calibri"/>
        </w:rPr>
        <w:t>c Co-Operation and Development (</w:t>
      </w:r>
      <w:r w:rsidR="00E77F89" w:rsidRPr="00E96855">
        <w:rPr>
          <w:rFonts w:ascii="Calibri" w:hAnsi="Calibri" w:cs="Calibri"/>
        </w:rPr>
        <w:t>OECD</w:t>
      </w:r>
      <w:r w:rsidR="00223035" w:rsidRPr="00E96855">
        <w:rPr>
          <w:rFonts w:ascii="Calibri" w:hAnsi="Calibri" w:cs="Calibri"/>
        </w:rPr>
        <w:t>),</w:t>
      </w:r>
      <w:r w:rsidR="00E77F89" w:rsidRPr="00E96855">
        <w:rPr>
          <w:rFonts w:ascii="Calibri" w:hAnsi="Calibri" w:cs="Calibri"/>
        </w:rPr>
        <w:t xml:space="preserve"> </w:t>
      </w:r>
      <w:hyperlink r:id="rId31" w:history="1">
        <w:r w:rsidR="00E77F89" w:rsidRPr="00E96855">
          <w:rPr>
            <w:rStyle w:val="Hyperlink"/>
            <w:rFonts w:ascii="Calibri" w:hAnsi="Calibri" w:cs="Calibri"/>
            <w:i/>
            <w:color w:val="7030A0"/>
            <w:szCs w:val="18"/>
          </w:rPr>
          <w:t>Population with tertiary education</w:t>
        </w:r>
      </w:hyperlink>
      <w:r w:rsidR="00E77F89" w:rsidRPr="00E96855">
        <w:rPr>
          <w:rFonts w:ascii="Calibri" w:hAnsi="Calibri" w:cs="Calibri"/>
          <w:i/>
        </w:rPr>
        <w:t xml:space="preserve"> </w:t>
      </w:r>
      <w:r w:rsidR="00E77F89" w:rsidRPr="00E96855">
        <w:rPr>
          <w:rFonts w:ascii="Calibri" w:hAnsi="Calibri" w:cs="Calibri"/>
        </w:rPr>
        <w:t>[data set],</w:t>
      </w:r>
      <w:r w:rsidR="002B3A7E">
        <w:rPr>
          <w:rFonts w:ascii="Calibri" w:hAnsi="Calibri" w:cs="Calibri"/>
        </w:rPr>
        <w:t xml:space="preserve"> </w:t>
      </w:r>
      <w:r w:rsidR="00E77F89" w:rsidRPr="00E96855">
        <w:rPr>
          <w:rFonts w:ascii="Calibri" w:hAnsi="Calibri" w:cs="Calibri"/>
        </w:rPr>
        <w:t xml:space="preserve">2023, accessed </w:t>
      </w:r>
      <w:r w:rsidR="00223035" w:rsidRPr="00E96855">
        <w:rPr>
          <w:rFonts w:ascii="Calibri" w:hAnsi="Calibri" w:cs="Calibri"/>
        </w:rPr>
        <w:t>7</w:t>
      </w:r>
      <w:r w:rsidR="00E77F89" w:rsidRPr="00E96855">
        <w:rPr>
          <w:rFonts w:ascii="Calibri" w:hAnsi="Calibri" w:cs="Calibri"/>
        </w:rPr>
        <w:t xml:space="preserve"> June 2023.</w:t>
      </w:r>
    </w:p>
    <w:p w14:paraId="523D719A" w14:textId="77777777" w:rsidR="00145E3C" w:rsidRPr="001E7AA4" w:rsidRDefault="00145E3C" w:rsidP="00F72CFE">
      <w:pPr>
        <w:pStyle w:val="Heading6"/>
        <w:rPr>
          <w:szCs w:val="28"/>
        </w:rPr>
      </w:pPr>
      <w:r w:rsidRPr="001E7AA4">
        <w:t>2.1.1.3 Risk of slower and falling attainment</w:t>
      </w:r>
    </w:p>
    <w:p w14:paraId="1A3BF684" w14:textId="047C6561" w:rsidR="00145E3C" w:rsidRPr="001E7AA4" w:rsidRDefault="00145E3C" w:rsidP="00145E3C">
      <w:r w:rsidRPr="001E7AA4">
        <w:t xml:space="preserve">Without significant change, there is a risk that Australia’s attainment levels may falter and even fall over the next decade. There are early signs of this deceleration. </w:t>
      </w:r>
      <w:r w:rsidRPr="001E7AA4">
        <w:rPr>
          <w:rStyle w:val="normaltextrun"/>
          <w:rFonts w:ascii="Calibri" w:hAnsi="Calibri" w:cs="Calibri"/>
        </w:rPr>
        <w:t>A</w:t>
      </w:r>
      <w:r w:rsidR="0086428E" w:rsidRPr="001E7AA4">
        <w:rPr>
          <w:rStyle w:val="normaltextrun"/>
          <w:rFonts w:ascii="Calibri" w:hAnsi="Calibri" w:cs="Calibri"/>
        </w:rPr>
        <w:t>s shown in Figure 2.1-3, a</w:t>
      </w:r>
      <w:r w:rsidRPr="001E7AA4">
        <w:rPr>
          <w:rStyle w:val="normaltextrun"/>
          <w:rFonts w:ascii="Calibri" w:hAnsi="Calibri" w:cs="Calibri"/>
        </w:rPr>
        <w:t xml:space="preserve">n increase in the number of domestic students (particularly those </w:t>
      </w:r>
      <w:r w:rsidR="005E4251" w:rsidRPr="001E7AA4">
        <w:rPr>
          <w:rStyle w:val="normaltextrun"/>
          <w:rFonts w:ascii="Calibri" w:hAnsi="Calibri" w:cs="Calibri"/>
        </w:rPr>
        <w:t xml:space="preserve">in the </w:t>
      </w:r>
      <w:r w:rsidRPr="001E7AA4">
        <w:rPr>
          <w:rStyle w:val="normaltextrun"/>
          <w:rFonts w:ascii="Calibri" w:hAnsi="Calibri" w:cs="Calibri"/>
        </w:rPr>
        <w:t>19 to 24 year</w:t>
      </w:r>
      <w:r w:rsidR="002B3A7E">
        <w:rPr>
          <w:rStyle w:val="normaltextrun"/>
          <w:rFonts w:ascii="Calibri" w:hAnsi="Calibri" w:cs="Calibri"/>
        </w:rPr>
        <w:t>s</w:t>
      </w:r>
      <w:r w:rsidR="005E4251" w:rsidRPr="001E7AA4">
        <w:rPr>
          <w:rStyle w:val="normaltextrun"/>
          <w:rFonts w:ascii="Calibri" w:hAnsi="Calibri" w:cs="Calibri"/>
        </w:rPr>
        <w:t xml:space="preserve"> age range</w:t>
      </w:r>
      <w:r w:rsidRPr="001E7AA4">
        <w:rPr>
          <w:rStyle w:val="normaltextrun"/>
          <w:rFonts w:ascii="Calibri" w:hAnsi="Calibri" w:cs="Calibri"/>
        </w:rPr>
        <w:t xml:space="preserve">) completing a bachelor degree for the first time from 2008 to 2018 drove the increase in attainment over the last decade. </w:t>
      </w:r>
      <w:r w:rsidR="00632104" w:rsidRPr="001E7AA4">
        <w:rPr>
          <w:rStyle w:val="normaltextrun"/>
          <w:rFonts w:ascii="Calibri" w:hAnsi="Calibri" w:cs="Calibri"/>
        </w:rPr>
        <w:t xml:space="preserve">However, the most </w:t>
      </w:r>
      <w:r w:rsidRPr="001E7AA4">
        <w:t xml:space="preserve">recent graduations data shows a fall in the number of domestic students graduating with their first bachelor degree, with completions </w:t>
      </w:r>
      <w:r w:rsidR="008245B4" w:rsidRPr="001E7AA4">
        <w:t>in 2021</w:t>
      </w:r>
      <w:r w:rsidRPr="001E7AA4">
        <w:t xml:space="preserve"> at their lowest since 2014. </w:t>
      </w:r>
      <w:r w:rsidR="00632104" w:rsidRPr="001E7AA4">
        <w:t xml:space="preserve">To make matters worse, </w:t>
      </w:r>
      <w:r w:rsidRPr="001E7AA4">
        <w:t xml:space="preserve">demand for higher education has fallen in recent years, </w:t>
      </w:r>
      <w:r w:rsidR="00632104" w:rsidRPr="001E7AA4">
        <w:t>and this</w:t>
      </w:r>
      <w:r w:rsidRPr="001E7AA4">
        <w:t xml:space="preserve"> </w:t>
      </w:r>
      <w:r w:rsidR="00632104" w:rsidRPr="001E7AA4">
        <w:t xml:space="preserve">will likely produce </w:t>
      </w:r>
      <w:r w:rsidRPr="001E7AA4">
        <w:t>a further fall in graduations</w:t>
      </w:r>
      <w:r w:rsidR="00632104" w:rsidRPr="001E7AA4">
        <w:t xml:space="preserve"> over the next</w:t>
      </w:r>
      <w:r w:rsidRPr="001E7AA4">
        <w:t xml:space="preserve"> few years.</w:t>
      </w:r>
      <w:r w:rsidRPr="001E7AA4">
        <w:rPr>
          <w:rStyle w:val="FootnoteReference"/>
        </w:rPr>
        <w:footnoteReference w:id="35"/>
      </w:r>
      <w:r w:rsidRPr="001E7AA4">
        <w:t xml:space="preserve"> </w:t>
      </w:r>
    </w:p>
    <w:p w14:paraId="096CEA11" w14:textId="714E5F5E" w:rsidR="00145E3C" w:rsidRPr="001E7AA4" w:rsidRDefault="00145E3C" w:rsidP="00C278D3">
      <w:pPr>
        <w:pStyle w:val="Caption"/>
      </w:pPr>
      <w:r w:rsidRPr="001E7AA4">
        <w:t xml:space="preserve">Figure 2.1-3: </w:t>
      </w:r>
      <w:r w:rsidR="006B6D73" w:rsidRPr="001E7AA4">
        <w:t>N</w:t>
      </w:r>
      <w:r w:rsidRPr="001E7AA4">
        <w:t>umber of domestic students completing a bachelor degree for the first time</w:t>
      </w:r>
      <w:r w:rsidR="00BB1E1D" w:rsidRPr="001E7AA4">
        <w:t>, 2005 to 2021</w:t>
      </w:r>
      <w:r w:rsidRPr="001E7AA4">
        <w:t xml:space="preserve">. </w:t>
      </w:r>
    </w:p>
    <w:p w14:paraId="18F34DF9" w14:textId="77DC67B0" w:rsidR="00145E3C" w:rsidRPr="001E7AA4" w:rsidRDefault="00C52937" w:rsidP="00C278D3">
      <w:pPr>
        <w:pStyle w:val="Source"/>
      </w:pPr>
      <w:bookmarkStart w:id="85" w:name="_Toc136169131"/>
      <w:r w:rsidRPr="001E7AA4">
        <w:rPr>
          <w:noProof/>
        </w:rPr>
        <w:drawing>
          <wp:inline distT="0" distB="0" distL="0" distR="0" wp14:anchorId="5D82BEC6" wp14:editId="7FDF2512">
            <wp:extent cx="5731510" cy="2252980"/>
            <wp:effectExtent l="0" t="0" r="0" b="0"/>
            <wp:docPr id="38" name="Picture 38" descr="Line graph showing the rise and fall in the number of domestic students completing a bachelor degree for the first time from 2005 to 2021, by total and by 19-24 year olds. For both groups, the graph shows a dip in 2007, a peak in 2019 and a downward trend thereaf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Line graph showing the rise and fall in the number of domestic students completing a bachelor degree for the first time from 2005 to 2021, by total and by 19-24 year olds. For both groups, the graph shows a dip in 2007, a peak in 2019 and a downward trend thereafter. "/>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5731510" cy="2252980"/>
                    </a:xfrm>
                    <a:prstGeom prst="rect">
                      <a:avLst/>
                    </a:prstGeom>
                  </pic:spPr>
                </pic:pic>
              </a:graphicData>
            </a:graphic>
          </wp:inline>
        </w:drawing>
      </w:r>
      <w:r w:rsidR="00145E3C" w:rsidRPr="001E7AA4">
        <w:t xml:space="preserve">Source: </w:t>
      </w:r>
      <w:r w:rsidR="00367FA7" w:rsidRPr="001E7AA4">
        <w:t xml:space="preserve">Department of Education, </w:t>
      </w:r>
      <w:r w:rsidR="00367FA7" w:rsidRPr="001E7AA4">
        <w:rPr>
          <w:i/>
        </w:rPr>
        <w:t xml:space="preserve">Higher </w:t>
      </w:r>
      <w:r w:rsidR="00420640" w:rsidRPr="001E7AA4">
        <w:rPr>
          <w:i/>
        </w:rPr>
        <w:t>Education Statistics –Student Data</w:t>
      </w:r>
      <w:r w:rsidR="00367FA7" w:rsidRPr="001E7AA4">
        <w:rPr>
          <w:i/>
        </w:rPr>
        <w:t xml:space="preserve"> </w:t>
      </w:r>
      <w:r w:rsidR="00367FA7" w:rsidRPr="001E7AA4">
        <w:t>[unpublished data], Department of Education, Canberra, 2023</w:t>
      </w:r>
      <w:r w:rsidR="00145E3C" w:rsidRPr="001E7AA4">
        <w:t xml:space="preserve">. </w:t>
      </w:r>
    </w:p>
    <w:p w14:paraId="66FF5345" w14:textId="23C6DB2B" w:rsidR="00603DBF" w:rsidRPr="001E7AA4" w:rsidRDefault="008C0659" w:rsidP="00F72CFE">
      <w:pPr>
        <w:pStyle w:val="Heading6"/>
      </w:pPr>
      <w:r w:rsidRPr="001E7AA4">
        <w:t>2.1.1.4</w:t>
      </w:r>
      <w:r w:rsidR="00180315" w:rsidRPr="001E7AA4">
        <w:t xml:space="preserve"> What </w:t>
      </w:r>
      <w:r w:rsidR="00137B3B" w:rsidRPr="001E7AA4">
        <w:t xml:space="preserve">magnitude of growth </w:t>
      </w:r>
      <w:r w:rsidR="00180315" w:rsidRPr="001E7AA4">
        <w:t>is needed</w:t>
      </w:r>
      <w:r w:rsidR="00490C80" w:rsidRPr="001E7AA4">
        <w:t>?</w:t>
      </w:r>
    </w:p>
    <w:p w14:paraId="7ECA1FCC" w14:textId="1E5A13C9" w:rsidR="00644494" w:rsidRPr="001E7AA4" w:rsidRDefault="0053107D" w:rsidP="00FB72C7">
      <w:pPr>
        <w:rPr>
          <w:rFonts w:ascii="Calibri" w:eastAsia="Times New Roman" w:hAnsi="Calibri" w:cs="Calibri"/>
          <w:color w:val="000000"/>
          <w:lang w:eastAsia="en-GB"/>
        </w:rPr>
      </w:pPr>
      <w:r w:rsidRPr="001E7AA4">
        <w:rPr>
          <w:rFonts w:ascii="Calibri" w:eastAsia="Times New Roman" w:hAnsi="Calibri" w:cs="Calibri"/>
          <w:color w:val="000000" w:themeColor="text1"/>
          <w:lang w:eastAsia="en-GB"/>
        </w:rPr>
        <w:t>To support the development of a new target</w:t>
      </w:r>
      <w:r w:rsidR="002D2CD7" w:rsidRPr="001E7AA4">
        <w:rPr>
          <w:rFonts w:ascii="Calibri" w:eastAsia="Times New Roman" w:hAnsi="Calibri" w:cs="Calibri"/>
          <w:color w:val="000000" w:themeColor="text1"/>
          <w:lang w:eastAsia="en-GB"/>
        </w:rPr>
        <w:t>,</w:t>
      </w:r>
      <w:r w:rsidRPr="001E7AA4">
        <w:rPr>
          <w:rFonts w:ascii="Calibri" w:eastAsia="Times New Roman" w:hAnsi="Calibri" w:cs="Calibri"/>
          <w:color w:val="000000" w:themeColor="text1"/>
          <w:lang w:eastAsia="en-GB"/>
        </w:rPr>
        <w:t xml:space="preserve"> t</w:t>
      </w:r>
      <w:r w:rsidR="003545D6" w:rsidRPr="001E7AA4">
        <w:rPr>
          <w:rFonts w:ascii="Calibri" w:eastAsia="Times New Roman" w:hAnsi="Calibri" w:cs="Calibri"/>
          <w:color w:val="000000" w:themeColor="text1"/>
          <w:lang w:eastAsia="en-GB"/>
        </w:rPr>
        <w:t xml:space="preserve">he Review </w:t>
      </w:r>
      <w:r w:rsidRPr="001E7AA4">
        <w:rPr>
          <w:rFonts w:ascii="Calibri" w:eastAsia="Times New Roman" w:hAnsi="Calibri" w:cs="Calibri"/>
          <w:color w:val="000000" w:themeColor="text1"/>
          <w:lang w:eastAsia="en-GB"/>
        </w:rPr>
        <w:t>has sought analysis from</w:t>
      </w:r>
      <w:r w:rsidR="00490C80" w:rsidRPr="001E7AA4">
        <w:rPr>
          <w:rFonts w:ascii="Calibri" w:eastAsia="Times New Roman" w:hAnsi="Calibri" w:cs="Calibri"/>
          <w:color w:val="000000" w:themeColor="text1"/>
          <w:lang w:eastAsia="en-GB"/>
        </w:rPr>
        <w:t xml:space="preserve"> BIS OE</w:t>
      </w:r>
      <w:r w:rsidR="0012218F" w:rsidRPr="001E7AA4">
        <w:rPr>
          <w:rFonts w:ascii="Calibri" w:eastAsia="Times New Roman" w:hAnsi="Calibri" w:cs="Calibri"/>
          <w:color w:val="000000" w:themeColor="text1"/>
          <w:lang w:eastAsia="en-GB"/>
        </w:rPr>
        <w:t>, which</w:t>
      </w:r>
      <w:r w:rsidR="00A75A64" w:rsidRPr="001E7AA4">
        <w:rPr>
          <w:rFonts w:ascii="Calibri" w:eastAsia="Times New Roman" w:hAnsi="Calibri" w:cs="Calibri"/>
          <w:color w:val="000000" w:themeColor="text1"/>
          <w:lang w:eastAsia="en-GB"/>
        </w:rPr>
        <w:t xml:space="preserve"> suggest</w:t>
      </w:r>
      <w:r w:rsidR="0012218F" w:rsidRPr="001E7AA4">
        <w:rPr>
          <w:rFonts w:ascii="Calibri" w:eastAsia="Times New Roman" w:hAnsi="Calibri" w:cs="Calibri"/>
          <w:color w:val="000000" w:themeColor="text1"/>
          <w:lang w:eastAsia="en-GB"/>
        </w:rPr>
        <w:t>s</w:t>
      </w:r>
      <w:r w:rsidR="00A75A64" w:rsidRPr="001E7AA4">
        <w:rPr>
          <w:rFonts w:ascii="Calibri" w:eastAsia="Times New Roman" w:hAnsi="Calibri" w:cs="Calibri"/>
          <w:color w:val="000000" w:themeColor="text1"/>
          <w:lang w:eastAsia="en-GB"/>
        </w:rPr>
        <w:t xml:space="preserve"> that Australia will require</w:t>
      </w:r>
      <w:r w:rsidR="00490C80" w:rsidRPr="001E7AA4">
        <w:rPr>
          <w:rFonts w:ascii="Calibri" w:eastAsia="Times New Roman" w:hAnsi="Calibri" w:cs="Calibri"/>
          <w:color w:val="000000" w:themeColor="text1"/>
          <w:lang w:eastAsia="en-GB"/>
        </w:rPr>
        <w:t xml:space="preserve"> </w:t>
      </w:r>
      <w:r w:rsidR="007E451A" w:rsidRPr="001E7AA4">
        <w:rPr>
          <w:rFonts w:ascii="Calibri" w:eastAsia="Times New Roman" w:hAnsi="Calibri" w:cs="Calibri"/>
          <w:color w:val="000000" w:themeColor="text1"/>
          <w:lang w:eastAsia="en-GB"/>
        </w:rPr>
        <w:t>a</w:t>
      </w:r>
      <w:r w:rsidR="00137B3B" w:rsidRPr="001E7AA4">
        <w:rPr>
          <w:rFonts w:ascii="Calibri" w:eastAsia="Times New Roman" w:hAnsi="Calibri" w:cs="Calibri"/>
          <w:color w:val="000000" w:themeColor="text1"/>
          <w:lang w:eastAsia="en-GB"/>
        </w:rPr>
        <w:t xml:space="preserve"> </w:t>
      </w:r>
      <w:r w:rsidR="0038483B" w:rsidRPr="001E7AA4">
        <w:rPr>
          <w:rFonts w:ascii="Calibri" w:eastAsia="Times New Roman" w:hAnsi="Calibri" w:cs="Calibri"/>
          <w:color w:val="000000" w:themeColor="text1"/>
          <w:lang w:eastAsia="en-GB"/>
        </w:rPr>
        <w:t xml:space="preserve">workforce-wide higher education attainment rate of 55% by </w:t>
      </w:r>
      <w:r w:rsidR="0038483B" w:rsidRPr="001E7AA4">
        <w:rPr>
          <w:rFonts w:ascii="Calibri" w:eastAsia="Times New Roman" w:hAnsi="Calibri" w:cs="Calibri"/>
          <w:color w:val="000000" w:themeColor="text1"/>
          <w:lang w:eastAsia="en-GB"/>
        </w:rPr>
        <w:lastRenderedPageBreak/>
        <w:t>around 2050. This implies an even higher attainment rate for young people</w:t>
      </w:r>
      <w:r w:rsidRPr="001E7AA4">
        <w:rPr>
          <w:rFonts w:ascii="Calibri" w:eastAsia="Times New Roman" w:hAnsi="Calibri" w:cs="Calibri"/>
          <w:color w:val="000000" w:themeColor="text1"/>
          <w:lang w:eastAsia="en-GB"/>
        </w:rPr>
        <w:t>. This is</w:t>
      </w:r>
      <w:r w:rsidR="003545D6" w:rsidRPr="001E7AA4">
        <w:rPr>
          <w:rFonts w:ascii="Calibri" w:eastAsia="Times New Roman" w:hAnsi="Calibri" w:cs="Calibri"/>
          <w:color w:val="000000" w:themeColor="text1"/>
          <w:lang w:eastAsia="en-GB"/>
        </w:rPr>
        <w:t xml:space="preserve"> a good starting point</w:t>
      </w:r>
      <w:r w:rsidR="00137B3B" w:rsidRPr="001E7AA4">
        <w:rPr>
          <w:rFonts w:ascii="Calibri" w:eastAsia="Times New Roman" w:hAnsi="Calibri" w:cs="Calibri"/>
          <w:color w:val="000000" w:themeColor="text1"/>
          <w:lang w:eastAsia="en-GB"/>
        </w:rPr>
        <w:t xml:space="preserve"> to consider </w:t>
      </w:r>
      <w:r w:rsidR="00EC4515" w:rsidRPr="001E7AA4">
        <w:rPr>
          <w:rFonts w:ascii="Calibri" w:eastAsia="Times New Roman" w:hAnsi="Calibri" w:cs="Calibri"/>
          <w:color w:val="000000" w:themeColor="text1"/>
          <w:lang w:eastAsia="en-GB"/>
        </w:rPr>
        <w:t xml:space="preserve">what an appropriate attainment level could be and </w:t>
      </w:r>
      <w:r w:rsidR="00137B3B" w:rsidRPr="001E7AA4">
        <w:rPr>
          <w:rFonts w:ascii="Calibri" w:eastAsia="Times New Roman" w:hAnsi="Calibri" w:cs="Calibri"/>
          <w:color w:val="000000" w:themeColor="text1"/>
          <w:lang w:eastAsia="en-GB"/>
        </w:rPr>
        <w:t>the magnitude of growth required in the higher education system</w:t>
      </w:r>
      <w:r w:rsidR="00A75A64" w:rsidRPr="001E7AA4">
        <w:rPr>
          <w:rFonts w:ascii="Calibri" w:eastAsia="Times New Roman" w:hAnsi="Calibri" w:cs="Calibri"/>
          <w:color w:val="000000" w:themeColor="text1"/>
          <w:lang w:eastAsia="en-GB"/>
        </w:rPr>
        <w:t>.</w:t>
      </w:r>
      <w:r w:rsidR="00A75A64" w:rsidRPr="001E7AA4">
        <w:rPr>
          <w:rStyle w:val="FootnoteReference"/>
          <w:rFonts w:ascii="Calibri" w:eastAsia="Times New Roman" w:hAnsi="Calibri" w:cs="Calibri"/>
          <w:color w:val="000000"/>
          <w:lang w:eastAsia="en-GB"/>
        </w:rPr>
        <w:footnoteReference w:id="36"/>
      </w:r>
      <w:r w:rsidR="00A75A64" w:rsidRPr="001E7AA4">
        <w:rPr>
          <w:rFonts w:ascii="Calibri" w:eastAsia="Times New Roman" w:hAnsi="Calibri" w:cs="Calibri"/>
          <w:color w:val="000000" w:themeColor="text1"/>
          <w:lang w:eastAsia="en-GB"/>
        </w:rPr>
        <w:t> </w:t>
      </w:r>
      <w:r w:rsidR="00152063" w:rsidRPr="001E7AA4">
        <w:rPr>
          <w:rFonts w:ascii="Calibri" w:eastAsia="Times New Roman" w:hAnsi="Calibri" w:cs="Calibri"/>
          <w:color w:val="000000" w:themeColor="text1"/>
          <w:lang w:eastAsia="en-GB"/>
        </w:rPr>
        <w:t xml:space="preserve"> </w:t>
      </w:r>
    </w:p>
    <w:p w14:paraId="3AC75103" w14:textId="7BF33B7A" w:rsidR="0030095E" w:rsidRPr="001E7AA4" w:rsidRDefault="00137B3B" w:rsidP="00FB72C7">
      <w:pPr>
        <w:rPr>
          <w:rFonts w:ascii="Calibri" w:eastAsia="Times New Roman" w:hAnsi="Calibri" w:cs="Calibri"/>
          <w:color w:val="000000"/>
          <w:lang w:eastAsia="en-GB"/>
        </w:rPr>
      </w:pPr>
      <w:r w:rsidRPr="001E7AA4">
        <w:rPr>
          <w:rFonts w:ascii="Calibri" w:eastAsia="Times New Roman" w:hAnsi="Calibri" w:cs="Calibri"/>
          <w:color w:val="000000"/>
          <w:lang w:eastAsia="en-GB"/>
        </w:rPr>
        <w:t>In recent years</w:t>
      </w:r>
      <w:r w:rsidR="00657709" w:rsidRPr="001E7AA4">
        <w:rPr>
          <w:rFonts w:ascii="Calibri" w:eastAsia="Times New Roman" w:hAnsi="Calibri" w:cs="Calibri"/>
          <w:color w:val="000000"/>
          <w:lang w:eastAsia="en-GB"/>
        </w:rPr>
        <w:t xml:space="preserve">, </w:t>
      </w:r>
      <w:r w:rsidR="00F446ED" w:rsidRPr="001E7AA4">
        <w:rPr>
          <w:rFonts w:ascii="Calibri" w:eastAsia="Times New Roman" w:hAnsi="Calibri" w:cs="Calibri"/>
          <w:color w:val="000000"/>
          <w:lang w:eastAsia="en-GB"/>
        </w:rPr>
        <w:t>enrolment growth has slowed</w:t>
      </w:r>
      <w:r w:rsidR="00665116" w:rsidRPr="001E7AA4">
        <w:rPr>
          <w:rFonts w:ascii="Calibri" w:eastAsia="Times New Roman" w:hAnsi="Calibri" w:cs="Calibri"/>
          <w:color w:val="000000"/>
          <w:lang w:eastAsia="en-GB"/>
        </w:rPr>
        <w:t xml:space="preserve"> and</w:t>
      </w:r>
      <w:r w:rsidR="002F0D82" w:rsidRPr="001E7AA4">
        <w:rPr>
          <w:rFonts w:ascii="Calibri" w:eastAsia="Times New Roman" w:hAnsi="Calibri" w:cs="Calibri"/>
          <w:color w:val="000000"/>
          <w:lang w:eastAsia="en-GB"/>
        </w:rPr>
        <w:t>,</w:t>
      </w:r>
      <w:r w:rsidR="00F446ED" w:rsidRPr="001E7AA4">
        <w:rPr>
          <w:rFonts w:ascii="Calibri" w:eastAsia="Times New Roman" w:hAnsi="Calibri" w:cs="Calibri"/>
          <w:color w:val="000000"/>
          <w:lang w:eastAsia="en-GB"/>
        </w:rPr>
        <w:t xml:space="preserve"> as shown </w:t>
      </w:r>
      <w:r w:rsidR="004F67ED" w:rsidRPr="001E7AA4">
        <w:rPr>
          <w:rFonts w:ascii="Calibri" w:eastAsia="Times New Roman" w:hAnsi="Calibri" w:cs="Calibri"/>
          <w:color w:val="000000"/>
          <w:lang w:eastAsia="en-GB"/>
        </w:rPr>
        <w:t>in Figure 2.1-3</w:t>
      </w:r>
      <w:r w:rsidR="00F446ED" w:rsidRPr="001E7AA4">
        <w:rPr>
          <w:rFonts w:ascii="Calibri" w:eastAsia="Times New Roman" w:hAnsi="Calibri" w:cs="Calibri"/>
          <w:color w:val="000000"/>
          <w:lang w:eastAsia="en-GB"/>
        </w:rPr>
        <w:t xml:space="preserve"> above,</w:t>
      </w:r>
      <w:r w:rsidR="00FA28B0" w:rsidRPr="001E7AA4">
        <w:rPr>
          <w:rFonts w:ascii="Calibri" w:eastAsia="Times New Roman" w:hAnsi="Calibri" w:cs="Calibri"/>
          <w:color w:val="000000"/>
          <w:lang w:eastAsia="en-GB"/>
        </w:rPr>
        <w:t xml:space="preserve"> </w:t>
      </w:r>
      <w:r w:rsidR="00F446ED" w:rsidRPr="001E7AA4">
        <w:rPr>
          <w:rFonts w:ascii="Calibri" w:eastAsia="Times New Roman" w:hAnsi="Calibri" w:cs="Calibri"/>
          <w:color w:val="000000"/>
          <w:lang w:eastAsia="en-GB"/>
        </w:rPr>
        <w:t xml:space="preserve">the number of people completing a bachelor degree </w:t>
      </w:r>
      <w:r w:rsidR="006F685F" w:rsidRPr="001E7AA4">
        <w:rPr>
          <w:rFonts w:ascii="Calibri" w:eastAsia="Times New Roman" w:hAnsi="Calibri" w:cs="Calibri"/>
          <w:color w:val="000000"/>
          <w:lang w:eastAsia="en-GB"/>
        </w:rPr>
        <w:t>is falling</w:t>
      </w:r>
      <w:r w:rsidR="00510DB4" w:rsidRPr="001E7AA4">
        <w:rPr>
          <w:rFonts w:ascii="Calibri" w:eastAsia="Times New Roman" w:hAnsi="Calibri" w:cs="Calibri"/>
          <w:color w:val="000000"/>
          <w:lang w:eastAsia="en-GB"/>
        </w:rPr>
        <w:t>.</w:t>
      </w:r>
      <w:r w:rsidR="0091704E" w:rsidRPr="001E7AA4">
        <w:rPr>
          <w:rFonts w:ascii="Calibri" w:eastAsia="Times New Roman" w:hAnsi="Calibri" w:cs="Calibri"/>
          <w:color w:val="000000"/>
          <w:lang w:eastAsia="en-GB"/>
        </w:rPr>
        <w:t xml:space="preserve"> </w:t>
      </w:r>
      <w:r w:rsidR="00FA28B0" w:rsidRPr="001E7AA4">
        <w:rPr>
          <w:rFonts w:ascii="Calibri" w:eastAsia="Times New Roman" w:hAnsi="Calibri" w:cs="Calibri"/>
          <w:color w:val="000000"/>
          <w:lang w:eastAsia="en-GB"/>
        </w:rPr>
        <w:t>2023</w:t>
      </w:r>
      <w:r w:rsidRPr="001E7AA4">
        <w:rPr>
          <w:rFonts w:ascii="Calibri" w:eastAsia="Times New Roman" w:hAnsi="Calibri" w:cs="Calibri"/>
          <w:color w:val="000000"/>
          <w:lang w:eastAsia="en-GB"/>
        </w:rPr>
        <w:t xml:space="preserve"> d</w:t>
      </w:r>
      <w:r w:rsidR="002D17B9" w:rsidRPr="001E7AA4">
        <w:rPr>
          <w:rFonts w:ascii="Calibri" w:eastAsia="Times New Roman" w:hAnsi="Calibri" w:cs="Calibri"/>
          <w:color w:val="000000"/>
          <w:lang w:eastAsia="en-GB"/>
        </w:rPr>
        <w:t xml:space="preserve">emand for higher education has </w:t>
      </w:r>
      <w:r w:rsidR="00510DB4" w:rsidRPr="001E7AA4">
        <w:rPr>
          <w:rFonts w:ascii="Calibri" w:eastAsia="Times New Roman" w:hAnsi="Calibri" w:cs="Calibri"/>
          <w:color w:val="000000"/>
          <w:lang w:eastAsia="en-GB"/>
        </w:rPr>
        <w:t>also</w:t>
      </w:r>
      <w:r w:rsidR="002D17B9" w:rsidRPr="001E7AA4">
        <w:rPr>
          <w:rFonts w:ascii="Calibri" w:eastAsia="Times New Roman" w:hAnsi="Calibri" w:cs="Calibri"/>
          <w:color w:val="000000"/>
          <w:lang w:eastAsia="en-GB"/>
        </w:rPr>
        <w:t xml:space="preserve"> fallen</w:t>
      </w:r>
      <w:r w:rsidR="004F67ED" w:rsidRPr="001E7AA4">
        <w:rPr>
          <w:rFonts w:ascii="Calibri" w:eastAsia="Times New Roman" w:hAnsi="Calibri" w:cs="Calibri"/>
          <w:color w:val="000000"/>
          <w:lang w:eastAsia="en-GB"/>
        </w:rPr>
        <w:t>,</w:t>
      </w:r>
      <w:r w:rsidR="002D17B9" w:rsidRPr="001E7AA4">
        <w:rPr>
          <w:rFonts w:ascii="Calibri" w:eastAsia="Times New Roman" w:hAnsi="Calibri" w:cs="Calibri"/>
          <w:color w:val="000000"/>
          <w:lang w:eastAsia="en-GB"/>
        </w:rPr>
        <w:t xml:space="preserve"> in line with the strengthening economy</w:t>
      </w:r>
      <w:r w:rsidR="00183176" w:rsidRPr="001E7AA4">
        <w:rPr>
          <w:rFonts w:ascii="Calibri" w:eastAsia="Times New Roman" w:hAnsi="Calibri" w:cs="Calibri"/>
          <w:color w:val="000000"/>
          <w:lang w:eastAsia="en-GB"/>
        </w:rPr>
        <w:t xml:space="preserve"> and strong employment growth</w:t>
      </w:r>
      <w:r w:rsidR="00F446ED" w:rsidRPr="001E7AA4">
        <w:rPr>
          <w:rFonts w:ascii="Calibri" w:eastAsia="Times New Roman" w:hAnsi="Calibri" w:cs="Calibri"/>
          <w:color w:val="000000"/>
          <w:lang w:eastAsia="en-GB"/>
        </w:rPr>
        <w:t>.</w:t>
      </w:r>
      <w:r w:rsidR="00657709" w:rsidRPr="001E7AA4">
        <w:rPr>
          <w:rFonts w:ascii="Calibri" w:eastAsia="Times New Roman" w:hAnsi="Calibri" w:cs="Calibri"/>
          <w:color w:val="000000"/>
          <w:lang w:eastAsia="en-GB"/>
        </w:rPr>
        <w:t xml:space="preserve"> </w:t>
      </w:r>
      <w:r w:rsidR="00ED4369" w:rsidRPr="001E7AA4">
        <w:rPr>
          <w:rFonts w:ascii="Calibri" w:eastAsia="Times New Roman" w:hAnsi="Calibri" w:cs="Calibri"/>
          <w:color w:val="000000"/>
          <w:lang w:eastAsia="en-GB"/>
        </w:rPr>
        <w:t>If Australia is to a</w:t>
      </w:r>
      <w:r w:rsidR="00FB72C7" w:rsidRPr="001E7AA4">
        <w:rPr>
          <w:rFonts w:ascii="Calibri" w:eastAsia="Times New Roman" w:hAnsi="Calibri" w:cs="Calibri"/>
          <w:color w:val="000000"/>
          <w:lang w:eastAsia="en-GB"/>
        </w:rPr>
        <w:t>chiev</w:t>
      </w:r>
      <w:r w:rsidR="00510DB4" w:rsidRPr="001E7AA4">
        <w:rPr>
          <w:rFonts w:ascii="Calibri" w:eastAsia="Times New Roman" w:hAnsi="Calibri" w:cs="Calibri"/>
          <w:color w:val="000000"/>
          <w:lang w:eastAsia="en-GB"/>
        </w:rPr>
        <w:t>e</w:t>
      </w:r>
      <w:r w:rsidR="00FB72C7" w:rsidRPr="001E7AA4">
        <w:rPr>
          <w:rFonts w:ascii="Calibri" w:eastAsia="Times New Roman" w:hAnsi="Calibri" w:cs="Calibri"/>
          <w:color w:val="000000"/>
          <w:lang w:eastAsia="en-GB"/>
        </w:rPr>
        <w:t xml:space="preserve"> </w:t>
      </w:r>
      <w:r w:rsidR="00EA6311" w:rsidRPr="001E7AA4">
        <w:rPr>
          <w:rFonts w:ascii="Calibri" w:eastAsia="Times New Roman" w:hAnsi="Calibri" w:cs="Calibri"/>
          <w:color w:val="000000"/>
          <w:lang w:eastAsia="en-GB"/>
        </w:rPr>
        <w:t>an attainment level of 55%</w:t>
      </w:r>
      <w:r w:rsidR="00B322A1" w:rsidRPr="001E7AA4">
        <w:rPr>
          <w:rFonts w:ascii="Calibri" w:eastAsia="Times New Roman" w:hAnsi="Calibri" w:cs="Calibri"/>
          <w:color w:val="000000"/>
          <w:lang w:eastAsia="en-GB"/>
        </w:rPr>
        <w:t>,</w:t>
      </w:r>
      <w:r w:rsidR="004F4015" w:rsidRPr="001E7AA4">
        <w:rPr>
          <w:rFonts w:ascii="Calibri" w:eastAsia="Times New Roman" w:hAnsi="Calibri" w:cs="Calibri"/>
          <w:color w:val="000000"/>
          <w:lang w:eastAsia="en-GB"/>
        </w:rPr>
        <w:t xml:space="preserve"> </w:t>
      </w:r>
      <w:r w:rsidR="00D92EDF" w:rsidRPr="001E7AA4">
        <w:rPr>
          <w:rFonts w:ascii="Calibri" w:eastAsia="Times New Roman" w:hAnsi="Calibri" w:cs="Calibri"/>
          <w:color w:val="000000"/>
          <w:lang w:eastAsia="en-GB"/>
        </w:rPr>
        <w:t xml:space="preserve">these trends </w:t>
      </w:r>
      <w:r w:rsidR="00B322A1" w:rsidRPr="001E7AA4">
        <w:rPr>
          <w:rFonts w:ascii="Calibri" w:eastAsia="Times New Roman" w:hAnsi="Calibri" w:cs="Calibri"/>
          <w:color w:val="000000"/>
          <w:lang w:eastAsia="en-GB"/>
        </w:rPr>
        <w:t>need</w:t>
      </w:r>
      <w:r w:rsidR="00D92EDF" w:rsidRPr="001E7AA4">
        <w:rPr>
          <w:rFonts w:ascii="Calibri" w:eastAsia="Times New Roman" w:hAnsi="Calibri" w:cs="Calibri"/>
          <w:color w:val="000000"/>
          <w:lang w:eastAsia="en-GB"/>
        </w:rPr>
        <w:t xml:space="preserve"> to be reversed</w:t>
      </w:r>
      <w:r w:rsidR="0030095E" w:rsidRPr="001E7AA4">
        <w:rPr>
          <w:rFonts w:ascii="Calibri" w:eastAsia="Times New Roman" w:hAnsi="Calibri" w:cs="Calibri"/>
          <w:color w:val="000000"/>
          <w:lang w:eastAsia="en-GB"/>
        </w:rPr>
        <w:t xml:space="preserve"> and </w:t>
      </w:r>
      <w:r w:rsidR="00D16189" w:rsidRPr="001E7AA4">
        <w:rPr>
          <w:rFonts w:ascii="Calibri" w:eastAsia="Times New Roman" w:hAnsi="Calibri" w:cs="Calibri"/>
          <w:color w:val="000000"/>
          <w:lang w:eastAsia="en-GB"/>
        </w:rPr>
        <w:t xml:space="preserve">a </w:t>
      </w:r>
      <w:r w:rsidR="0030095E" w:rsidRPr="001E7AA4">
        <w:rPr>
          <w:rFonts w:ascii="Calibri" w:eastAsia="Times New Roman" w:hAnsi="Calibri" w:cs="Calibri"/>
          <w:color w:val="000000"/>
          <w:lang w:eastAsia="en-GB"/>
        </w:rPr>
        <w:t>significant increase in enrolments</w:t>
      </w:r>
      <w:r w:rsidR="00B322A1" w:rsidRPr="001E7AA4">
        <w:rPr>
          <w:rFonts w:ascii="Calibri" w:eastAsia="Times New Roman" w:hAnsi="Calibri" w:cs="Calibri"/>
          <w:color w:val="000000"/>
          <w:lang w:eastAsia="en-GB"/>
        </w:rPr>
        <w:t xml:space="preserve"> </w:t>
      </w:r>
      <w:r w:rsidR="00A72519" w:rsidRPr="001E7AA4">
        <w:rPr>
          <w:rFonts w:ascii="Calibri" w:eastAsia="Times New Roman" w:hAnsi="Calibri" w:cs="Calibri"/>
          <w:color w:val="000000"/>
          <w:lang w:eastAsia="en-GB"/>
        </w:rPr>
        <w:t>is</w:t>
      </w:r>
      <w:r w:rsidR="00B322A1" w:rsidRPr="001E7AA4">
        <w:rPr>
          <w:rFonts w:ascii="Calibri" w:eastAsia="Times New Roman" w:hAnsi="Calibri" w:cs="Calibri"/>
          <w:color w:val="000000"/>
          <w:lang w:eastAsia="en-GB"/>
        </w:rPr>
        <w:t xml:space="preserve"> required</w:t>
      </w:r>
      <w:r w:rsidRPr="001E7AA4">
        <w:rPr>
          <w:rFonts w:ascii="Calibri" w:eastAsia="Times New Roman" w:hAnsi="Calibri" w:cs="Calibri"/>
          <w:color w:val="000000"/>
          <w:lang w:eastAsia="en-GB"/>
        </w:rPr>
        <w:t xml:space="preserve"> – starting </w:t>
      </w:r>
      <w:r w:rsidR="00260888" w:rsidRPr="001E7AA4">
        <w:rPr>
          <w:rFonts w:ascii="Calibri" w:eastAsia="Times New Roman" w:hAnsi="Calibri" w:cs="Calibri"/>
          <w:color w:val="000000"/>
          <w:lang w:eastAsia="en-GB"/>
        </w:rPr>
        <w:t>now and</w:t>
      </w:r>
      <w:r w:rsidRPr="001E7AA4">
        <w:rPr>
          <w:rFonts w:ascii="Calibri" w:eastAsia="Times New Roman" w:hAnsi="Calibri" w:cs="Calibri"/>
          <w:color w:val="000000"/>
          <w:lang w:eastAsia="en-GB"/>
        </w:rPr>
        <w:t xml:space="preserve"> continuing over coming decades</w:t>
      </w:r>
      <w:r w:rsidR="0030095E" w:rsidRPr="001E7AA4">
        <w:rPr>
          <w:rFonts w:ascii="Calibri" w:eastAsia="Times New Roman" w:hAnsi="Calibri" w:cs="Calibri"/>
          <w:color w:val="000000"/>
          <w:lang w:eastAsia="en-GB"/>
        </w:rPr>
        <w:t>.</w:t>
      </w:r>
      <w:r w:rsidR="00FB72C7" w:rsidRPr="001E7AA4">
        <w:rPr>
          <w:rFonts w:ascii="Calibri" w:eastAsia="Times New Roman" w:hAnsi="Calibri" w:cs="Calibri"/>
          <w:color w:val="000000"/>
          <w:lang w:eastAsia="en-GB"/>
        </w:rPr>
        <w:t xml:space="preserve"> </w:t>
      </w:r>
    </w:p>
    <w:p w14:paraId="61AA8B86" w14:textId="00216A9C" w:rsidR="004124ED" w:rsidRPr="001E7AA4" w:rsidRDefault="00137B3B" w:rsidP="00FB72C7">
      <w:pPr>
        <w:rPr>
          <w:rFonts w:ascii="Calibri" w:eastAsia="Times New Roman" w:hAnsi="Calibri" w:cs="Calibri"/>
          <w:color w:val="000000" w:themeColor="text1"/>
          <w:lang w:eastAsia="en-GB"/>
        </w:rPr>
      </w:pPr>
      <w:r w:rsidRPr="001E7AA4">
        <w:rPr>
          <w:rFonts w:ascii="Calibri" w:eastAsia="Times New Roman" w:hAnsi="Calibri" w:cs="Calibri"/>
          <w:color w:val="000000" w:themeColor="text1"/>
          <w:lang w:eastAsia="en-GB"/>
        </w:rPr>
        <w:t>Preliminary</w:t>
      </w:r>
      <w:r w:rsidR="00FB72C7" w:rsidRPr="001E7AA4">
        <w:rPr>
          <w:rFonts w:ascii="Calibri" w:eastAsia="Times New Roman" w:hAnsi="Calibri" w:cs="Calibri"/>
          <w:color w:val="000000" w:themeColor="text1"/>
          <w:lang w:eastAsia="en-GB"/>
        </w:rPr>
        <w:t xml:space="preserve"> analysis by the Department of Education</w:t>
      </w:r>
      <w:r w:rsidR="00B322A1" w:rsidRPr="001E7AA4">
        <w:rPr>
          <w:rFonts w:ascii="Calibri" w:eastAsia="Times New Roman" w:hAnsi="Calibri" w:cs="Calibri"/>
          <w:color w:val="000000" w:themeColor="text1"/>
          <w:lang w:eastAsia="en-GB"/>
        </w:rPr>
        <w:t xml:space="preserve"> (see</w:t>
      </w:r>
      <w:r w:rsidR="000D76CE" w:rsidRPr="001E7AA4">
        <w:rPr>
          <w:rFonts w:ascii="Calibri" w:eastAsia="Times New Roman" w:hAnsi="Calibri" w:cs="Calibri"/>
          <w:color w:val="000000" w:themeColor="text1"/>
          <w:lang w:eastAsia="en-GB"/>
        </w:rPr>
        <w:t xml:space="preserve"> </w:t>
      </w:r>
      <w:r w:rsidR="00107EEE" w:rsidRPr="001E7AA4">
        <w:rPr>
          <w:rFonts w:ascii="Calibri" w:eastAsia="Times New Roman" w:hAnsi="Calibri" w:cs="Calibri"/>
          <w:color w:val="000000" w:themeColor="text1"/>
          <w:lang w:eastAsia="en-GB"/>
        </w:rPr>
        <w:t>F</w:t>
      </w:r>
      <w:r w:rsidR="000D76CE" w:rsidRPr="001E7AA4">
        <w:rPr>
          <w:rFonts w:ascii="Calibri" w:eastAsia="Times New Roman" w:hAnsi="Calibri" w:cs="Calibri"/>
          <w:color w:val="000000" w:themeColor="text1"/>
          <w:lang w:eastAsia="en-GB"/>
        </w:rPr>
        <w:t xml:space="preserve">igure </w:t>
      </w:r>
      <w:r w:rsidR="3E08BF8A" w:rsidRPr="001E7AA4">
        <w:rPr>
          <w:rFonts w:ascii="Calibri" w:eastAsia="Times New Roman" w:hAnsi="Calibri" w:cs="Calibri"/>
          <w:color w:val="000000" w:themeColor="text1"/>
          <w:lang w:eastAsia="en-GB"/>
        </w:rPr>
        <w:t>2.1-4</w:t>
      </w:r>
      <w:r w:rsidR="00B322A1" w:rsidRPr="001E7AA4">
        <w:rPr>
          <w:rFonts w:ascii="Calibri" w:eastAsia="Times New Roman" w:hAnsi="Calibri" w:cs="Calibri"/>
          <w:color w:val="000000" w:themeColor="text1"/>
          <w:lang w:eastAsia="en-GB"/>
        </w:rPr>
        <w:t>)</w:t>
      </w:r>
      <w:r w:rsidR="00FB72C7" w:rsidRPr="001E7AA4">
        <w:rPr>
          <w:rFonts w:ascii="Calibri" w:eastAsia="Times New Roman" w:hAnsi="Calibri" w:cs="Calibri"/>
          <w:color w:val="000000" w:themeColor="text1"/>
          <w:lang w:eastAsia="en-GB"/>
        </w:rPr>
        <w:t xml:space="preserve"> suggests </w:t>
      </w:r>
      <w:r w:rsidR="000D76CE" w:rsidRPr="001E7AA4">
        <w:rPr>
          <w:rFonts w:ascii="Calibri" w:eastAsia="Times New Roman" w:hAnsi="Calibri" w:cs="Calibri"/>
          <w:color w:val="000000" w:themeColor="text1"/>
          <w:lang w:eastAsia="en-GB"/>
        </w:rPr>
        <w:t>tha</w:t>
      </w:r>
      <w:r w:rsidR="0050311D" w:rsidRPr="001E7AA4">
        <w:rPr>
          <w:rFonts w:ascii="Calibri" w:eastAsia="Times New Roman" w:hAnsi="Calibri" w:cs="Calibri"/>
          <w:color w:val="000000" w:themeColor="text1"/>
          <w:lang w:eastAsia="en-GB"/>
        </w:rPr>
        <w:t xml:space="preserve">t </w:t>
      </w:r>
      <w:r w:rsidR="00FB72C7" w:rsidRPr="001E7AA4">
        <w:rPr>
          <w:rFonts w:ascii="Calibri" w:eastAsia="Times New Roman" w:hAnsi="Calibri" w:cs="Calibri"/>
          <w:color w:val="000000" w:themeColor="text1"/>
          <w:lang w:eastAsia="en-GB"/>
        </w:rPr>
        <w:t xml:space="preserve">Australia </w:t>
      </w:r>
      <w:r w:rsidRPr="001E7AA4">
        <w:rPr>
          <w:rFonts w:ascii="Calibri" w:eastAsia="Times New Roman" w:hAnsi="Calibri" w:cs="Calibri"/>
          <w:color w:val="000000" w:themeColor="text1"/>
          <w:lang w:eastAsia="en-GB"/>
        </w:rPr>
        <w:t>will</w:t>
      </w:r>
      <w:r w:rsidR="00FB72C7" w:rsidRPr="001E7AA4">
        <w:rPr>
          <w:rFonts w:ascii="Calibri" w:eastAsia="Times New Roman" w:hAnsi="Calibri" w:cs="Calibri"/>
          <w:color w:val="000000" w:themeColor="text1"/>
          <w:lang w:eastAsia="en-GB"/>
        </w:rPr>
        <w:t xml:space="preserve"> need to increase </w:t>
      </w:r>
      <w:r w:rsidRPr="001E7AA4">
        <w:rPr>
          <w:rFonts w:ascii="Calibri" w:eastAsia="Times New Roman" w:hAnsi="Calibri" w:cs="Calibri"/>
          <w:color w:val="000000" w:themeColor="text1"/>
          <w:lang w:eastAsia="en-GB"/>
        </w:rPr>
        <w:t xml:space="preserve">the size of the higher education system </w:t>
      </w:r>
      <w:r w:rsidR="004124ED" w:rsidRPr="001E7AA4">
        <w:rPr>
          <w:rFonts w:ascii="Calibri" w:eastAsia="Times New Roman" w:hAnsi="Calibri" w:cs="Calibri"/>
          <w:color w:val="000000" w:themeColor="text1"/>
          <w:lang w:eastAsia="en-GB"/>
        </w:rPr>
        <w:t>significantly over the next three decades.</w:t>
      </w:r>
    </w:p>
    <w:p w14:paraId="2208BCE9" w14:textId="4288CE24" w:rsidR="001D0486" w:rsidRPr="001E7AA4" w:rsidRDefault="001D0486" w:rsidP="00C278D3">
      <w:pPr>
        <w:rPr>
          <w:lang w:eastAsia="en-GB"/>
        </w:rPr>
      </w:pPr>
      <w:r w:rsidRPr="001E7AA4">
        <w:rPr>
          <w:lang w:eastAsia="en-GB"/>
        </w:rPr>
        <w:t>Latest data indicate</w:t>
      </w:r>
      <w:r w:rsidR="00107EEE" w:rsidRPr="001E7AA4">
        <w:rPr>
          <w:lang w:eastAsia="en-GB"/>
        </w:rPr>
        <w:t>s</w:t>
      </w:r>
      <w:r w:rsidRPr="001E7AA4">
        <w:rPr>
          <w:lang w:eastAsia="en-GB"/>
        </w:rPr>
        <w:t xml:space="preserve"> Australian universities enrol around 900,000 Commonwealth supported students, including 760,000 bachelor students. To reach 55% attainment </w:t>
      </w:r>
      <w:r w:rsidR="00EF4D29" w:rsidRPr="001E7AA4">
        <w:rPr>
          <w:lang w:eastAsia="en-GB"/>
        </w:rPr>
        <w:t xml:space="preserve">for </w:t>
      </w:r>
      <w:r w:rsidR="00E61415" w:rsidRPr="001E7AA4">
        <w:rPr>
          <w:lang w:eastAsia="en-GB"/>
        </w:rPr>
        <w:t xml:space="preserve">people aged </w:t>
      </w:r>
      <w:r w:rsidR="00EF4D29" w:rsidRPr="001E7AA4">
        <w:rPr>
          <w:lang w:eastAsia="en-GB"/>
        </w:rPr>
        <w:t>25</w:t>
      </w:r>
      <w:r w:rsidR="00E61415" w:rsidRPr="001E7AA4">
        <w:rPr>
          <w:lang w:eastAsia="en-GB"/>
        </w:rPr>
        <w:t xml:space="preserve"> to </w:t>
      </w:r>
      <w:r w:rsidR="00EF4D29" w:rsidRPr="001E7AA4">
        <w:rPr>
          <w:lang w:eastAsia="en-GB"/>
        </w:rPr>
        <w:t>34 year</w:t>
      </w:r>
      <w:r w:rsidR="00E61415" w:rsidRPr="001E7AA4">
        <w:rPr>
          <w:lang w:eastAsia="en-GB"/>
        </w:rPr>
        <w:t>s</w:t>
      </w:r>
      <w:r w:rsidR="00EF4D29" w:rsidRPr="001E7AA4">
        <w:rPr>
          <w:lang w:eastAsia="en-GB"/>
        </w:rPr>
        <w:t xml:space="preserve"> </w:t>
      </w:r>
      <w:r w:rsidRPr="001E7AA4">
        <w:rPr>
          <w:lang w:eastAsia="en-GB"/>
        </w:rPr>
        <w:t xml:space="preserve">by 2050, we would need to have </w:t>
      </w:r>
      <w:r w:rsidR="001E4715" w:rsidRPr="001E7AA4">
        <w:rPr>
          <w:lang w:eastAsia="en-GB"/>
        </w:rPr>
        <w:t>at least</w:t>
      </w:r>
      <w:r w:rsidRPr="001E7AA4">
        <w:rPr>
          <w:lang w:eastAsia="en-GB"/>
        </w:rPr>
        <w:t xml:space="preserve"> 1.2 million Commonwealth supported students in 2035 and 1.8 million in 2050. </w:t>
      </w:r>
      <w:r w:rsidR="2F04C6C8" w:rsidRPr="001E7AA4">
        <w:rPr>
          <w:lang w:eastAsia="en-GB"/>
        </w:rPr>
        <w:t xml:space="preserve">However, further growth would be </w:t>
      </w:r>
      <w:r w:rsidR="002C2DCC" w:rsidRPr="001E7AA4">
        <w:rPr>
          <w:lang w:eastAsia="en-GB"/>
        </w:rPr>
        <w:t xml:space="preserve">needed to support older students deciding to enrol </w:t>
      </w:r>
      <w:r w:rsidR="0002742C" w:rsidRPr="001E7AA4">
        <w:rPr>
          <w:lang w:eastAsia="en-GB"/>
        </w:rPr>
        <w:t xml:space="preserve">for the first time, or </w:t>
      </w:r>
      <w:r w:rsidR="002C2DCC" w:rsidRPr="001E7AA4">
        <w:rPr>
          <w:lang w:eastAsia="en-GB"/>
        </w:rPr>
        <w:t>to upskill and reskill.</w:t>
      </w:r>
    </w:p>
    <w:p w14:paraId="079B48D7" w14:textId="6B4626C3" w:rsidR="00C278D3" w:rsidRPr="00C278D3" w:rsidRDefault="347BFB8E" w:rsidP="00C278D3">
      <w:pPr>
        <w:rPr>
          <w:lang w:eastAsia="en-GB"/>
        </w:rPr>
      </w:pPr>
      <w:r w:rsidRPr="001E7AA4">
        <w:rPr>
          <w:lang w:eastAsia="en-GB"/>
        </w:rPr>
        <w:t xml:space="preserve">This is well above the growth in CSPs projected </w:t>
      </w:r>
      <w:r w:rsidR="00147069" w:rsidRPr="001E7AA4">
        <w:rPr>
          <w:lang w:eastAsia="en-GB"/>
        </w:rPr>
        <w:t>by the De</w:t>
      </w:r>
      <w:r w:rsidR="00C24BC0" w:rsidRPr="001E7AA4">
        <w:rPr>
          <w:lang w:eastAsia="en-GB"/>
        </w:rPr>
        <w:t>partment</w:t>
      </w:r>
      <w:r w:rsidR="00252529" w:rsidRPr="001E7AA4">
        <w:rPr>
          <w:lang w:eastAsia="en-GB"/>
        </w:rPr>
        <w:t xml:space="preserve"> of Education</w:t>
      </w:r>
      <w:r w:rsidR="00C24BC0" w:rsidRPr="001E7AA4">
        <w:rPr>
          <w:lang w:eastAsia="en-GB"/>
        </w:rPr>
        <w:t xml:space="preserve"> </w:t>
      </w:r>
      <w:r w:rsidRPr="001E7AA4">
        <w:rPr>
          <w:lang w:eastAsia="en-GB"/>
        </w:rPr>
        <w:t>under existing policy settings and population growth</w:t>
      </w:r>
      <w:r w:rsidR="64753BD3" w:rsidRPr="001E7AA4">
        <w:rPr>
          <w:lang w:eastAsia="en-GB"/>
        </w:rPr>
        <w:t>, which indicate</w:t>
      </w:r>
      <w:r w:rsidR="025AB041" w:rsidRPr="001E7AA4">
        <w:t xml:space="preserve"> </w:t>
      </w:r>
      <w:r w:rsidR="00B12277" w:rsidRPr="001E7AA4">
        <w:t xml:space="preserve">that the Australian higher education system will grow to </w:t>
      </w:r>
      <w:r w:rsidR="002B3A7E">
        <w:t>one</w:t>
      </w:r>
      <w:r w:rsidR="00B12277" w:rsidRPr="001E7AA4">
        <w:t xml:space="preserve"> million Commonwealth supported students in 2035 and 1.2 million by 2050.</w:t>
      </w:r>
    </w:p>
    <w:p w14:paraId="0F55A0DF" w14:textId="71B9FFE8" w:rsidR="00D52B99" w:rsidRPr="001E7AA4" w:rsidRDefault="636DFD25" w:rsidP="00C278D3">
      <w:pPr>
        <w:pStyle w:val="Caption"/>
      </w:pPr>
      <w:r w:rsidRPr="001E7AA4">
        <w:t xml:space="preserve">Figure 2.1-4: Possible </w:t>
      </w:r>
      <w:r w:rsidRPr="00C278D3">
        <w:t>total</w:t>
      </w:r>
      <w:r w:rsidRPr="001E7AA4">
        <w:t xml:space="preserve"> projected CSPs (headcount)</w:t>
      </w:r>
      <w:r w:rsidR="539A799E" w:rsidRPr="001E7AA4">
        <w:t xml:space="preserve"> </w:t>
      </w:r>
      <w:r w:rsidRPr="001E7AA4">
        <w:t xml:space="preserve">to reach 55% attainment by </w:t>
      </w:r>
      <w:r w:rsidRPr="00C278D3">
        <w:t>2050</w:t>
      </w:r>
      <w:r w:rsidRPr="001E7AA4">
        <w:t>.</w:t>
      </w:r>
    </w:p>
    <w:p w14:paraId="3BCDD938" w14:textId="4367CADC" w:rsidR="0001572D" w:rsidRPr="00E96855" w:rsidRDefault="00C52937" w:rsidP="00C278D3">
      <w:pPr>
        <w:pStyle w:val="Source"/>
        <w:rPr>
          <w:color w:val="808080" w:themeColor="background1" w:themeShade="80"/>
          <w:szCs w:val="18"/>
        </w:rPr>
      </w:pPr>
      <w:r w:rsidRPr="001E7AA4">
        <w:rPr>
          <w:noProof/>
        </w:rPr>
        <w:drawing>
          <wp:inline distT="0" distB="0" distL="0" distR="0" wp14:anchorId="7FDE4358" wp14:editId="472D3CF2">
            <wp:extent cx="5731510" cy="2387600"/>
            <wp:effectExtent l="0" t="0" r="0" b="0"/>
            <wp:docPr id="39" name="Picture 39" descr="Line chart showing projected Commonwealth Supported Students (headcount) enrolled between 2025 and 2050 under current estimates with projected population growth and under alternate policy settings required to reach 55% higher education attainment by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Line chart showing projected Commonwealth Supported Students (headcount) enrolled between 2025 and 2050 under current estimates with projected population growth and under alternate policy settings required to reach 55% higher education attainment by 2050."/>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5731510" cy="2387600"/>
                    </a:xfrm>
                    <a:prstGeom prst="rect">
                      <a:avLst/>
                    </a:prstGeom>
                  </pic:spPr>
                </pic:pic>
              </a:graphicData>
            </a:graphic>
          </wp:inline>
        </w:drawing>
      </w:r>
      <w:r w:rsidR="001D2C37" w:rsidRPr="00C278D3">
        <w:t xml:space="preserve">Source: </w:t>
      </w:r>
      <w:r w:rsidR="005018BB" w:rsidRPr="00C278D3">
        <w:t xml:space="preserve"> Department of Education internal analysis based on ABS</w:t>
      </w:r>
      <w:hyperlink r:id="rId36" w:history="1">
        <w:r w:rsidR="005018BB" w:rsidRPr="00C278D3">
          <w:t xml:space="preserve">, </w:t>
        </w:r>
        <w:r w:rsidR="005018BB" w:rsidRPr="00E96855">
          <w:rPr>
            <w:rStyle w:val="Hyperlink"/>
            <w:i/>
            <w:color w:val="7030A0"/>
            <w:szCs w:val="18"/>
          </w:rPr>
          <w:t>Population and Housing, Census 2021</w:t>
        </w:r>
      </w:hyperlink>
      <w:r w:rsidR="00372CAA" w:rsidRPr="00C278D3">
        <w:t xml:space="preserve">; </w:t>
      </w:r>
      <w:hyperlink r:id="rId37" w:history="1">
        <w:r w:rsidR="00372CAA" w:rsidRPr="00E96855">
          <w:rPr>
            <w:rStyle w:val="Hyperlink"/>
            <w:i/>
            <w:color w:val="7030A0"/>
            <w:szCs w:val="18"/>
          </w:rPr>
          <w:t>Population Projections, Australia</w:t>
        </w:r>
      </w:hyperlink>
      <w:r w:rsidR="005018BB" w:rsidRPr="00E96855">
        <w:rPr>
          <w:color w:val="808080" w:themeColor="background1" w:themeShade="80"/>
          <w:szCs w:val="18"/>
        </w:rPr>
        <w:t xml:space="preserve"> </w:t>
      </w:r>
      <w:r w:rsidR="005018BB" w:rsidRPr="00C278D3">
        <w:t>[data set</w:t>
      </w:r>
      <w:r w:rsidR="00245B06" w:rsidRPr="00C278D3">
        <w:t>s</w:t>
      </w:r>
      <w:r w:rsidR="005018BB" w:rsidRPr="00C278D3">
        <w:t>], 2021, accessed 6 June 2023; Centre for Population</w:t>
      </w:r>
      <w:r w:rsidR="00245B06" w:rsidRPr="00C278D3">
        <w:t>,</w:t>
      </w:r>
      <w:r w:rsidR="005018BB" w:rsidRPr="00E96855">
        <w:rPr>
          <w:color w:val="808080" w:themeColor="background1" w:themeShade="80"/>
          <w:szCs w:val="18"/>
        </w:rPr>
        <w:t xml:space="preserve"> </w:t>
      </w:r>
      <w:hyperlink r:id="rId38" w:history="1">
        <w:r w:rsidR="005018BB" w:rsidRPr="00E96855">
          <w:rPr>
            <w:rStyle w:val="Hyperlink"/>
            <w:i/>
            <w:color w:val="7030A0"/>
            <w:szCs w:val="18"/>
          </w:rPr>
          <w:t>Budget 2023-24, population projections, Australia</w:t>
        </w:r>
      </w:hyperlink>
      <w:r w:rsidR="005018BB" w:rsidRPr="00E96855">
        <w:rPr>
          <w:color w:val="7030A0"/>
          <w:szCs w:val="18"/>
        </w:rPr>
        <w:t xml:space="preserve"> </w:t>
      </w:r>
      <w:r w:rsidR="005018BB" w:rsidRPr="00C278D3">
        <w:t>[data set], accessed 6 June 2023 and</w:t>
      </w:r>
      <w:r w:rsidR="00B213BF" w:rsidRPr="00C278D3">
        <w:t xml:space="preserve"> Department of Education,</w:t>
      </w:r>
      <w:r w:rsidR="005018BB" w:rsidRPr="00C278D3">
        <w:t xml:space="preserve"> </w:t>
      </w:r>
      <w:r w:rsidR="00245B06" w:rsidRPr="00C278D3">
        <w:t>Higher Education Statistics –Student Data [unpublished data]</w:t>
      </w:r>
      <w:r w:rsidR="001D2C37" w:rsidRPr="00C278D3">
        <w:t xml:space="preserve">. </w:t>
      </w:r>
      <w:r w:rsidR="001D2C37" w:rsidRPr="00C278D3">
        <w:br/>
      </w:r>
      <w:r w:rsidR="5DE1BFB2" w:rsidRPr="00C278D3">
        <w:t xml:space="preserve">Assumptions </w:t>
      </w:r>
      <w:r w:rsidR="394BBA6D" w:rsidRPr="00C278D3">
        <w:t>based on current completion profiles</w:t>
      </w:r>
      <w:r w:rsidR="64F8DB26" w:rsidRPr="00C278D3">
        <w:t>.</w:t>
      </w:r>
    </w:p>
    <w:p w14:paraId="0205D45E" w14:textId="50C63144" w:rsidR="0001572D" w:rsidRPr="001E7AA4" w:rsidRDefault="002D665F" w:rsidP="0001572D">
      <w:pPr>
        <w:spacing w:line="240" w:lineRule="auto"/>
        <w:rPr>
          <w:rFonts w:ascii="Calibri" w:eastAsia="Times New Roman" w:hAnsi="Calibri" w:cs="Calibri"/>
          <w:color w:val="000000" w:themeColor="text1"/>
          <w:lang w:eastAsia="en-GB"/>
        </w:rPr>
      </w:pPr>
      <w:r w:rsidRPr="001E7AA4">
        <w:rPr>
          <w:rFonts w:ascii="Calibri" w:eastAsia="Times New Roman" w:hAnsi="Calibri" w:cs="Calibri"/>
          <w:color w:val="000000" w:themeColor="text1"/>
          <w:lang w:eastAsia="en-GB"/>
        </w:rPr>
        <w:t xml:space="preserve">While it is clear that </w:t>
      </w:r>
      <w:r w:rsidR="00135C4E" w:rsidRPr="001E7AA4">
        <w:rPr>
          <w:rFonts w:ascii="Calibri" w:eastAsia="Times New Roman" w:hAnsi="Calibri" w:cs="Calibri"/>
          <w:color w:val="000000" w:themeColor="text1"/>
          <w:lang w:eastAsia="en-GB"/>
        </w:rPr>
        <w:t>the number of people completing bachelor degrees</w:t>
      </w:r>
      <w:r w:rsidR="00252529" w:rsidRPr="001E7AA4">
        <w:rPr>
          <w:rFonts w:ascii="Calibri" w:eastAsia="Times New Roman" w:hAnsi="Calibri" w:cs="Calibri"/>
          <w:color w:val="000000" w:themeColor="text1"/>
          <w:lang w:eastAsia="en-GB"/>
        </w:rPr>
        <w:t xml:space="preserve"> must</w:t>
      </w:r>
      <w:r w:rsidR="00135C4E" w:rsidRPr="001E7AA4">
        <w:rPr>
          <w:rFonts w:ascii="Calibri" w:eastAsia="Times New Roman" w:hAnsi="Calibri" w:cs="Calibri"/>
          <w:color w:val="000000" w:themeColor="text1"/>
          <w:lang w:eastAsia="en-GB"/>
        </w:rPr>
        <w:t xml:space="preserve"> increase, c</w:t>
      </w:r>
      <w:r w:rsidR="00340338" w:rsidRPr="001E7AA4" w:rsidDel="004124ED">
        <w:rPr>
          <w:rFonts w:ascii="Calibri" w:eastAsia="Times New Roman" w:hAnsi="Calibri" w:cs="Calibri"/>
          <w:color w:val="000000" w:themeColor="text1"/>
          <w:lang w:eastAsia="en-GB"/>
        </w:rPr>
        <w:t>ompletion numbers for the next 3 years are tracking lower, the outcome of policies of the recent past.</w:t>
      </w:r>
      <w:r w:rsidR="00135C4E" w:rsidRPr="001E7AA4">
        <w:rPr>
          <w:rFonts w:ascii="Calibri" w:eastAsia="Times New Roman" w:hAnsi="Calibri" w:cs="Calibri"/>
          <w:color w:val="000000" w:themeColor="text1"/>
          <w:lang w:eastAsia="en-GB"/>
        </w:rPr>
        <w:t xml:space="preserve"> This is in addition to the fall in first time bachelor completions outlined above.</w:t>
      </w:r>
    </w:p>
    <w:p w14:paraId="3A32C644" w14:textId="48F5469A" w:rsidR="002D249B" w:rsidRPr="001E7AA4" w:rsidRDefault="00802FC6" w:rsidP="0001572D">
      <w:pPr>
        <w:spacing w:line="240" w:lineRule="auto"/>
        <w:rPr>
          <w:rFonts w:ascii="Calibri" w:eastAsia="Times New Roman" w:hAnsi="Calibri" w:cs="Calibri"/>
          <w:color w:val="000000"/>
          <w:lang w:eastAsia="en-GB"/>
        </w:rPr>
      </w:pPr>
      <w:r w:rsidRPr="001E7AA4" w:rsidDel="004124ED">
        <w:rPr>
          <w:rFonts w:ascii="Calibri" w:eastAsia="Times New Roman" w:hAnsi="Calibri" w:cs="Calibri"/>
          <w:color w:val="000000" w:themeColor="text1"/>
          <w:lang w:eastAsia="en-GB"/>
        </w:rPr>
        <w:t>Ba</w:t>
      </w:r>
      <w:r w:rsidR="00CE0DC0" w:rsidRPr="001E7AA4" w:rsidDel="004124ED">
        <w:rPr>
          <w:rFonts w:ascii="Calibri" w:eastAsia="Times New Roman" w:hAnsi="Calibri" w:cs="Calibri"/>
          <w:color w:val="000000" w:themeColor="text1"/>
          <w:lang w:eastAsia="en-GB"/>
        </w:rPr>
        <w:t>s</w:t>
      </w:r>
      <w:r w:rsidRPr="001E7AA4" w:rsidDel="004124ED">
        <w:rPr>
          <w:rFonts w:ascii="Calibri" w:eastAsia="Times New Roman" w:hAnsi="Calibri" w:cs="Calibri"/>
          <w:color w:val="000000" w:themeColor="text1"/>
          <w:lang w:eastAsia="en-GB"/>
        </w:rPr>
        <w:t>ed on the above scenario</w:t>
      </w:r>
      <w:r w:rsidR="00837720" w:rsidRPr="001E7AA4">
        <w:rPr>
          <w:rFonts w:ascii="Calibri" w:eastAsia="Times New Roman" w:hAnsi="Calibri" w:cs="Calibri"/>
          <w:color w:val="000000" w:themeColor="text1"/>
          <w:lang w:eastAsia="en-GB"/>
        </w:rPr>
        <w:t xml:space="preserve"> that sees a </w:t>
      </w:r>
      <w:r w:rsidR="00DF4369" w:rsidRPr="001E7AA4">
        <w:rPr>
          <w:rFonts w:ascii="Calibri" w:eastAsia="Times New Roman" w:hAnsi="Calibri" w:cs="Calibri"/>
          <w:color w:val="000000" w:themeColor="text1"/>
          <w:lang w:eastAsia="en-GB"/>
        </w:rPr>
        <w:t>33</w:t>
      </w:r>
      <w:r w:rsidR="00837720" w:rsidRPr="001E7AA4">
        <w:rPr>
          <w:rFonts w:ascii="Calibri" w:eastAsia="Times New Roman" w:hAnsi="Calibri" w:cs="Calibri"/>
          <w:color w:val="000000" w:themeColor="text1"/>
          <w:lang w:eastAsia="en-GB"/>
        </w:rPr>
        <w:t xml:space="preserve">% increase in </w:t>
      </w:r>
      <w:r w:rsidR="00BA5125" w:rsidRPr="001E7AA4">
        <w:rPr>
          <w:rFonts w:ascii="Calibri" w:eastAsia="Times New Roman" w:hAnsi="Calibri" w:cs="Calibri"/>
          <w:color w:val="000000" w:themeColor="text1"/>
          <w:lang w:eastAsia="en-GB"/>
        </w:rPr>
        <w:t xml:space="preserve">enrolments </w:t>
      </w:r>
      <w:r w:rsidR="00D63B7C" w:rsidRPr="001E7AA4">
        <w:rPr>
          <w:rFonts w:ascii="Calibri" w:eastAsia="Times New Roman" w:hAnsi="Calibri" w:cs="Calibri"/>
          <w:color w:val="000000" w:themeColor="text1"/>
          <w:lang w:eastAsia="en-GB"/>
        </w:rPr>
        <w:t>by</w:t>
      </w:r>
      <w:r w:rsidR="00BA5125" w:rsidRPr="001E7AA4">
        <w:rPr>
          <w:rFonts w:ascii="Calibri" w:eastAsia="Times New Roman" w:hAnsi="Calibri" w:cs="Calibri"/>
          <w:color w:val="000000" w:themeColor="text1"/>
          <w:lang w:eastAsia="en-GB"/>
        </w:rPr>
        <w:t xml:space="preserve"> 2035 and 55% attainment by 2050</w:t>
      </w:r>
      <w:r w:rsidRPr="001E7AA4" w:rsidDel="004124ED">
        <w:rPr>
          <w:rFonts w:ascii="Calibri" w:eastAsia="Times New Roman" w:hAnsi="Calibri" w:cs="Calibri"/>
          <w:color w:val="000000" w:themeColor="text1"/>
          <w:lang w:eastAsia="en-GB"/>
        </w:rPr>
        <w:t xml:space="preserve">, </w:t>
      </w:r>
      <w:r w:rsidR="00D03D52" w:rsidRPr="001E7AA4" w:rsidDel="004124ED">
        <w:rPr>
          <w:rFonts w:ascii="Calibri" w:eastAsia="Times New Roman" w:hAnsi="Calibri" w:cs="Calibri"/>
          <w:color w:val="000000" w:themeColor="text1"/>
          <w:lang w:eastAsia="en-GB"/>
        </w:rPr>
        <w:t xml:space="preserve">it is </w:t>
      </w:r>
      <w:r w:rsidR="00EF3A43" w:rsidRPr="001E7AA4" w:rsidDel="004124ED">
        <w:rPr>
          <w:rFonts w:ascii="Calibri" w:eastAsia="Times New Roman" w:hAnsi="Calibri" w:cs="Calibri"/>
          <w:color w:val="000000" w:themeColor="text1"/>
          <w:lang w:eastAsia="en-GB"/>
        </w:rPr>
        <w:t>projected</w:t>
      </w:r>
      <w:r w:rsidR="00D03D52" w:rsidRPr="001E7AA4" w:rsidDel="004124ED">
        <w:rPr>
          <w:rFonts w:ascii="Calibri" w:eastAsia="Times New Roman" w:hAnsi="Calibri" w:cs="Calibri"/>
          <w:color w:val="000000" w:themeColor="text1"/>
          <w:lang w:eastAsia="en-GB"/>
        </w:rPr>
        <w:t xml:space="preserve"> that around </w:t>
      </w:r>
      <w:r w:rsidR="00817089" w:rsidRPr="001E7AA4" w:rsidDel="004124ED">
        <w:rPr>
          <w:rFonts w:ascii="Calibri" w:eastAsia="Times New Roman" w:hAnsi="Calibri" w:cs="Calibri"/>
          <w:color w:val="000000" w:themeColor="text1"/>
          <w:lang w:eastAsia="en-GB"/>
        </w:rPr>
        <w:t>150,000</w:t>
      </w:r>
      <w:r w:rsidR="00D03D52" w:rsidRPr="001E7AA4" w:rsidDel="004124ED">
        <w:rPr>
          <w:rFonts w:ascii="Calibri" w:eastAsia="Times New Roman" w:hAnsi="Calibri" w:cs="Calibri"/>
          <w:color w:val="000000" w:themeColor="text1"/>
          <w:lang w:eastAsia="en-GB"/>
        </w:rPr>
        <w:t xml:space="preserve"> people will </w:t>
      </w:r>
      <w:r w:rsidR="671E3EF3" w:rsidRPr="001E7AA4">
        <w:rPr>
          <w:rFonts w:ascii="Calibri" w:eastAsia="Times New Roman" w:hAnsi="Calibri" w:cs="Calibri"/>
          <w:color w:val="000000" w:themeColor="text1"/>
          <w:lang w:eastAsia="en-GB"/>
        </w:rPr>
        <w:t xml:space="preserve">need to </w:t>
      </w:r>
      <w:r w:rsidR="00D03D52" w:rsidRPr="001E7AA4" w:rsidDel="004124ED">
        <w:rPr>
          <w:rFonts w:ascii="Calibri" w:eastAsia="Times New Roman" w:hAnsi="Calibri" w:cs="Calibri"/>
          <w:color w:val="000000" w:themeColor="text1"/>
          <w:lang w:eastAsia="en-GB"/>
        </w:rPr>
        <w:t xml:space="preserve">complete a bachelor degree for the </w:t>
      </w:r>
      <w:r w:rsidR="00D03D52" w:rsidRPr="001E7AA4" w:rsidDel="004124ED">
        <w:rPr>
          <w:rFonts w:ascii="Calibri" w:eastAsia="Times New Roman" w:hAnsi="Calibri" w:cs="Calibri"/>
          <w:color w:val="000000" w:themeColor="text1"/>
          <w:lang w:eastAsia="en-GB"/>
        </w:rPr>
        <w:lastRenderedPageBreak/>
        <w:t xml:space="preserve">first time </w:t>
      </w:r>
      <w:r w:rsidR="00BA5125" w:rsidRPr="001E7AA4">
        <w:rPr>
          <w:rFonts w:ascii="Calibri" w:eastAsia="Times New Roman" w:hAnsi="Calibri" w:cs="Calibri"/>
          <w:color w:val="000000" w:themeColor="text1"/>
          <w:lang w:eastAsia="en-GB"/>
        </w:rPr>
        <w:t>in 2035</w:t>
      </w:r>
      <w:r w:rsidR="00D00EE6" w:rsidRPr="001E7AA4">
        <w:rPr>
          <w:rFonts w:ascii="Calibri" w:eastAsia="Times New Roman" w:hAnsi="Calibri" w:cs="Calibri"/>
          <w:color w:val="000000" w:themeColor="text1"/>
          <w:lang w:eastAsia="en-GB"/>
        </w:rPr>
        <w:t xml:space="preserve"> </w:t>
      </w:r>
      <w:r w:rsidR="00AD6CE8" w:rsidRPr="001E7AA4" w:rsidDel="004124ED">
        <w:rPr>
          <w:rFonts w:ascii="Calibri" w:eastAsia="Times New Roman" w:hAnsi="Calibri" w:cs="Calibri"/>
          <w:color w:val="000000" w:themeColor="text1"/>
          <w:lang w:eastAsia="en-GB"/>
        </w:rPr>
        <w:t>(see figure 2.1-5)</w:t>
      </w:r>
      <w:r w:rsidR="00D00EE6" w:rsidRPr="001E7AA4">
        <w:rPr>
          <w:rFonts w:ascii="Calibri" w:eastAsia="Times New Roman" w:hAnsi="Calibri" w:cs="Calibri"/>
          <w:color w:val="000000" w:themeColor="text1"/>
          <w:lang w:eastAsia="en-GB"/>
        </w:rPr>
        <w:t xml:space="preserve"> </w:t>
      </w:r>
      <w:r w:rsidR="0050142A" w:rsidRPr="001E7AA4" w:rsidDel="004124ED">
        <w:rPr>
          <w:rFonts w:ascii="Calibri" w:eastAsia="Times New Roman" w:hAnsi="Calibri" w:cs="Calibri"/>
          <w:color w:val="000000" w:themeColor="text1"/>
          <w:lang w:eastAsia="en-GB"/>
        </w:rPr>
        <w:t>–</w:t>
      </w:r>
      <w:r w:rsidR="00D03D52" w:rsidRPr="001E7AA4" w:rsidDel="004124ED">
        <w:rPr>
          <w:rFonts w:ascii="Calibri" w:eastAsia="Times New Roman" w:hAnsi="Calibri" w:cs="Calibri"/>
          <w:color w:val="000000" w:themeColor="text1"/>
          <w:lang w:eastAsia="en-GB"/>
        </w:rPr>
        <w:t xml:space="preserve"> </w:t>
      </w:r>
      <w:r w:rsidR="0B8074E9" w:rsidRPr="001E7AA4" w:rsidDel="004124ED">
        <w:rPr>
          <w:rFonts w:ascii="Calibri" w:eastAsia="Times New Roman" w:hAnsi="Calibri" w:cs="Calibri"/>
          <w:color w:val="000000" w:themeColor="text1"/>
          <w:lang w:eastAsia="en-GB"/>
        </w:rPr>
        <w:t>27</w:t>
      </w:r>
      <w:r w:rsidR="0050142A" w:rsidRPr="001E7AA4" w:rsidDel="0002240E">
        <w:rPr>
          <w:rFonts w:ascii="Calibri" w:eastAsia="Times New Roman" w:hAnsi="Calibri" w:cs="Calibri"/>
          <w:color w:val="000000" w:themeColor="text1"/>
          <w:lang w:eastAsia="en-GB"/>
        </w:rPr>
        <w:t>%</w:t>
      </w:r>
      <w:r w:rsidR="0050142A" w:rsidRPr="001E7AA4" w:rsidDel="004124ED">
        <w:rPr>
          <w:rFonts w:ascii="Calibri" w:eastAsia="Times New Roman" w:hAnsi="Calibri" w:cs="Calibri"/>
          <w:color w:val="000000" w:themeColor="text1"/>
          <w:lang w:eastAsia="en-GB"/>
        </w:rPr>
        <w:t xml:space="preserve"> higher than in 2021. By 2050, </w:t>
      </w:r>
      <w:r w:rsidR="00CE0DC0" w:rsidRPr="001E7AA4" w:rsidDel="004124ED">
        <w:rPr>
          <w:rFonts w:ascii="Calibri" w:eastAsia="Times New Roman" w:hAnsi="Calibri" w:cs="Calibri"/>
          <w:color w:val="000000" w:themeColor="text1"/>
          <w:lang w:eastAsia="en-GB"/>
        </w:rPr>
        <w:t>this</w:t>
      </w:r>
      <w:r w:rsidR="0050142A" w:rsidRPr="001E7AA4" w:rsidDel="004124ED">
        <w:rPr>
          <w:rFonts w:ascii="Calibri" w:eastAsia="Times New Roman" w:hAnsi="Calibri" w:cs="Calibri"/>
          <w:color w:val="000000" w:themeColor="text1"/>
          <w:lang w:eastAsia="en-GB"/>
        </w:rPr>
        <w:t xml:space="preserve"> is </w:t>
      </w:r>
      <w:r w:rsidR="00CE0DC0" w:rsidRPr="001E7AA4" w:rsidDel="004124ED">
        <w:rPr>
          <w:rFonts w:ascii="Calibri" w:eastAsia="Times New Roman" w:hAnsi="Calibri" w:cs="Calibri"/>
          <w:color w:val="000000" w:themeColor="text1"/>
          <w:lang w:eastAsia="en-GB"/>
        </w:rPr>
        <w:t>projected to increase to</w:t>
      </w:r>
      <w:r w:rsidR="0050142A" w:rsidRPr="001E7AA4" w:rsidDel="004124ED">
        <w:rPr>
          <w:rFonts w:ascii="Calibri" w:eastAsia="Times New Roman" w:hAnsi="Calibri" w:cs="Calibri"/>
          <w:color w:val="000000" w:themeColor="text1"/>
          <w:lang w:eastAsia="en-GB"/>
        </w:rPr>
        <w:t xml:space="preserve"> around </w:t>
      </w:r>
      <w:r w:rsidR="00817089" w:rsidRPr="001E7AA4" w:rsidDel="004124ED">
        <w:rPr>
          <w:rFonts w:ascii="Calibri" w:eastAsia="Times New Roman" w:hAnsi="Calibri" w:cs="Calibri"/>
          <w:color w:val="000000" w:themeColor="text1"/>
          <w:lang w:eastAsia="en-GB"/>
        </w:rPr>
        <w:t>275,000</w:t>
      </w:r>
      <w:r w:rsidR="0050142A" w:rsidRPr="001E7AA4" w:rsidDel="004124ED">
        <w:rPr>
          <w:rFonts w:ascii="Calibri" w:eastAsia="Times New Roman" w:hAnsi="Calibri" w:cs="Calibri"/>
          <w:color w:val="000000" w:themeColor="text1"/>
          <w:lang w:eastAsia="en-GB"/>
        </w:rPr>
        <w:t xml:space="preserve"> people.</w:t>
      </w:r>
    </w:p>
    <w:p w14:paraId="07BB3218" w14:textId="0DAD65BD" w:rsidR="009617BB" w:rsidRPr="001E7AA4" w:rsidRDefault="00141110" w:rsidP="00C278D3">
      <w:pPr>
        <w:pStyle w:val="Caption"/>
      </w:pPr>
      <w:r w:rsidRPr="001E7AA4">
        <w:t xml:space="preserve">Figure 2.1-5: Projected </w:t>
      </w:r>
      <w:r w:rsidRPr="00C278D3">
        <w:t>bachelor</w:t>
      </w:r>
      <w:r w:rsidRPr="001E7AA4">
        <w:t xml:space="preserve"> completions to reach </w:t>
      </w:r>
      <w:r w:rsidR="349780EC" w:rsidRPr="001E7AA4">
        <w:t>a</w:t>
      </w:r>
      <w:r w:rsidRPr="001E7AA4">
        <w:t xml:space="preserve"> 55% attainment target by 2050</w:t>
      </w:r>
      <w:r w:rsidR="00291EB0" w:rsidRPr="001E7AA4">
        <w:t>.</w:t>
      </w:r>
    </w:p>
    <w:p w14:paraId="25015494" w14:textId="5F0A4665" w:rsidR="006A465B" w:rsidRPr="001E7AA4" w:rsidRDefault="00C52937" w:rsidP="00C278D3">
      <w:pPr>
        <w:pStyle w:val="Source"/>
      </w:pPr>
      <w:r w:rsidRPr="001E7AA4">
        <w:rPr>
          <w:noProof/>
        </w:rPr>
        <w:drawing>
          <wp:inline distT="0" distB="0" distL="0" distR="0" wp14:anchorId="283B6A4F" wp14:editId="25945EBB">
            <wp:extent cx="5731510" cy="2167255"/>
            <wp:effectExtent l="0" t="0" r="0" b="0"/>
            <wp:docPr id="13" name="Picture 13" descr="Line chart showing projected first-time bachelor  completions between 2025 and 2050 required to reach 55% higher education attainment by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ine chart showing projected first-time bachelor  completions between 2025 and 2050 required to reach 55% higher education attainment by 2050."/>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5731510" cy="2167255"/>
                    </a:xfrm>
                    <a:prstGeom prst="rect">
                      <a:avLst/>
                    </a:prstGeom>
                  </pic:spPr>
                </pic:pic>
              </a:graphicData>
            </a:graphic>
          </wp:inline>
        </w:drawing>
      </w:r>
      <w:r w:rsidR="006A465B" w:rsidRPr="001E7AA4">
        <w:t xml:space="preserve">Source: </w:t>
      </w:r>
      <w:r w:rsidR="006346EB" w:rsidRPr="001E7AA4">
        <w:t>Department of Education internal analysis based on ABS</w:t>
      </w:r>
      <w:hyperlink r:id="rId41" w:history="1">
        <w:r w:rsidR="006346EB" w:rsidRPr="00E74934">
          <w:t xml:space="preserve">, </w:t>
        </w:r>
        <w:r w:rsidR="006346EB" w:rsidRPr="001E7AA4">
          <w:rPr>
            <w:rStyle w:val="Hyperlink"/>
            <w:i/>
            <w:iCs/>
            <w:color w:val="7030A0"/>
            <w:szCs w:val="18"/>
          </w:rPr>
          <w:t>Population and Housing, Census 2021</w:t>
        </w:r>
      </w:hyperlink>
      <w:r w:rsidR="006346EB" w:rsidRPr="001E7AA4">
        <w:t xml:space="preserve">; </w:t>
      </w:r>
      <w:hyperlink r:id="rId42" w:history="1">
        <w:r w:rsidR="006346EB" w:rsidRPr="001E7AA4">
          <w:rPr>
            <w:rStyle w:val="Hyperlink"/>
            <w:i/>
            <w:iCs/>
            <w:color w:val="7030A0"/>
            <w:szCs w:val="18"/>
          </w:rPr>
          <w:t>Population Projections, Australia</w:t>
        </w:r>
      </w:hyperlink>
      <w:r w:rsidR="006346EB" w:rsidRPr="001E7AA4">
        <w:t xml:space="preserve"> [data sets], 2021, accessed 6 June 2023; Centre for Population, </w:t>
      </w:r>
      <w:hyperlink r:id="rId43" w:history="1">
        <w:r w:rsidR="006346EB" w:rsidRPr="001E7AA4">
          <w:rPr>
            <w:rStyle w:val="Hyperlink"/>
            <w:i/>
            <w:iCs/>
            <w:color w:val="7030A0"/>
            <w:szCs w:val="18"/>
          </w:rPr>
          <w:t>Budget 2023-24, population projections, Australia</w:t>
        </w:r>
      </w:hyperlink>
      <w:r w:rsidR="006346EB" w:rsidRPr="001E7AA4">
        <w:rPr>
          <w:color w:val="7030A0"/>
        </w:rPr>
        <w:t xml:space="preserve"> </w:t>
      </w:r>
      <w:r w:rsidR="006346EB" w:rsidRPr="001E7AA4">
        <w:t xml:space="preserve">[data set], accessed 6 June 2023 and Department of Education, </w:t>
      </w:r>
      <w:r w:rsidR="006346EB" w:rsidRPr="001E7AA4">
        <w:rPr>
          <w:rFonts w:ascii="Calibri" w:hAnsi="Calibri" w:cs="Calibri"/>
          <w:i/>
        </w:rPr>
        <w:t xml:space="preserve">Higher Education Statistics –Student Data </w:t>
      </w:r>
      <w:r w:rsidR="006346EB" w:rsidRPr="001E7AA4">
        <w:rPr>
          <w:rFonts w:ascii="Calibri" w:hAnsi="Calibri" w:cs="Calibri"/>
          <w:iCs/>
        </w:rPr>
        <w:t>[unpublished data]</w:t>
      </w:r>
      <w:r w:rsidR="006346EB" w:rsidRPr="001E7AA4">
        <w:t xml:space="preserve">. </w:t>
      </w:r>
    </w:p>
    <w:p w14:paraId="4902F7C3" w14:textId="53FA6958" w:rsidR="00145E3C" w:rsidRPr="001E7AA4" w:rsidRDefault="0B1F8B95" w:rsidP="00F72CFE">
      <w:pPr>
        <w:pStyle w:val="Heading5"/>
      </w:pPr>
      <w:bookmarkStart w:id="86" w:name="_Toc137829533"/>
      <w:bookmarkStart w:id="87" w:name="_Toc1713895877"/>
      <w:bookmarkStart w:id="88" w:name="_Toc139028865"/>
      <w:r w:rsidRPr="001E7AA4">
        <w:t xml:space="preserve">2.1.2 </w:t>
      </w:r>
      <w:bookmarkEnd w:id="85"/>
      <w:bookmarkEnd w:id="86"/>
      <w:bookmarkEnd w:id="87"/>
      <w:r w:rsidR="001959B3" w:rsidRPr="001E7AA4">
        <w:t>Alignment between funding and overall objectives</w:t>
      </w:r>
      <w:bookmarkEnd w:id="88"/>
    </w:p>
    <w:p w14:paraId="6BE5DA18" w14:textId="7EC1D983" w:rsidR="007846DE" w:rsidRPr="001E7AA4" w:rsidRDefault="007846DE" w:rsidP="007846DE">
      <w:r w:rsidRPr="001E7AA4">
        <w:t>Achieving attainment targets requires a funding system that supports enough students to enrol and gain a qualification. The funding needs to be effectively distributed across the higher education sector to meet a range of priorities and objectives</w:t>
      </w:r>
      <w:r w:rsidR="00A25B9C" w:rsidRPr="001E7AA4">
        <w:t xml:space="preserve"> </w:t>
      </w:r>
      <w:r w:rsidR="00D00EE6" w:rsidRPr="001E7AA4" w:rsidDel="004124ED">
        <w:rPr>
          <w:rFonts w:ascii="Calibri" w:eastAsia="Times New Roman" w:hAnsi="Calibri" w:cs="Calibri"/>
          <w:color w:val="000000" w:themeColor="text1"/>
          <w:lang w:eastAsia="en-GB"/>
        </w:rPr>
        <w:t>–</w:t>
      </w:r>
      <w:r w:rsidR="00A25B9C" w:rsidRPr="001E7AA4">
        <w:t xml:space="preserve"> to ensure </w:t>
      </w:r>
      <w:r w:rsidRPr="001E7AA4">
        <w:t>students can access a CSP at an institution of their choice, to meet anticipated surge in demand in some locations due to population growth, to meet new attainment and participation targets</w:t>
      </w:r>
      <w:r w:rsidR="0062440C" w:rsidRPr="001E7AA4">
        <w:t>,</w:t>
      </w:r>
      <w:r w:rsidRPr="001E7AA4">
        <w:t xml:space="preserve"> and </w:t>
      </w:r>
      <w:r w:rsidR="00A25B9C" w:rsidRPr="001E7AA4">
        <w:t xml:space="preserve">to </w:t>
      </w:r>
      <w:r w:rsidRPr="001E7AA4">
        <w:t xml:space="preserve">ensure critical skills pipelines. </w:t>
      </w:r>
    </w:p>
    <w:p w14:paraId="6BECC24E" w14:textId="1E5673B8" w:rsidR="007846DE" w:rsidRPr="001E7AA4" w:rsidRDefault="004B0F70" w:rsidP="007846DE">
      <w:pPr>
        <w:spacing w:after="0" w:line="240" w:lineRule="auto"/>
        <w:rPr>
          <w:rFonts w:ascii="Calibri" w:hAnsi="Calibri" w:cs="Calibri"/>
          <w:lang w:eastAsia="en-AU"/>
        </w:rPr>
      </w:pPr>
      <w:r w:rsidRPr="001E7AA4">
        <w:t xml:space="preserve">It will be important that the funding system reflects the future patterns of enrolment desired by national policy – and particularly the need to have higher levels of participation in equity cohorts, regional areas and outer suburbs. </w:t>
      </w:r>
      <w:r w:rsidR="007846DE" w:rsidRPr="001E7AA4">
        <w:t>As shown in Figure 2.1-</w:t>
      </w:r>
      <w:r w:rsidR="004742A2" w:rsidRPr="001E7AA4">
        <w:t>6</w:t>
      </w:r>
      <w:r w:rsidR="007846DE" w:rsidRPr="001E7AA4">
        <w:t xml:space="preserve">, the largest absolute growth in 9 to 16 year olds between 2016 and 2021 is in major city outer suburbs, with some inner regional areas also showing significant growth. </w:t>
      </w:r>
      <w:r w:rsidR="00077996" w:rsidRPr="001E7AA4">
        <w:t xml:space="preserve">Funding and growth provision will need to respond to these changes. </w:t>
      </w:r>
    </w:p>
    <w:p w14:paraId="5F3DBBEB" w14:textId="77777777" w:rsidR="00C278D3" w:rsidRDefault="00C278D3">
      <w:pPr>
        <w:spacing w:after="160"/>
        <w:rPr>
          <w:rFonts w:ascii="Calibri" w:hAnsi="Calibri" w:cs="Calibri"/>
          <w:lang w:eastAsia="en-AU"/>
        </w:rPr>
      </w:pPr>
      <w:r>
        <w:rPr>
          <w:rFonts w:ascii="Calibri" w:hAnsi="Calibri" w:cs="Calibri"/>
          <w:lang w:eastAsia="en-AU"/>
        </w:rPr>
        <w:br w:type="page"/>
      </w:r>
    </w:p>
    <w:p w14:paraId="46831251" w14:textId="7DC08F13" w:rsidR="00145E3C" w:rsidRPr="001E7AA4" w:rsidRDefault="00145E3C" w:rsidP="00C278D3">
      <w:pPr>
        <w:pStyle w:val="Caption"/>
      </w:pPr>
      <w:r w:rsidRPr="001E7AA4">
        <w:lastRenderedPageBreak/>
        <w:t>Figure 2.1-</w:t>
      </w:r>
      <w:r w:rsidR="004742A2" w:rsidRPr="001E7AA4">
        <w:t>6</w:t>
      </w:r>
      <w:r w:rsidRPr="001E7AA4">
        <w:t xml:space="preserve">: Population growth in 9 to 16 year olds between 2016 and 2021. </w:t>
      </w:r>
    </w:p>
    <w:p w14:paraId="3908A093" w14:textId="7BF20600" w:rsidR="00145E3C" w:rsidRPr="00E96855" w:rsidRDefault="00C52937" w:rsidP="00C278D3">
      <w:pPr>
        <w:pStyle w:val="Source"/>
      </w:pPr>
      <w:r w:rsidRPr="00994597">
        <w:rPr>
          <w:noProof/>
        </w:rPr>
        <w:drawing>
          <wp:inline distT="0" distB="0" distL="0" distR="0" wp14:anchorId="0EDD2A3C" wp14:editId="0DB491E6">
            <wp:extent cx="5731510" cy="2926715"/>
            <wp:effectExtent l="0" t="0" r="0" b="0"/>
            <wp:docPr id="40" name="Picture 40" descr="Column chart showing the population growth in 9 to 16 year olds between 2016-21 in selected high growth SA4 regions. The graph shows West and Southeast Melbourne are the highest growth areas, followed by the Gold Co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Column chart showing the population growth in 9 to 16 year olds between 2016-21 in selected high growth SA4 regions. The graph shows West and Southeast Melbourne are the highest growth areas, followed by the Gold Coast."/>
                    <pic:cNvPicPr/>
                  </pic:nvPicPr>
                  <pic:blipFill>
                    <a:blip r:embed="rId44">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5731510" cy="2926715"/>
                    </a:xfrm>
                    <a:prstGeom prst="rect">
                      <a:avLst/>
                    </a:prstGeom>
                  </pic:spPr>
                </pic:pic>
              </a:graphicData>
            </a:graphic>
          </wp:inline>
        </w:drawing>
      </w:r>
      <w:r w:rsidR="00145E3C" w:rsidRPr="00E96855">
        <w:t xml:space="preserve">Source: </w:t>
      </w:r>
      <w:r w:rsidR="009D33FE" w:rsidRPr="00E96855">
        <w:t xml:space="preserve">Department of Education internal analysis based on ABS, </w:t>
      </w:r>
      <w:hyperlink r:id="rId46" w:history="1">
        <w:r w:rsidR="009D33FE" w:rsidRPr="00E96855">
          <w:rPr>
            <w:rStyle w:val="Hyperlink"/>
            <w:i/>
            <w:szCs w:val="18"/>
          </w:rPr>
          <w:t>Population and Housing, Census 2016 and 2021</w:t>
        </w:r>
      </w:hyperlink>
      <w:r w:rsidR="009D33FE" w:rsidRPr="00E96855">
        <w:t xml:space="preserve"> [data set], 2021, accessed 6 June 2023. Reproduction based on </w:t>
      </w:r>
      <w:r w:rsidR="005E6B73" w:rsidRPr="00E96855">
        <w:t xml:space="preserve">Andrew Norton's </w:t>
      </w:r>
      <w:hyperlink r:id="rId47" w:history="1">
        <w:r w:rsidR="005E6B73" w:rsidRPr="00E96855">
          <w:rPr>
            <w:rStyle w:val="Hyperlink"/>
            <w:i/>
            <w:szCs w:val="18"/>
          </w:rPr>
          <w:t>S</w:t>
        </w:r>
        <w:r w:rsidR="005E6B73" w:rsidRPr="00E96855">
          <w:rPr>
            <w:rStyle w:val="Hyperlink"/>
            <w:i/>
            <w:iCs/>
            <w:szCs w:val="18"/>
          </w:rPr>
          <w:t>ubmission</w:t>
        </w:r>
        <w:r w:rsidR="009D33FE" w:rsidRPr="00E96855">
          <w:rPr>
            <w:rStyle w:val="Hyperlink"/>
            <w:i/>
            <w:szCs w:val="18"/>
          </w:rPr>
          <w:t xml:space="preserve"> </w:t>
        </w:r>
        <w:r w:rsidR="00776172" w:rsidRPr="00E96855">
          <w:rPr>
            <w:rStyle w:val="Hyperlink"/>
            <w:i/>
            <w:szCs w:val="18"/>
          </w:rPr>
          <w:t>to</w:t>
        </w:r>
        <w:r w:rsidR="009D33FE" w:rsidRPr="00E96855">
          <w:rPr>
            <w:rStyle w:val="Hyperlink"/>
            <w:i/>
            <w:szCs w:val="18"/>
          </w:rPr>
          <w:t xml:space="preserve"> the </w:t>
        </w:r>
        <w:r w:rsidR="00776172" w:rsidRPr="00E96855">
          <w:rPr>
            <w:rStyle w:val="Hyperlink"/>
            <w:i/>
            <w:szCs w:val="18"/>
          </w:rPr>
          <w:t xml:space="preserve">Australian Universities </w:t>
        </w:r>
        <w:r w:rsidR="009D33FE" w:rsidRPr="00E96855">
          <w:rPr>
            <w:rStyle w:val="Hyperlink"/>
            <w:i/>
            <w:szCs w:val="18"/>
          </w:rPr>
          <w:t>Accord Terms of Reference</w:t>
        </w:r>
      </w:hyperlink>
      <w:r w:rsidR="009D33FE" w:rsidRPr="00E96855">
        <w:t>.</w:t>
      </w:r>
    </w:p>
    <w:p w14:paraId="1B04E871" w14:textId="12C58F20" w:rsidR="00145E3C" w:rsidRPr="001E7AA4" w:rsidRDefault="0B1F8B95" w:rsidP="00F72CFE">
      <w:pPr>
        <w:pStyle w:val="Heading5"/>
      </w:pPr>
      <w:bookmarkStart w:id="89" w:name="_Toc136169132"/>
      <w:bookmarkStart w:id="90" w:name="_Toc137829534"/>
      <w:bookmarkStart w:id="91" w:name="_Toc1540868331"/>
      <w:bookmarkStart w:id="92" w:name="_Toc139028866"/>
      <w:r w:rsidRPr="001E7AA4">
        <w:t>2.1.3 Meeting attainment targets requires increased equity cohort participation</w:t>
      </w:r>
      <w:bookmarkEnd w:id="89"/>
      <w:bookmarkEnd w:id="90"/>
      <w:bookmarkEnd w:id="91"/>
      <w:bookmarkEnd w:id="92"/>
    </w:p>
    <w:p w14:paraId="2DCE535E" w14:textId="37CD4413" w:rsidR="00FE1553" w:rsidRPr="001E7AA4" w:rsidRDefault="00145E3C" w:rsidP="00145E3C">
      <w:r w:rsidRPr="001E7AA4">
        <w:t>An increase in the number of people gaining a higher education requires an increase in enrolments by students from traditionally underrepresented backgrounds. In 2021, 17</w:t>
      </w:r>
      <w:r w:rsidRPr="001E7AA4" w:rsidDel="0002240E">
        <w:t>%</w:t>
      </w:r>
      <w:r w:rsidRPr="001E7AA4">
        <w:t xml:space="preserve"> of undergraduate students were from a low</w:t>
      </w:r>
      <w:r w:rsidR="00856A92" w:rsidRPr="001E7AA4">
        <w:t xml:space="preserve"> </w:t>
      </w:r>
      <w:r w:rsidRPr="001E7AA4">
        <w:t xml:space="preserve">SES background, well below </w:t>
      </w:r>
      <w:r w:rsidR="0031721F" w:rsidRPr="001E7AA4">
        <w:t>25</w:t>
      </w:r>
      <w:r w:rsidR="0031721F" w:rsidRPr="001E7AA4" w:rsidDel="0002240E">
        <w:t>%</w:t>
      </w:r>
      <w:r w:rsidR="0002240E" w:rsidRPr="001E7AA4">
        <w:t xml:space="preserve"> </w:t>
      </w:r>
      <w:r w:rsidR="0031721F" w:rsidRPr="001E7AA4">
        <w:t xml:space="preserve">which would attain parity based on </w:t>
      </w:r>
      <w:r w:rsidRPr="001E7AA4">
        <w:t>the percentage share of the population.</w:t>
      </w:r>
      <w:r w:rsidRPr="001E7AA4">
        <w:rPr>
          <w:rStyle w:val="FootnoteReference"/>
        </w:rPr>
        <w:footnoteReference w:id="37"/>
      </w:r>
    </w:p>
    <w:p w14:paraId="26560401" w14:textId="0E82EAE6" w:rsidR="00145E3C" w:rsidRDefault="00A85C49" w:rsidP="00145E3C">
      <w:r w:rsidRPr="001E7AA4">
        <w:t>Figure 2.1-</w:t>
      </w:r>
      <w:r w:rsidR="004742A2" w:rsidRPr="001E7AA4">
        <w:t>7</w:t>
      </w:r>
      <w:r w:rsidRPr="001E7AA4">
        <w:t xml:space="preserve"> demonstrates that a</w:t>
      </w:r>
      <w:r w:rsidR="00145E3C" w:rsidRPr="001E7AA4">
        <w:t xml:space="preserve"> similar pattern is true for students from regional and remote areas and First Nations students, all of whom remain underrepresented in the higher education system.</w:t>
      </w:r>
      <w:r w:rsidR="0017001A" w:rsidRPr="001E7AA4">
        <w:t xml:space="preserve"> </w:t>
      </w:r>
      <w:r w:rsidR="000A4971" w:rsidRPr="001E7AA4">
        <w:t>It also shows that</w:t>
      </w:r>
      <w:r w:rsidR="007D0E94" w:rsidRPr="001E7AA4">
        <w:t xml:space="preserve"> </w:t>
      </w:r>
      <w:r w:rsidR="007E2025" w:rsidRPr="001E7AA4">
        <w:t xml:space="preserve">there </w:t>
      </w:r>
      <w:r w:rsidR="0017001A" w:rsidRPr="001E7AA4">
        <w:t xml:space="preserve">has been </w:t>
      </w:r>
      <w:r w:rsidR="00B42E89" w:rsidRPr="001E7AA4">
        <w:t xml:space="preserve">recent </w:t>
      </w:r>
      <w:r w:rsidR="00D70A2D" w:rsidRPr="001E7AA4">
        <w:t xml:space="preserve">positive </w:t>
      </w:r>
      <w:r w:rsidR="00B42E89" w:rsidRPr="001E7AA4">
        <w:t>increases in students with disability</w:t>
      </w:r>
      <w:r w:rsidR="00643213" w:rsidRPr="001E7AA4">
        <w:t xml:space="preserve"> participating in higher education</w:t>
      </w:r>
      <w:r w:rsidR="00A5471E" w:rsidRPr="001E7AA4">
        <w:t>.</w:t>
      </w:r>
      <w:r w:rsidR="00D70A2D" w:rsidRPr="001E7AA4">
        <w:rPr>
          <w:rStyle w:val="FootnoteReference"/>
        </w:rPr>
        <w:footnoteReference w:id="38"/>
      </w:r>
      <w:r w:rsidR="00A5471E" w:rsidRPr="001E7AA4">
        <w:t xml:space="preserve"> </w:t>
      </w:r>
      <w:r w:rsidR="00AC2238" w:rsidRPr="001E7AA4">
        <w:t xml:space="preserve">This </w:t>
      </w:r>
      <w:r w:rsidR="00732B47" w:rsidRPr="001E7AA4">
        <w:t>positive</w:t>
      </w:r>
      <w:r w:rsidR="00AC2238" w:rsidRPr="001E7AA4">
        <w:t xml:space="preserve"> </w:t>
      </w:r>
      <w:r w:rsidR="00C17864" w:rsidRPr="001E7AA4">
        <w:t>increase</w:t>
      </w:r>
      <w:r w:rsidR="00AC2238" w:rsidRPr="001E7AA4">
        <w:t xml:space="preserve"> has been due to increased accessibility to higher education as a result of moving to online learning during the pandemic, and </w:t>
      </w:r>
      <w:r w:rsidR="00ED3B92" w:rsidRPr="001E7AA4">
        <w:t>increased</w:t>
      </w:r>
      <w:r w:rsidR="00AC2238" w:rsidRPr="001E7AA4">
        <w:t xml:space="preserve"> reporting</w:t>
      </w:r>
      <w:r w:rsidR="00ED3B92" w:rsidRPr="001E7AA4">
        <w:t xml:space="preserve"> of mental health conditions. There is a risk that this positive increase </w:t>
      </w:r>
      <w:r w:rsidR="00A0658C" w:rsidRPr="001E7AA4">
        <w:t>might stall or reverse if universities don’t allow ongoing hybrid learning to continue.</w:t>
      </w:r>
      <w:r w:rsidR="00ED3B92" w:rsidRPr="001E7AA4">
        <w:t xml:space="preserve"> </w:t>
      </w:r>
    </w:p>
    <w:p w14:paraId="435D663E" w14:textId="77777777" w:rsidR="00C278D3" w:rsidRDefault="00C278D3">
      <w:pPr>
        <w:spacing w:after="160"/>
      </w:pPr>
      <w:bookmarkStart w:id="93" w:name="_Hlk135906588"/>
      <w:r>
        <w:rPr>
          <w:iCs/>
        </w:rPr>
        <w:br w:type="page"/>
      </w:r>
    </w:p>
    <w:p w14:paraId="4CE462BE" w14:textId="1DFB0E39" w:rsidR="00145E3C" w:rsidRPr="001E7AA4" w:rsidRDefault="00145E3C" w:rsidP="00C278D3">
      <w:pPr>
        <w:pStyle w:val="Caption"/>
        <w:rPr>
          <w:color w:val="auto"/>
        </w:rPr>
      </w:pPr>
      <w:r w:rsidRPr="001E7AA4">
        <w:lastRenderedPageBreak/>
        <w:t>Figure 2.1-</w:t>
      </w:r>
      <w:r w:rsidR="004742A2" w:rsidRPr="001E7AA4">
        <w:t>7</w:t>
      </w:r>
      <w:r w:rsidRPr="001E7AA4">
        <w:t xml:space="preserve">: Participation </w:t>
      </w:r>
      <w:r w:rsidRPr="00C278D3">
        <w:t>ratio</w:t>
      </w:r>
      <w:r w:rsidRPr="001E7AA4">
        <w:t xml:space="preserve"> for underrepresented groups at Table A institutions, 2005 to 2021</w:t>
      </w:r>
      <w:bookmarkEnd w:id="93"/>
      <w:r w:rsidR="00EC3C9B" w:rsidRPr="001E7AA4">
        <w:t>.</w:t>
      </w:r>
      <w:r w:rsidR="004B33BB" w:rsidRPr="001E7AA4">
        <w:t>*</w:t>
      </w:r>
      <w:r w:rsidRPr="001E7AA4">
        <w:rPr>
          <w:color w:val="auto"/>
        </w:rPr>
        <w:t xml:space="preserve"> </w:t>
      </w:r>
    </w:p>
    <w:p w14:paraId="780D7A2E" w14:textId="4CC1CF49" w:rsidR="009115D1" w:rsidRDefault="00C52937" w:rsidP="00C278D3">
      <w:pPr>
        <w:pStyle w:val="Source"/>
        <w:spacing w:before="240" w:after="120"/>
      </w:pPr>
      <w:r w:rsidRPr="001E7AA4">
        <w:rPr>
          <w:noProof/>
        </w:rPr>
        <w:drawing>
          <wp:inline distT="0" distB="0" distL="0" distR="0" wp14:anchorId="4239F737" wp14:editId="47DFD438">
            <wp:extent cx="5731510" cy="2607945"/>
            <wp:effectExtent l="0" t="0" r="0" b="0"/>
            <wp:docPr id="41" name="Picture 41" descr="Line chart showing participation of under-represented groups remaining lower than equitable population benchmarks between 2005 and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Line chart showing participation of under-represented groups remaining lower than equitable population benchmarks between 2005 and 2021."/>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5731510" cy="2607945"/>
                    </a:xfrm>
                    <a:prstGeom prst="rect">
                      <a:avLst/>
                    </a:prstGeom>
                  </pic:spPr>
                </pic:pic>
              </a:graphicData>
            </a:graphic>
          </wp:inline>
        </w:drawing>
      </w:r>
      <w:r w:rsidR="009115D1" w:rsidRPr="001E7AA4">
        <w:t>* Prior to 2011 low SES was based on postcode, and subsequently it was based on Statistical Area 1. From 2016 onwards, low SES and regional/remote data is based on First Address.</w:t>
      </w:r>
    </w:p>
    <w:p w14:paraId="37B3CD2E" w14:textId="656F4095" w:rsidR="00145E3C" w:rsidRPr="001E7AA4" w:rsidRDefault="00145E3C" w:rsidP="00C278D3">
      <w:pPr>
        <w:pStyle w:val="Source"/>
        <w:rPr>
          <w:rFonts w:ascii="Calibri" w:hAnsi="Calibri" w:cs="Calibri"/>
          <w:color w:val="808080" w:themeColor="background1" w:themeShade="80"/>
          <w:szCs w:val="18"/>
        </w:rPr>
      </w:pPr>
      <w:r w:rsidRPr="00E74934">
        <w:t xml:space="preserve">Source: </w:t>
      </w:r>
      <w:r w:rsidR="00EC3C9B" w:rsidRPr="00E74934">
        <w:t xml:space="preserve">Department of Education, </w:t>
      </w:r>
      <w:hyperlink r:id="rId50" w:history="1">
        <w:r w:rsidR="00EC3C9B" w:rsidRPr="001E7AA4">
          <w:rPr>
            <w:rStyle w:val="Hyperlink"/>
            <w:rFonts w:ascii="Calibri" w:hAnsi="Calibri" w:cs="Calibri"/>
            <w:i/>
            <w:szCs w:val="18"/>
          </w:rPr>
          <w:t>Higher Education Statistics – 2021 Student Data</w:t>
        </w:r>
      </w:hyperlink>
      <w:r w:rsidR="00EC3C9B" w:rsidRPr="00E74934">
        <w:t xml:space="preserve"> [data set], 2023, accessed 7 June 2023.</w:t>
      </w:r>
    </w:p>
    <w:p w14:paraId="794A9212" w14:textId="67513B83" w:rsidR="006D001D" w:rsidRPr="001E7AA4" w:rsidRDefault="006D001D" w:rsidP="006D001D">
      <w:pPr>
        <w:rPr>
          <w:rFonts w:ascii="Calibri" w:eastAsia="Times New Roman" w:hAnsi="Calibri" w:cs="Calibri"/>
          <w:color w:val="000000"/>
          <w:lang w:eastAsia="en-GB"/>
        </w:rPr>
      </w:pPr>
      <w:r w:rsidRPr="001E7AA4">
        <w:rPr>
          <w:rFonts w:ascii="Calibri" w:eastAsia="Times New Roman" w:hAnsi="Calibri" w:cs="Calibri"/>
          <w:color w:val="000000" w:themeColor="text1"/>
          <w:lang w:eastAsia="en-GB"/>
        </w:rPr>
        <w:t>Meeting attainment targets requires increased equity participation</w:t>
      </w:r>
      <w:r w:rsidR="003E59D8" w:rsidRPr="001E7AA4">
        <w:rPr>
          <w:rFonts w:ascii="Calibri" w:eastAsia="Times New Roman" w:hAnsi="Calibri" w:cs="Calibri"/>
          <w:color w:val="000000" w:themeColor="text1"/>
          <w:lang w:eastAsia="en-GB"/>
        </w:rPr>
        <w:t>.</w:t>
      </w:r>
    </w:p>
    <w:p w14:paraId="45424208" w14:textId="598DFF69" w:rsidR="006D001D" w:rsidRPr="001E7AA4" w:rsidRDefault="00B441F1" w:rsidP="006D001D">
      <w:pPr>
        <w:rPr>
          <w:rFonts w:ascii="Calibri" w:eastAsia="Times New Roman" w:hAnsi="Calibri" w:cs="Calibri"/>
          <w:color w:val="000000"/>
          <w:lang w:eastAsia="en-GB"/>
        </w:rPr>
      </w:pPr>
      <w:r w:rsidRPr="001E7AA4">
        <w:rPr>
          <w:rFonts w:ascii="Calibri" w:eastAsia="Times New Roman" w:hAnsi="Calibri" w:cs="Calibri"/>
          <w:color w:val="000000"/>
          <w:lang w:eastAsia="en-GB"/>
        </w:rPr>
        <w:t>We need to start increas</w:t>
      </w:r>
      <w:r w:rsidR="002B3A7E">
        <w:rPr>
          <w:rFonts w:ascii="Calibri" w:eastAsia="Times New Roman" w:hAnsi="Calibri" w:cs="Calibri"/>
          <w:color w:val="000000"/>
          <w:lang w:eastAsia="en-GB"/>
        </w:rPr>
        <w:t>ing participation</w:t>
      </w:r>
      <w:r w:rsidRPr="001E7AA4">
        <w:rPr>
          <w:rFonts w:ascii="Calibri" w:eastAsia="Times New Roman" w:hAnsi="Calibri" w:cs="Calibri"/>
          <w:color w:val="000000"/>
          <w:lang w:eastAsia="en-GB"/>
        </w:rPr>
        <w:t xml:space="preserve"> </w:t>
      </w:r>
      <w:r w:rsidR="006D001D" w:rsidRPr="001E7AA4">
        <w:rPr>
          <w:rFonts w:ascii="Calibri" w:eastAsia="Times New Roman" w:hAnsi="Calibri" w:cs="Calibri"/>
          <w:color w:val="000000"/>
          <w:lang w:eastAsia="en-GB"/>
        </w:rPr>
        <w:t xml:space="preserve">in higher education </w:t>
      </w:r>
      <w:r w:rsidRPr="001E7AA4">
        <w:rPr>
          <w:rFonts w:ascii="Calibri" w:eastAsia="Times New Roman" w:hAnsi="Calibri" w:cs="Calibri"/>
          <w:color w:val="000000"/>
          <w:lang w:eastAsia="en-GB"/>
        </w:rPr>
        <w:t xml:space="preserve">now to reach our future attainment needs. </w:t>
      </w:r>
      <w:r w:rsidR="006D001D" w:rsidRPr="001E7AA4">
        <w:rPr>
          <w:rFonts w:ascii="Calibri" w:eastAsia="Times New Roman" w:hAnsi="Calibri" w:cs="Calibri"/>
          <w:color w:val="000000"/>
          <w:lang w:eastAsia="en-GB"/>
        </w:rPr>
        <w:t>The BIS</w:t>
      </w:r>
      <w:r w:rsidR="002B3A7E">
        <w:rPr>
          <w:rFonts w:ascii="Calibri" w:eastAsia="Times New Roman" w:hAnsi="Calibri" w:cs="Calibri"/>
          <w:color w:val="000000"/>
          <w:lang w:eastAsia="en-GB"/>
        </w:rPr>
        <w:t> </w:t>
      </w:r>
      <w:r w:rsidR="006D001D" w:rsidRPr="001E7AA4">
        <w:rPr>
          <w:rFonts w:ascii="Calibri" w:eastAsia="Times New Roman" w:hAnsi="Calibri" w:cs="Calibri"/>
          <w:color w:val="000000"/>
          <w:lang w:eastAsia="en-GB"/>
        </w:rPr>
        <w:t xml:space="preserve">OE analysis </w:t>
      </w:r>
      <w:r w:rsidR="0087128E" w:rsidRPr="001E7AA4">
        <w:rPr>
          <w:rFonts w:ascii="Calibri" w:eastAsia="Times New Roman" w:hAnsi="Calibri" w:cs="Calibri"/>
          <w:color w:val="000000"/>
          <w:lang w:eastAsia="en-GB"/>
        </w:rPr>
        <w:t xml:space="preserve">suggests that </w:t>
      </w:r>
      <w:r w:rsidR="006D001D" w:rsidRPr="001E7AA4">
        <w:rPr>
          <w:rFonts w:ascii="Calibri" w:eastAsia="Times New Roman" w:hAnsi="Calibri" w:cs="Calibri"/>
          <w:color w:val="000000"/>
          <w:lang w:eastAsia="en-GB"/>
        </w:rPr>
        <w:t xml:space="preserve">Australia will require </w:t>
      </w:r>
      <w:r w:rsidR="00A85B7F" w:rsidRPr="001E7AA4">
        <w:rPr>
          <w:rFonts w:ascii="Calibri" w:eastAsia="Times New Roman" w:hAnsi="Calibri" w:cs="Calibri"/>
          <w:color w:val="000000"/>
          <w:lang w:eastAsia="en-GB"/>
        </w:rPr>
        <w:t>an</w:t>
      </w:r>
      <w:r w:rsidR="00F206E7" w:rsidRPr="001E7AA4">
        <w:rPr>
          <w:rFonts w:ascii="Calibri" w:eastAsia="Times New Roman" w:hAnsi="Calibri" w:cs="Calibri"/>
          <w:color w:val="000000"/>
          <w:lang w:eastAsia="en-GB"/>
        </w:rPr>
        <w:t xml:space="preserve"> attainment rate of </w:t>
      </w:r>
      <w:r w:rsidR="006D001D" w:rsidRPr="001E7AA4">
        <w:rPr>
          <w:rFonts w:ascii="Calibri" w:eastAsia="Times New Roman" w:hAnsi="Calibri" w:cs="Calibri"/>
          <w:color w:val="000000"/>
          <w:lang w:eastAsia="en-GB"/>
        </w:rPr>
        <w:t>55</w:t>
      </w:r>
      <w:r w:rsidR="006D001D" w:rsidRPr="001E7AA4" w:rsidDel="0002240E">
        <w:rPr>
          <w:rFonts w:ascii="Calibri" w:eastAsia="Times New Roman" w:hAnsi="Calibri" w:cs="Calibri"/>
          <w:color w:val="000000"/>
          <w:lang w:eastAsia="en-GB"/>
        </w:rPr>
        <w:t>%</w:t>
      </w:r>
      <w:r w:rsidR="0002240E" w:rsidRPr="001E7AA4">
        <w:rPr>
          <w:rFonts w:ascii="Calibri" w:eastAsia="Times New Roman" w:hAnsi="Calibri" w:cs="Calibri"/>
          <w:color w:val="000000"/>
          <w:lang w:eastAsia="en-GB"/>
        </w:rPr>
        <w:t xml:space="preserve"> </w:t>
      </w:r>
      <w:r w:rsidR="006D001D" w:rsidRPr="001E7AA4">
        <w:rPr>
          <w:rFonts w:ascii="Calibri" w:eastAsia="Times New Roman" w:hAnsi="Calibri" w:cs="Calibri"/>
          <w:color w:val="000000"/>
          <w:lang w:eastAsia="en-GB"/>
        </w:rPr>
        <w:t xml:space="preserve">by </w:t>
      </w:r>
      <w:r w:rsidR="00F206E7" w:rsidRPr="001E7AA4">
        <w:rPr>
          <w:rFonts w:ascii="Calibri" w:eastAsia="Times New Roman" w:hAnsi="Calibri" w:cs="Calibri"/>
          <w:color w:val="000000"/>
          <w:lang w:eastAsia="en-GB"/>
        </w:rPr>
        <w:t>around 2050</w:t>
      </w:r>
      <w:r w:rsidR="006D001D" w:rsidRPr="001E7AA4">
        <w:rPr>
          <w:rFonts w:ascii="Calibri" w:eastAsia="Times New Roman" w:hAnsi="Calibri" w:cs="Calibri"/>
          <w:color w:val="000000"/>
          <w:lang w:eastAsia="en-GB"/>
        </w:rPr>
        <w:t xml:space="preserve">. Initial analysis by the Department </w:t>
      </w:r>
      <w:r w:rsidR="00744776" w:rsidRPr="001E7AA4">
        <w:rPr>
          <w:rFonts w:ascii="Calibri" w:eastAsia="Times New Roman" w:hAnsi="Calibri" w:cs="Calibri"/>
          <w:color w:val="000000"/>
          <w:lang w:eastAsia="en-GB"/>
        </w:rPr>
        <w:t xml:space="preserve">of Education </w:t>
      </w:r>
      <w:r w:rsidR="00A85B7F" w:rsidRPr="001E7AA4">
        <w:rPr>
          <w:rFonts w:ascii="Calibri" w:eastAsia="Times New Roman" w:hAnsi="Calibri" w:cs="Calibri"/>
          <w:color w:val="000000"/>
          <w:lang w:eastAsia="en-GB"/>
        </w:rPr>
        <w:t xml:space="preserve">suggests </w:t>
      </w:r>
      <w:r w:rsidR="006D001D" w:rsidRPr="001E7AA4">
        <w:rPr>
          <w:rFonts w:ascii="Calibri" w:eastAsia="Times New Roman" w:hAnsi="Calibri" w:cs="Calibri"/>
          <w:color w:val="000000"/>
          <w:lang w:eastAsia="en-GB"/>
        </w:rPr>
        <w:t>Australia</w:t>
      </w:r>
      <w:r w:rsidR="00EE2FE7" w:rsidRPr="001E7AA4">
        <w:rPr>
          <w:rFonts w:ascii="Calibri" w:eastAsia="Times New Roman" w:hAnsi="Calibri" w:cs="Calibri"/>
          <w:color w:val="000000"/>
          <w:lang w:eastAsia="en-GB"/>
        </w:rPr>
        <w:t xml:space="preserve"> </w:t>
      </w:r>
      <w:r w:rsidR="009271D5" w:rsidRPr="001E7AA4">
        <w:rPr>
          <w:rFonts w:ascii="Calibri" w:eastAsia="Times New Roman" w:hAnsi="Calibri" w:cs="Calibri"/>
          <w:color w:val="000000"/>
          <w:lang w:eastAsia="en-GB"/>
        </w:rPr>
        <w:t xml:space="preserve">would </w:t>
      </w:r>
      <w:r w:rsidR="00F87ADE" w:rsidRPr="001E7AA4">
        <w:rPr>
          <w:rFonts w:ascii="Calibri" w:eastAsia="Times New Roman" w:hAnsi="Calibri" w:cs="Calibri"/>
          <w:color w:val="000000"/>
          <w:lang w:eastAsia="en-GB"/>
        </w:rPr>
        <w:t xml:space="preserve">need to increase </w:t>
      </w:r>
      <w:r w:rsidR="009847A0" w:rsidRPr="001E7AA4">
        <w:rPr>
          <w:rFonts w:ascii="Calibri" w:eastAsia="Times New Roman" w:hAnsi="Calibri" w:cs="Calibri"/>
          <w:color w:val="000000"/>
          <w:lang w:eastAsia="en-GB"/>
        </w:rPr>
        <w:t>Commonwealth supported</w:t>
      </w:r>
      <w:r w:rsidR="00F87ADE" w:rsidRPr="001E7AA4">
        <w:rPr>
          <w:rFonts w:ascii="Calibri" w:eastAsia="Times New Roman" w:hAnsi="Calibri" w:cs="Calibri"/>
          <w:color w:val="000000"/>
          <w:lang w:eastAsia="en-GB"/>
        </w:rPr>
        <w:t xml:space="preserve"> enrolments </w:t>
      </w:r>
      <w:r w:rsidR="00C25FFC" w:rsidRPr="001E7AA4">
        <w:rPr>
          <w:rFonts w:ascii="Calibri" w:eastAsia="Times New Roman" w:hAnsi="Calibri" w:cs="Calibri"/>
          <w:color w:val="000000"/>
          <w:lang w:eastAsia="en-GB"/>
        </w:rPr>
        <w:t>by</w:t>
      </w:r>
      <w:r w:rsidR="00791470" w:rsidRPr="001E7AA4">
        <w:rPr>
          <w:rFonts w:ascii="Calibri" w:eastAsia="Times New Roman" w:hAnsi="Calibri" w:cs="Calibri"/>
          <w:color w:val="000000"/>
          <w:lang w:eastAsia="en-GB"/>
        </w:rPr>
        <w:t xml:space="preserve"> </w:t>
      </w:r>
      <w:r w:rsidR="00780FB6" w:rsidRPr="001E7AA4">
        <w:rPr>
          <w:rFonts w:ascii="Calibri" w:eastAsia="Times New Roman" w:hAnsi="Calibri" w:cs="Calibri"/>
          <w:color w:val="000000"/>
          <w:lang w:eastAsia="en-GB"/>
        </w:rPr>
        <w:t xml:space="preserve">around </w:t>
      </w:r>
      <w:r w:rsidR="009640EF" w:rsidRPr="001E7AA4">
        <w:rPr>
          <w:rFonts w:ascii="Calibri" w:eastAsia="Times New Roman" w:hAnsi="Calibri" w:cs="Calibri"/>
          <w:color w:val="000000" w:themeColor="text1"/>
          <w:lang w:eastAsia="en-GB"/>
        </w:rPr>
        <w:t>33</w:t>
      </w:r>
      <w:r w:rsidR="00780FB6" w:rsidRPr="001E7AA4" w:rsidDel="0002240E">
        <w:rPr>
          <w:rFonts w:ascii="Calibri" w:eastAsia="Times New Roman" w:hAnsi="Calibri" w:cs="Calibri"/>
          <w:color w:val="000000"/>
          <w:lang w:eastAsia="en-GB"/>
        </w:rPr>
        <w:t>%</w:t>
      </w:r>
      <w:r w:rsidR="0002240E" w:rsidRPr="001E7AA4">
        <w:rPr>
          <w:rFonts w:ascii="Calibri" w:eastAsia="Times New Roman" w:hAnsi="Calibri" w:cs="Calibri"/>
          <w:color w:val="000000"/>
          <w:lang w:eastAsia="en-GB"/>
        </w:rPr>
        <w:t xml:space="preserve"> </w:t>
      </w:r>
      <w:r w:rsidR="00042B2E" w:rsidRPr="001E7AA4">
        <w:rPr>
          <w:rFonts w:ascii="Calibri" w:eastAsia="Times New Roman" w:hAnsi="Calibri" w:cs="Calibri"/>
          <w:color w:val="000000"/>
          <w:lang w:eastAsia="en-GB"/>
        </w:rPr>
        <w:t xml:space="preserve">from </w:t>
      </w:r>
      <w:r w:rsidR="009640EF" w:rsidRPr="001E7AA4">
        <w:rPr>
          <w:rFonts w:ascii="Calibri" w:eastAsia="Times New Roman" w:hAnsi="Calibri" w:cs="Calibri"/>
          <w:color w:val="000000" w:themeColor="text1"/>
          <w:lang w:eastAsia="en-GB"/>
        </w:rPr>
        <w:t xml:space="preserve">2021 </w:t>
      </w:r>
      <w:r w:rsidR="00042B2E" w:rsidRPr="001E7AA4">
        <w:rPr>
          <w:rFonts w:ascii="Calibri" w:eastAsia="Times New Roman" w:hAnsi="Calibri" w:cs="Calibri"/>
          <w:color w:val="000000"/>
          <w:lang w:eastAsia="en-GB"/>
        </w:rPr>
        <w:t>levels</w:t>
      </w:r>
      <w:r w:rsidR="00780FB6" w:rsidRPr="001E7AA4">
        <w:rPr>
          <w:rFonts w:ascii="Calibri" w:eastAsia="Times New Roman" w:hAnsi="Calibri" w:cs="Calibri"/>
          <w:color w:val="000000"/>
          <w:lang w:eastAsia="en-GB"/>
        </w:rPr>
        <w:t xml:space="preserve"> </w:t>
      </w:r>
      <w:r w:rsidR="00DC0B7D" w:rsidRPr="001E7AA4">
        <w:rPr>
          <w:rFonts w:ascii="Calibri" w:eastAsia="Times New Roman" w:hAnsi="Calibri" w:cs="Calibri"/>
          <w:color w:val="000000"/>
          <w:lang w:eastAsia="en-GB"/>
        </w:rPr>
        <w:t>by</w:t>
      </w:r>
      <w:r w:rsidR="006D001D" w:rsidRPr="001E7AA4">
        <w:rPr>
          <w:rFonts w:ascii="Calibri" w:eastAsia="Times New Roman" w:hAnsi="Calibri" w:cs="Calibri"/>
          <w:color w:val="000000"/>
          <w:lang w:eastAsia="en-GB"/>
        </w:rPr>
        <w:t xml:space="preserve"> </w:t>
      </w:r>
      <w:r w:rsidR="00791470" w:rsidRPr="001E7AA4">
        <w:rPr>
          <w:rFonts w:ascii="Calibri" w:eastAsia="Times New Roman" w:hAnsi="Calibri" w:cs="Calibri"/>
          <w:color w:val="000000"/>
          <w:lang w:eastAsia="en-GB"/>
        </w:rPr>
        <w:t>2035</w:t>
      </w:r>
      <w:r w:rsidR="006D001D" w:rsidRPr="001E7AA4">
        <w:rPr>
          <w:rFonts w:ascii="Calibri" w:eastAsia="Times New Roman" w:hAnsi="Calibri" w:cs="Calibri"/>
          <w:color w:val="000000"/>
          <w:lang w:eastAsia="en-GB"/>
        </w:rPr>
        <w:t xml:space="preserve"> to get on a trajectory to achiev</w:t>
      </w:r>
      <w:r w:rsidR="00006766" w:rsidRPr="001E7AA4">
        <w:rPr>
          <w:rFonts w:ascii="Calibri" w:eastAsia="Times New Roman" w:hAnsi="Calibri" w:cs="Calibri"/>
          <w:color w:val="000000"/>
          <w:lang w:eastAsia="en-GB"/>
        </w:rPr>
        <w:t>e</w:t>
      </w:r>
      <w:r w:rsidR="006D001D" w:rsidRPr="001E7AA4">
        <w:rPr>
          <w:rFonts w:ascii="Calibri" w:eastAsia="Times New Roman" w:hAnsi="Calibri" w:cs="Calibri"/>
          <w:color w:val="000000"/>
          <w:lang w:eastAsia="en-GB"/>
        </w:rPr>
        <w:t xml:space="preserve"> </w:t>
      </w:r>
      <w:r w:rsidR="7DE22790" w:rsidRPr="001E7AA4">
        <w:rPr>
          <w:rFonts w:ascii="Calibri" w:eastAsia="Times New Roman" w:hAnsi="Calibri" w:cs="Calibri"/>
          <w:color w:val="000000"/>
          <w:lang w:eastAsia="en-GB"/>
        </w:rPr>
        <w:t>this potential</w:t>
      </w:r>
      <w:r w:rsidR="006D001D" w:rsidRPr="001E7AA4">
        <w:rPr>
          <w:rFonts w:ascii="Calibri" w:eastAsia="Times New Roman" w:hAnsi="Calibri" w:cs="Calibri"/>
          <w:color w:val="000000"/>
          <w:lang w:eastAsia="en-GB"/>
        </w:rPr>
        <w:t xml:space="preserve"> target.</w:t>
      </w:r>
      <w:r w:rsidR="00B944B3" w:rsidRPr="001E7AA4">
        <w:rPr>
          <w:rFonts w:ascii="Calibri" w:eastAsia="Times New Roman" w:hAnsi="Calibri" w:cs="Calibri"/>
          <w:color w:val="000000"/>
          <w:lang w:eastAsia="en-GB"/>
        </w:rPr>
        <w:t xml:space="preserve"> </w:t>
      </w:r>
    </w:p>
    <w:p w14:paraId="253B87FA" w14:textId="658A67C6" w:rsidR="00145E3C" w:rsidRDefault="00145E3C" w:rsidP="00145E3C">
      <w:pPr>
        <w:rPr>
          <w:rFonts w:ascii="Calibri" w:eastAsia="Calibri" w:hAnsi="Calibri" w:cs="Calibri"/>
        </w:rPr>
      </w:pPr>
      <w:r w:rsidRPr="001E7AA4">
        <w:t>As shown in Figure 2.1-</w:t>
      </w:r>
      <w:r w:rsidR="004742A2" w:rsidRPr="001E7AA4">
        <w:t>8</w:t>
      </w:r>
      <w:r w:rsidRPr="001E7AA4">
        <w:t xml:space="preserve"> below,</w:t>
      </w:r>
      <w:r w:rsidR="00BB06D7" w:rsidRPr="001E7AA4">
        <w:rPr>
          <w:rFonts w:ascii="Calibri" w:eastAsia="Calibri" w:hAnsi="Calibri" w:cs="Calibri"/>
        </w:rPr>
        <w:t xml:space="preserve"> </w:t>
      </w:r>
      <w:r w:rsidR="00644494" w:rsidRPr="001E7AA4">
        <w:rPr>
          <w:rFonts w:ascii="Calibri" w:eastAsia="Calibri" w:hAnsi="Calibri" w:cs="Calibri"/>
        </w:rPr>
        <w:t xml:space="preserve">increasing attainment levels </w:t>
      </w:r>
      <w:r w:rsidRPr="001E7AA4">
        <w:rPr>
          <w:rFonts w:ascii="Calibri" w:eastAsia="Calibri" w:hAnsi="Calibri" w:cs="Calibri"/>
        </w:rPr>
        <w:t>will require significantly higher enrolments of students from equity backgrounds</w:t>
      </w:r>
      <w:r w:rsidR="00F3046C" w:rsidRPr="001E7AA4">
        <w:rPr>
          <w:rFonts w:ascii="Calibri" w:eastAsia="Calibri" w:hAnsi="Calibri" w:cs="Calibri"/>
        </w:rPr>
        <w:t xml:space="preserve"> to achieve parity of participation</w:t>
      </w:r>
      <w:r w:rsidRPr="001E7AA4">
        <w:rPr>
          <w:rFonts w:ascii="Calibri" w:eastAsia="Calibri" w:hAnsi="Calibri" w:cs="Calibri"/>
        </w:rPr>
        <w:t xml:space="preserve">. </w:t>
      </w:r>
      <w:r w:rsidR="00EF1180" w:rsidRPr="001E7AA4">
        <w:rPr>
          <w:rFonts w:ascii="Calibri" w:eastAsia="Calibri" w:hAnsi="Calibri" w:cs="Calibri"/>
        </w:rPr>
        <w:t xml:space="preserve">Given the increase needed in 2035, and to meet population parity, </w:t>
      </w:r>
      <w:r w:rsidR="00B9722F" w:rsidRPr="001E7AA4">
        <w:rPr>
          <w:rFonts w:ascii="Calibri" w:eastAsia="Calibri" w:hAnsi="Calibri" w:cs="Calibri"/>
        </w:rPr>
        <w:t>a</w:t>
      </w:r>
      <w:r w:rsidRPr="001E7AA4">
        <w:rPr>
          <w:rFonts w:ascii="Calibri" w:eastAsia="Calibri" w:hAnsi="Calibri" w:cs="Calibri"/>
        </w:rPr>
        <w:t xml:space="preserve">round </w:t>
      </w:r>
      <w:r w:rsidR="00F3046C" w:rsidRPr="001E7AA4">
        <w:rPr>
          <w:rFonts w:ascii="Calibri" w:eastAsia="Calibri" w:hAnsi="Calibri" w:cs="Calibri"/>
        </w:rPr>
        <w:t>60</w:t>
      </w:r>
      <w:r w:rsidRPr="001E7AA4" w:rsidDel="0002240E">
        <w:rPr>
          <w:rFonts w:ascii="Calibri" w:eastAsia="Calibri" w:hAnsi="Calibri" w:cs="Calibri"/>
        </w:rPr>
        <w:t>%</w:t>
      </w:r>
      <w:r w:rsidR="0002240E" w:rsidRPr="001E7AA4">
        <w:rPr>
          <w:rFonts w:ascii="Calibri" w:eastAsia="Calibri" w:hAnsi="Calibri" w:cs="Calibri"/>
        </w:rPr>
        <w:t xml:space="preserve"> </w:t>
      </w:r>
      <w:r w:rsidRPr="001E7AA4">
        <w:rPr>
          <w:rFonts w:ascii="Calibri" w:eastAsia="Calibri" w:hAnsi="Calibri" w:cs="Calibri"/>
        </w:rPr>
        <w:t>of the additional students would need to be from low</w:t>
      </w:r>
      <w:r w:rsidR="00856A92" w:rsidRPr="001E7AA4">
        <w:rPr>
          <w:rFonts w:ascii="Calibri" w:eastAsia="Calibri" w:hAnsi="Calibri" w:cs="Calibri"/>
        </w:rPr>
        <w:t xml:space="preserve"> </w:t>
      </w:r>
      <w:r w:rsidRPr="001E7AA4">
        <w:rPr>
          <w:rFonts w:ascii="Calibri" w:eastAsia="Calibri" w:hAnsi="Calibri" w:cs="Calibri"/>
        </w:rPr>
        <w:t xml:space="preserve">SES backgrounds, while </w:t>
      </w:r>
      <w:r w:rsidR="00F3046C" w:rsidRPr="001E7AA4">
        <w:rPr>
          <w:rFonts w:ascii="Calibri" w:eastAsia="Calibri" w:hAnsi="Calibri" w:cs="Calibri"/>
        </w:rPr>
        <w:t>4</w:t>
      </w:r>
      <w:r w:rsidR="00A241CC" w:rsidRPr="001E7AA4">
        <w:rPr>
          <w:rFonts w:ascii="Calibri" w:eastAsia="Calibri" w:hAnsi="Calibri" w:cs="Calibri"/>
        </w:rPr>
        <w:t>6</w:t>
      </w:r>
      <w:r w:rsidRPr="001E7AA4" w:rsidDel="0002240E">
        <w:rPr>
          <w:rFonts w:ascii="Calibri" w:eastAsia="Calibri" w:hAnsi="Calibri" w:cs="Calibri"/>
        </w:rPr>
        <w:t>%</w:t>
      </w:r>
      <w:r w:rsidR="0002240E" w:rsidRPr="001E7AA4">
        <w:rPr>
          <w:rFonts w:ascii="Calibri" w:eastAsia="Calibri" w:hAnsi="Calibri" w:cs="Calibri"/>
        </w:rPr>
        <w:t xml:space="preserve"> </w:t>
      </w:r>
      <w:r w:rsidRPr="001E7AA4">
        <w:rPr>
          <w:rFonts w:ascii="Calibri" w:eastAsia="Calibri" w:hAnsi="Calibri" w:cs="Calibri"/>
        </w:rPr>
        <w:t xml:space="preserve">will need to be from regional areas and </w:t>
      </w:r>
      <w:r w:rsidR="00F3046C" w:rsidRPr="001E7AA4">
        <w:rPr>
          <w:rFonts w:ascii="Calibri" w:eastAsia="Calibri" w:hAnsi="Calibri" w:cs="Calibri"/>
        </w:rPr>
        <w:t>7</w:t>
      </w:r>
      <w:r w:rsidRPr="001E7AA4" w:rsidDel="0002240E">
        <w:rPr>
          <w:rFonts w:ascii="Calibri" w:eastAsia="Calibri" w:hAnsi="Calibri" w:cs="Calibri"/>
        </w:rPr>
        <w:t>%</w:t>
      </w:r>
      <w:r w:rsidR="0002240E" w:rsidRPr="001E7AA4">
        <w:rPr>
          <w:rFonts w:ascii="Calibri" w:eastAsia="Calibri" w:hAnsi="Calibri" w:cs="Calibri"/>
        </w:rPr>
        <w:t xml:space="preserve"> </w:t>
      </w:r>
      <w:r w:rsidRPr="001E7AA4">
        <w:rPr>
          <w:rFonts w:ascii="Calibri" w:eastAsia="Calibri" w:hAnsi="Calibri" w:cs="Calibri"/>
        </w:rPr>
        <w:t xml:space="preserve">from remote areas. Around </w:t>
      </w:r>
      <w:r w:rsidR="00F3046C" w:rsidRPr="001E7AA4">
        <w:rPr>
          <w:rFonts w:ascii="Calibri" w:eastAsia="Calibri" w:hAnsi="Calibri" w:cs="Calibri"/>
        </w:rPr>
        <w:t>11</w:t>
      </w:r>
      <w:r w:rsidRPr="001E7AA4" w:rsidDel="0002240E">
        <w:rPr>
          <w:rFonts w:ascii="Calibri" w:eastAsia="Calibri" w:hAnsi="Calibri" w:cs="Calibri"/>
        </w:rPr>
        <w:t>%</w:t>
      </w:r>
      <w:r w:rsidRPr="001E7AA4">
        <w:rPr>
          <w:rFonts w:ascii="Calibri" w:eastAsia="Calibri" w:hAnsi="Calibri" w:cs="Calibri"/>
        </w:rPr>
        <w:t xml:space="preserve"> of these extra students would need to be from </w:t>
      </w:r>
      <w:r w:rsidRPr="001E7AA4">
        <w:t>First Nations communities</w:t>
      </w:r>
      <w:r w:rsidRPr="001E7AA4">
        <w:rPr>
          <w:rFonts w:ascii="Calibri" w:eastAsia="Calibri" w:hAnsi="Calibri" w:cs="Calibri"/>
        </w:rPr>
        <w:t xml:space="preserve">. This would require a significant increase in the proportion of commencing students from traditionally underrepresented backgrounds compared to </w:t>
      </w:r>
      <w:r w:rsidRPr="001E7AA4">
        <w:t>the current situation</w:t>
      </w:r>
      <w:r w:rsidRPr="001E7AA4">
        <w:rPr>
          <w:rFonts w:ascii="Calibri" w:eastAsia="Calibri" w:hAnsi="Calibri" w:cs="Calibri"/>
        </w:rPr>
        <w:t>.</w:t>
      </w:r>
      <w:r w:rsidR="004501C1" w:rsidRPr="001E7AA4">
        <w:rPr>
          <w:rFonts w:ascii="Calibri" w:eastAsia="Calibri" w:hAnsi="Calibri" w:cs="Calibri"/>
        </w:rPr>
        <w:t xml:space="preserve"> Within our cities, this would also require a change in the geographic distribution of higher education participation, with areas currently underrepresented receiving additional attention.</w:t>
      </w:r>
    </w:p>
    <w:p w14:paraId="609ABDCE" w14:textId="77777777" w:rsidR="00C278D3" w:rsidRDefault="00C278D3">
      <w:pPr>
        <w:spacing w:after="160"/>
        <w:rPr>
          <w:rFonts w:ascii="Calibri" w:eastAsia="Calibri" w:hAnsi="Calibri" w:cs="Calibri"/>
        </w:rPr>
      </w:pPr>
      <w:r>
        <w:rPr>
          <w:rFonts w:ascii="Calibri" w:eastAsia="Calibri" w:hAnsi="Calibri" w:cs="Calibri"/>
        </w:rPr>
        <w:br w:type="page"/>
      </w:r>
    </w:p>
    <w:p w14:paraId="0D0CAFED" w14:textId="619307AF" w:rsidR="00617965" w:rsidRPr="001E7AA4" w:rsidRDefault="00145E3C" w:rsidP="00C278D3">
      <w:pPr>
        <w:pStyle w:val="Caption"/>
      </w:pPr>
      <w:r w:rsidRPr="001E7AA4">
        <w:lastRenderedPageBreak/>
        <w:t>Figure 2.1-</w:t>
      </w:r>
      <w:r w:rsidR="004742A2" w:rsidRPr="001E7AA4">
        <w:t>8</w:t>
      </w:r>
      <w:r w:rsidRPr="001E7AA4">
        <w:t xml:space="preserve">: Share of additional enrolments by equity students to reach population parity </w:t>
      </w:r>
      <w:r w:rsidR="00541F77" w:rsidRPr="001E7AA4">
        <w:t>by 2035</w:t>
      </w:r>
      <w:r w:rsidR="00B10FB9" w:rsidRPr="001E7AA4">
        <w:t>.</w:t>
      </w:r>
    </w:p>
    <w:p w14:paraId="08827BD2" w14:textId="78EB2F31" w:rsidR="00145E3C" w:rsidRPr="00276F00" w:rsidRDefault="00C52937" w:rsidP="00C278D3">
      <w:pPr>
        <w:pStyle w:val="Source"/>
        <w:rPr>
          <w:color w:val="808080" w:themeColor="background1" w:themeShade="80"/>
          <w:szCs w:val="18"/>
        </w:rPr>
      </w:pPr>
      <w:r w:rsidRPr="001E7AA4">
        <w:rPr>
          <w:noProof/>
        </w:rPr>
        <w:drawing>
          <wp:inline distT="0" distB="0" distL="0" distR="0" wp14:anchorId="717E5067" wp14:editId="65BA581B">
            <wp:extent cx="5731510" cy="2007870"/>
            <wp:effectExtent l="0" t="0" r="0" b="0"/>
            <wp:docPr id="42" name="Picture 42" descr="Column graph showing the share of additional enrolments by equity students required to reach population parity by 2035 in comparison to the current share of domestic undergraduate enrolments by equity students. The graph demonstrates that large proportions of the additional students required to reach 55% higher education attainment by 2050 would need to be from low SES backgrounds, from regional and remote areas, or from First nations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Column graph showing the share of additional enrolments by equity students required to reach population parity by 2035 in comparison to the current share of domestic undergraduate enrolments by equity students. The graph demonstrates that large proportions of the additional students required to reach 55% higher education attainment by 2050 would need to be from low SES backgrounds, from regional and remote areas, or from First nations communities."/>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5731510" cy="2007870"/>
                    </a:xfrm>
                    <a:prstGeom prst="rect">
                      <a:avLst/>
                    </a:prstGeom>
                  </pic:spPr>
                </pic:pic>
              </a:graphicData>
            </a:graphic>
          </wp:inline>
        </w:drawing>
      </w:r>
      <w:r w:rsidR="00145E3C" w:rsidRPr="00E74934">
        <w:t xml:space="preserve">Source: </w:t>
      </w:r>
      <w:r w:rsidR="00825F33" w:rsidRPr="00E74934">
        <w:t xml:space="preserve">Department of Education internal analysis based on ABS, </w:t>
      </w:r>
      <w:hyperlink r:id="rId53" w:history="1">
        <w:r w:rsidR="00825F33" w:rsidRPr="00276F00">
          <w:rPr>
            <w:rStyle w:val="Hyperlink"/>
            <w:i/>
            <w:szCs w:val="18"/>
          </w:rPr>
          <w:t>Population and Housing, Census 2021</w:t>
        </w:r>
      </w:hyperlink>
      <w:r w:rsidR="00825F33" w:rsidRPr="00E74934">
        <w:t xml:space="preserve">; </w:t>
      </w:r>
      <w:hyperlink r:id="rId54" w:history="1">
        <w:r w:rsidR="00825F33" w:rsidRPr="00276F00">
          <w:rPr>
            <w:rStyle w:val="Hyperlink"/>
            <w:i/>
            <w:szCs w:val="18"/>
          </w:rPr>
          <w:t>Population Projections, Australia</w:t>
        </w:r>
      </w:hyperlink>
      <w:r w:rsidR="00825F33" w:rsidRPr="00E74934">
        <w:t xml:space="preserve"> [data sets], 2021, accessed 6 June 2023; Centre for Population, </w:t>
      </w:r>
      <w:hyperlink r:id="rId55" w:history="1">
        <w:r w:rsidR="00825F33" w:rsidRPr="00276F00">
          <w:rPr>
            <w:rStyle w:val="Hyperlink"/>
            <w:i/>
            <w:szCs w:val="18"/>
          </w:rPr>
          <w:t>Budget 2023-24, population projections, Australia</w:t>
        </w:r>
      </w:hyperlink>
      <w:r w:rsidR="00825F33" w:rsidRPr="00E74934">
        <w:t xml:space="preserve"> [data set]</w:t>
      </w:r>
      <w:r w:rsidR="002B3A7E" w:rsidRPr="00E74934">
        <w:t>,</w:t>
      </w:r>
      <w:r w:rsidR="00825F33" w:rsidRPr="00E74934">
        <w:t xml:space="preserve"> accessed 6 June 2023 and Department of Education, Higher Education Statistics –Student Data [unpublished data]. </w:t>
      </w:r>
    </w:p>
    <w:p w14:paraId="72D57FB9" w14:textId="3C072A06" w:rsidR="007272F5" w:rsidRPr="001E7AA4" w:rsidRDefault="006D7814" w:rsidP="00145E3C">
      <w:r w:rsidRPr="001E7AA4">
        <w:t>People</w:t>
      </w:r>
      <w:r w:rsidR="007272F5" w:rsidRPr="001E7AA4">
        <w:t xml:space="preserve"> from equity groups are currently less likely to apply to </w:t>
      </w:r>
      <w:r w:rsidRPr="001E7AA4">
        <w:t xml:space="preserve">go to </w:t>
      </w:r>
      <w:r w:rsidR="007272F5" w:rsidRPr="001E7AA4">
        <w:t>university</w:t>
      </w:r>
      <w:r w:rsidR="001C687B" w:rsidRPr="001E7AA4">
        <w:t>. For example, only 20</w:t>
      </w:r>
      <w:r w:rsidR="001C687B" w:rsidRPr="001E7AA4" w:rsidDel="0002240E">
        <w:t>%</w:t>
      </w:r>
      <w:r w:rsidR="0002240E" w:rsidRPr="001E7AA4">
        <w:t xml:space="preserve"> </w:t>
      </w:r>
      <w:r w:rsidR="001C687B" w:rsidRPr="001E7AA4">
        <w:t>of applicants are from low</w:t>
      </w:r>
      <w:r w:rsidR="00856A92" w:rsidRPr="001E7AA4">
        <w:t xml:space="preserve"> </w:t>
      </w:r>
      <w:r w:rsidR="001C687B" w:rsidRPr="001E7AA4">
        <w:t>SES backgrounds, while 2.4</w:t>
      </w:r>
      <w:r w:rsidR="001C687B" w:rsidRPr="001E7AA4" w:rsidDel="0002240E">
        <w:t>%</w:t>
      </w:r>
      <w:r w:rsidR="0002240E" w:rsidRPr="001E7AA4">
        <w:t xml:space="preserve"> </w:t>
      </w:r>
      <w:r w:rsidR="001C687B" w:rsidRPr="001E7AA4">
        <w:t>are First Nations.</w:t>
      </w:r>
      <w:r w:rsidR="007272F5" w:rsidRPr="001E7AA4">
        <w:t xml:space="preserve"> </w:t>
      </w:r>
      <w:r w:rsidR="001A43F8" w:rsidRPr="001E7AA4">
        <w:t>A</w:t>
      </w:r>
      <w:r w:rsidR="00247294" w:rsidRPr="001E7AA4">
        <w:t>chiev</w:t>
      </w:r>
      <w:r w:rsidR="001A43F8" w:rsidRPr="001E7AA4">
        <w:t>ing</w:t>
      </w:r>
      <w:r w:rsidR="00247294" w:rsidRPr="001E7AA4">
        <w:t xml:space="preserve"> the ambitious growth targets this Review is considering will require </w:t>
      </w:r>
      <w:r w:rsidR="002764DE" w:rsidRPr="001E7AA4">
        <w:t>significant growth in applications from such students.</w:t>
      </w:r>
    </w:p>
    <w:p w14:paraId="10D4EBDA" w14:textId="4300974E" w:rsidR="00145E3C" w:rsidRPr="001E7AA4" w:rsidRDefault="00145E3C" w:rsidP="00145E3C">
      <w:r w:rsidRPr="001E7AA4">
        <w:t xml:space="preserve">To meet any attainment targets that are set, the system must </w:t>
      </w:r>
      <w:r w:rsidR="004501C1" w:rsidRPr="001E7AA4">
        <w:t xml:space="preserve">both </w:t>
      </w:r>
      <w:r w:rsidRPr="001E7AA4">
        <w:t>attract</w:t>
      </w:r>
      <w:r w:rsidR="004501C1" w:rsidRPr="001E7AA4">
        <w:t xml:space="preserve"> enrolments</w:t>
      </w:r>
      <w:r w:rsidRPr="001E7AA4">
        <w:t xml:space="preserve"> and support the success of participants who fully reflect Australia's diverse and talented population. A stronger commitment to parity in access, participation and outcomes, require</w:t>
      </w:r>
      <w:r w:rsidR="005A2C31" w:rsidRPr="001E7AA4">
        <w:t>s</w:t>
      </w:r>
      <w:r w:rsidRPr="001E7AA4">
        <w:t xml:space="preserve"> a significant renewal of efforts, underpinned by a funding system that supports such an increase in enrolments. This</w:t>
      </w:r>
      <w:r w:rsidRPr="001E7AA4" w:rsidDel="004501C1">
        <w:t xml:space="preserve"> </w:t>
      </w:r>
      <w:r w:rsidR="004501C1" w:rsidRPr="001E7AA4">
        <w:t>will</w:t>
      </w:r>
      <w:r w:rsidRPr="001E7AA4">
        <w:t xml:space="preserve"> take time and require institutions to embed equity more effectively in their institutional missions, polic</w:t>
      </w:r>
      <w:r w:rsidR="002B3A7E">
        <w:t>ies</w:t>
      </w:r>
      <w:r w:rsidRPr="001E7AA4">
        <w:t xml:space="preserve"> and programs.</w:t>
      </w:r>
    </w:p>
    <w:p w14:paraId="5368C563" w14:textId="77777777" w:rsidR="00145E3C" w:rsidRPr="001E7AA4" w:rsidRDefault="00145E3C" w:rsidP="00F72CFE">
      <w:pPr>
        <w:pStyle w:val="Heading6"/>
      </w:pPr>
      <w:r w:rsidRPr="001E7AA4">
        <w:t>2.1.3.1 Setting and meeting ambitious new targets</w:t>
      </w:r>
    </w:p>
    <w:p w14:paraId="756953D5" w14:textId="3C399F76" w:rsidR="00145E3C" w:rsidRPr="001E7AA4" w:rsidRDefault="00145E3C" w:rsidP="00145E3C">
      <w:r w:rsidRPr="001E7AA4">
        <w:t xml:space="preserve">Submissions to the Review offered mixed views on how to set new attainment and participation targets. Several submissions suggested that while the Bradley Review targets had been met in aggregate, more focus should be given to targets aimed at expanding access to people who want to </w:t>
      </w:r>
      <w:r w:rsidR="0606EEF6" w:rsidRPr="001E7AA4">
        <w:t>gain a higher education</w:t>
      </w:r>
      <w:r w:rsidRPr="001E7AA4">
        <w:t>. These submissions also called for specific attainment targets for traditionally underrepresented groups, including regional, low</w:t>
      </w:r>
      <w:r w:rsidR="00856A92" w:rsidRPr="001E7AA4">
        <w:t xml:space="preserve"> </w:t>
      </w:r>
      <w:r w:rsidRPr="001E7AA4">
        <w:t>SES and First Nations students.</w:t>
      </w:r>
      <w:r w:rsidRPr="001E7AA4">
        <w:rPr>
          <w:rStyle w:val="FootnoteReference"/>
        </w:rPr>
        <w:footnoteReference w:id="39"/>
      </w:r>
    </w:p>
    <w:p w14:paraId="64C20FA8" w14:textId="70F9C2E1" w:rsidR="00145E3C" w:rsidRPr="001E7AA4" w:rsidRDefault="00145E3C" w:rsidP="00145E3C">
      <w:r w:rsidRPr="001E7AA4">
        <w:t>Other submissions a</w:t>
      </w:r>
      <w:r w:rsidRPr="001E7AA4">
        <w:rPr>
          <w:rFonts w:ascii="Calibri" w:eastAsia="Calibri" w:hAnsi="Calibri" w:cs="Calibri"/>
        </w:rPr>
        <w:t>rgued that there are inherent difficulties in predicting Australia’s skill</w:t>
      </w:r>
      <w:r w:rsidR="00051507" w:rsidRPr="001E7AA4">
        <w:rPr>
          <w:rFonts w:ascii="Calibri" w:eastAsia="Calibri" w:hAnsi="Calibri" w:cs="Calibri"/>
        </w:rPr>
        <w:t>s</w:t>
      </w:r>
      <w:r w:rsidRPr="001E7AA4">
        <w:rPr>
          <w:rFonts w:ascii="Calibri" w:eastAsia="Calibri" w:hAnsi="Calibri" w:cs="Calibri"/>
        </w:rPr>
        <w:t xml:space="preserve"> needs, and that promoting arbitrary targets risks creating an oversupply of </w:t>
      </w:r>
      <w:r w:rsidRPr="001E7AA4" w:rsidDel="0025011B">
        <w:rPr>
          <w:rFonts w:ascii="Calibri" w:eastAsia="Calibri" w:hAnsi="Calibri" w:cs="Calibri"/>
        </w:rPr>
        <w:t>graduates</w:t>
      </w:r>
      <w:r w:rsidR="0025011B" w:rsidRPr="001E7AA4">
        <w:rPr>
          <w:rFonts w:ascii="Calibri" w:eastAsia="Calibri" w:hAnsi="Calibri" w:cs="Calibri"/>
        </w:rPr>
        <w:t>.</w:t>
      </w:r>
      <w:r w:rsidRPr="001E7AA4">
        <w:rPr>
          <w:rStyle w:val="FootnoteReference"/>
          <w:rFonts w:ascii="Calibri" w:eastAsia="Calibri" w:hAnsi="Calibri" w:cs="Calibri"/>
        </w:rPr>
        <w:footnoteReference w:id="40"/>
      </w:r>
    </w:p>
    <w:p w14:paraId="03DF94D9" w14:textId="35CB345C" w:rsidR="00145E3C" w:rsidRPr="001E7AA4" w:rsidRDefault="00145E3C" w:rsidP="00145E3C">
      <w:r w:rsidRPr="001E7AA4">
        <w:t xml:space="preserve">In the context of future skills needs, the Review supports establishing a new, higher target for higher education attainment within an ambitious tertiary target. An overall tertiary attainment target is appropriate as both VET and higher education will need to play a role in meeting future skills need. </w:t>
      </w:r>
      <w:r w:rsidR="008D0AB2" w:rsidRPr="001E7AA4">
        <w:t xml:space="preserve">A </w:t>
      </w:r>
      <w:r w:rsidR="008D0AB2" w:rsidRPr="001E7AA4">
        <w:rPr>
          <w:rFonts w:ascii="Calibri" w:eastAsia="Calibri" w:hAnsi="Calibri" w:cs="Calibri"/>
        </w:rPr>
        <w:t xml:space="preserve">national target could be a mechanism to draw the tertiary system together in pursuit of a common goal. </w:t>
      </w:r>
      <w:r w:rsidRPr="001E7AA4">
        <w:t xml:space="preserve">Monash </w:t>
      </w:r>
      <w:r w:rsidR="00B41A6B" w:rsidRPr="001E7AA4">
        <w:t>University</w:t>
      </w:r>
      <w:r w:rsidRPr="001E7AA4">
        <w:t xml:space="preserve"> proposed a tertiary attainment target of 75</w:t>
      </w:r>
      <w:r w:rsidR="000A769C" w:rsidRPr="001E7AA4">
        <w:t>%</w:t>
      </w:r>
      <w:r w:rsidRPr="001E7AA4">
        <w:t>.</w:t>
      </w:r>
      <w:r w:rsidRPr="001E7AA4">
        <w:rPr>
          <w:rStyle w:val="FootnoteReference"/>
        </w:rPr>
        <w:footnoteReference w:id="41"/>
      </w:r>
      <w:r w:rsidRPr="001E7AA4">
        <w:t xml:space="preserve"> </w:t>
      </w:r>
    </w:p>
    <w:p w14:paraId="335E0321" w14:textId="09A74BB6" w:rsidR="00145E3C" w:rsidRPr="001E7AA4" w:rsidRDefault="00145E3C" w:rsidP="00145E3C">
      <w:r w:rsidRPr="001E7AA4">
        <w:lastRenderedPageBreak/>
        <w:t>A high tertiary attainment target is consistent with the National School Reform Agreement (NSRA), which set a target of 90</w:t>
      </w:r>
      <w:r w:rsidRPr="001E7AA4" w:rsidDel="0002240E">
        <w:t>%</w:t>
      </w:r>
      <w:r w:rsidR="0002240E" w:rsidRPr="001E7AA4">
        <w:t xml:space="preserve"> </w:t>
      </w:r>
      <w:r w:rsidRPr="001E7AA4">
        <w:t xml:space="preserve">year 12 (or equivalent) or Certificate </w:t>
      </w:r>
      <w:r w:rsidR="00FA1E4E" w:rsidRPr="001E7AA4">
        <w:t xml:space="preserve">3 </w:t>
      </w:r>
      <w:r w:rsidRPr="001E7AA4">
        <w:t>or above attainment for people aged 20</w:t>
      </w:r>
      <w:r w:rsidR="00FA1E4E" w:rsidRPr="001E7AA4">
        <w:t xml:space="preserve"> to </w:t>
      </w:r>
      <w:r w:rsidRPr="001E7AA4">
        <w:t>24 by 2020.</w:t>
      </w:r>
      <w:r w:rsidR="0090060E" w:rsidRPr="001E7AA4">
        <w:rPr>
          <w:rStyle w:val="FootnoteReference"/>
        </w:rPr>
        <w:footnoteReference w:id="42"/>
      </w:r>
      <w:r w:rsidRPr="001E7AA4">
        <w:t xml:space="preserve"> Australia met the NSRA target in 202</w:t>
      </w:r>
      <w:r w:rsidR="00CB1A87" w:rsidRPr="001E7AA4">
        <w:t>1</w:t>
      </w:r>
      <w:r w:rsidRPr="001E7AA4">
        <w:t xml:space="preserve"> with a 90</w:t>
      </w:r>
      <w:r w:rsidRPr="001E7AA4" w:rsidDel="0002240E">
        <w:t>%</w:t>
      </w:r>
      <w:r w:rsidR="0002240E" w:rsidRPr="001E7AA4">
        <w:t xml:space="preserve"> </w:t>
      </w:r>
      <w:r w:rsidRPr="001E7AA4">
        <w:t xml:space="preserve">year 12 (or equivalent) or </w:t>
      </w:r>
      <w:r w:rsidR="00AA351A" w:rsidRPr="001E7AA4">
        <w:t>C</w:t>
      </w:r>
      <w:r w:rsidRPr="001E7AA4">
        <w:t xml:space="preserve">ertificate </w:t>
      </w:r>
      <w:r w:rsidR="00FA1E4E" w:rsidRPr="001E7AA4">
        <w:t xml:space="preserve">3 </w:t>
      </w:r>
      <w:r w:rsidRPr="001E7AA4">
        <w:t>or above attainment for people aged 20-24.</w:t>
      </w:r>
      <w:r w:rsidR="008902D7" w:rsidRPr="001E7AA4">
        <w:rPr>
          <w:rStyle w:val="FootnoteReference"/>
        </w:rPr>
        <w:footnoteReference w:id="43"/>
      </w:r>
    </w:p>
    <w:p w14:paraId="38AAC89A" w14:textId="65EB834F" w:rsidR="00145E3C" w:rsidRPr="001E7AA4" w:rsidRDefault="00145E3C" w:rsidP="00145E3C">
      <w:r w:rsidRPr="001E7AA4">
        <w:t>The make-up of an overall tertiary attainment target between VET and higher education needs to be dynamic and responsive to changing skills needs and therefore needs to be subject to ongoing expert advice. Research shows that a growing proportion of the workforce will require tertiary qualifications, driven by factors such as the transition to a clean economy and a growing care workforce. Jobs that previously required VET qualifications will also require higher order thinking and people to engage in lifelong learning</w:t>
      </w:r>
      <w:r w:rsidR="00635781" w:rsidRPr="001E7AA4">
        <w:t>; likewise</w:t>
      </w:r>
      <w:r w:rsidR="00DA6B7A" w:rsidRPr="001E7AA4">
        <w:t>,</w:t>
      </w:r>
      <w:r w:rsidR="00635781" w:rsidRPr="001E7AA4">
        <w:t xml:space="preserve"> jobs that previously relied on higher education may increasingly value specific vocational skills</w:t>
      </w:r>
      <w:r w:rsidRPr="001E7AA4">
        <w:t xml:space="preserve">. </w:t>
      </w:r>
    </w:p>
    <w:p w14:paraId="0ADE9DF5" w14:textId="267365D4" w:rsidR="00145E3C" w:rsidRPr="001E7AA4" w:rsidRDefault="00145E3C" w:rsidP="00145E3C">
      <w:bookmarkStart w:id="94" w:name="_Toc135673271"/>
      <w:r w:rsidRPr="001E7AA4">
        <w:t>Increased attainment targets for both tertiary and higher education will see growth in student numbers and hence require additional funding for both sectors. From a higher education perspective, it is likely the sector will have to grow, particularly as lifelong learning becomes more popular and necessary.</w:t>
      </w:r>
    </w:p>
    <w:p w14:paraId="195E6399" w14:textId="1777766F" w:rsidR="00145E3C" w:rsidRPr="001E7AA4" w:rsidRDefault="00145E3C" w:rsidP="00145E3C">
      <w:r w:rsidRPr="001E7AA4">
        <w:t>Additionally, and to ensure the benefits of higher education are distributed across the community</w:t>
      </w:r>
      <w:r w:rsidR="00813512" w:rsidRPr="001E7AA4">
        <w:rPr>
          <w:rFonts w:ascii="Calibri" w:eastAsia="Calibri" w:hAnsi="Calibri" w:cs="Calibri"/>
        </w:rPr>
        <w:t>, the Review is considering creating specific higher education participation targets for students from underrepresented backgrounds and equity cohorts</w:t>
      </w:r>
      <w:r w:rsidR="00582D96" w:rsidRPr="001E7AA4">
        <w:rPr>
          <w:rFonts w:ascii="Calibri" w:eastAsia="Calibri" w:hAnsi="Calibri" w:cs="Calibri"/>
        </w:rPr>
        <w:t>. This includes</w:t>
      </w:r>
      <w:r w:rsidR="00813512" w:rsidRPr="001E7AA4">
        <w:rPr>
          <w:rFonts w:ascii="Calibri" w:eastAsia="Calibri" w:hAnsi="Calibri" w:cs="Calibri"/>
        </w:rPr>
        <w:t xml:space="preserve"> </w:t>
      </w:r>
      <w:r w:rsidR="009830D2" w:rsidRPr="001E7AA4">
        <w:rPr>
          <w:rFonts w:ascii="Calibri" w:eastAsia="Calibri" w:hAnsi="Calibri" w:cs="Calibri"/>
        </w:rPr>
        <w:t>low</w:t>
      </w:r>
      <w:r w:rsidR="00856A92" w:rsidRPr="001E7AA4">
        <w:rPr>
          <w:rFonts w:ascii="Calibri" w:eastAsia="Calibri" w:hAnsi="Calibri" w:cs="Calibri"/>
        </w:rPr>
        <w:t xml:space="preserve"> </w:t>
      </w:r>
      <w:r w:rsidR="009830D2" w:rsidRPr="001E7AA4">
        <w:rPr>
          <w:rFonts w:ascii="Calibri" w:eastAsia="Calibri" w:hAnsi="Calibri" w:cs="Calibri"/>
        </w:rPr>
        <w:t>SES</w:t>
      </w:r>
      <w:r w:rsidR="00813512" w:rsidRPr="001E7AA4">
        <w:rPr>
          <w:rFonts w:ascii="Calibri" w:eastAsia="Calibri" w:hAnsi="Calibri" w:cs="Calibri"/>
        </w:rPr>
        <w:t>, regional, rural and remote students, and students with disability</w:t>
      </w:r>
      <w:r w:rsidR="00582D96" w:rsidRPr="001E7AA4">
        <w:rPr>
          <w:rFonts w:ascii="Calibri" w:eastAsia="Calibri" w:hAnsi="Calibri" w:cs="Calibri"/>
        </w:rPr>
        <w:t>.</w:t>
      </w:r>
      <w:r w:rsidRPr="001E7AA4">
        <w:t xml:space="preserve"> The</w:t>
      </w:r>
      <w:r w:rsidR="0002193C" w:rsidRPr="001E7AA4">
        <w:t xml:space="preserve"> </w:t>
      </w:r>
      <w:r w:rsidRPr="001E7AA4">
        <w:t xml:space="preserve">sector should </w:t>
      </w:r>
      <w:r w:rsidR="0002193C" w:rsidRPr="001E7AA4">
        <w:t>aspire to</w:t>
      </w:r>
      <w:r w:rsidRPr="001E7AA4">
        <w:t xml:space="preserve"> achieve</w:t>
      </w:r>
      <w:r w:rsidR="00813512" w:rsidRPr="001E7AA4">
        <w:t xml:space="preserve"> parity </w:t>
      </w:r>
      <w:r w:rsidRPr="001E7AA4">
        <w:t>of participation</w:t>
      </w:r>
      <w:r w:rsidR="0002193C" w:rsidRPr="001E7AA4">
        <w:t xml:space="preserve"> </w:t>
      </w:r>
      <w:r w:rsidR="005D3E62" w:rsidRPr="001E7AA4">
        <w:t>by 2035</w:t>
      </w:r>
      <w:r w:rsidRPr="001E7AA4">
        <w:t>.</w:t>
      </w:r>
      <w:r w:rsidR="00813512" w:rsidRPr="001E7AA4">
        <w:t xml:space="preserve"> </w:t>
      </w:r>
      <w:r w:rsidRPr="001E7AA4">
        <w:t>This</w:t>
      </w:r>
      <w:r w:rsidRPr="001E7AA4" w:rsidDel="0002193C">
        <w:t xml:space="preserve"> </w:t>
      </w:r>
      <w:r w:rsidRPr="001E7AA4">
        <w:t xml:space="preserve">achievement of parity in participation </w:t>
      </w:r>
      <w:r w:rsidR="00E560C1" w:rsidRPr="001E7AA4">
        <w:t>would need to</w:t>
      </w:r>
      <w:r w:rsidRPr="001E7AA4">
        <w:t xml:space="preserve"> be underpinned by meaningful and achievable interim targets. It </w:t>
      </w:r>
      <w:r w:rsidR="00A87004" w:rsidRPr="001E7AA4">
        <w:t>would also require</w:t>
      </w:r>
      <w:r w:rsidRPr="001E7AA4">
        <w:t xml:space="preserve"> a more coordinated and fully integrated national approach to equity, in addition to an effective long-term national evidence-based strategy.</w:t>
      </w:r>
    </w:p>
    <w:p w14:paraId="551FA2C6" w14:textId="77777777" w:rsidR="00145E3C" w:rsidRPr="001E7AA4" w:rsidRDefault="00145E3C" w:rsidP="00F72CFE">
      <w:pPr>
        <w:pStyle w:val="Heading6"/>
      </w:pPr>
      <w:r w:rsidRPr="001E7AA4">
        <w:t xml:space="preserve">2.1.3.2 More granular and practice-relevant data to inform policy and track progress </w:t>
      </w:r>
    </w:p>
    <w:p w14:paraId="39B456A1" w14:textId="4DDA8F42" w:rsidR="00145E3C" w:rsidRPr="001E7AA4" w:rsidRDefault="00145E3C" w:rsidP="00145E3C">
      <w:r w:rsidRPr="001E7AA4">
        <w:t>The adoption of</w:t>
      </w:r>
      <w:r w:rsidR="005A2C31" w:rsidRPr="001E7AA4">
        <w:t xml:space="preserve"> new</w:t>
      </w:r>
      <w:r w:rsidRPr="001E7AA4">
        <w:t xml:space="preserve"> targets w</w:t>
      </w:r>
      <w:r w:rsidR="0039177E" w:rsidRPr="001E7AA4">
        <w:t>ould</w:t>
      </w:r>
      <w:r w:rsidRPr="001E7AA4">
        <w:t xml:space="preserve"> require </w:t>
      </w:r>
      <w:r w:rsidR="00CD2651" w:rsidRPr="001E7AA4">
        <w:t xml:space="preserve">the </w:t>
      </w:r>
      <w:r w:rsidRPr="001E7AA4">
        <w:t xml:space="preserve">Government to focus on broadening the adoption of evidence-based approaches to addressing barriers across the student lifecycle. This will require institutional and </w:t>
      </w:r>
      <w:r w:rsidR="009B21D3" w:rsidRPr="001E7AA4">
        <w:t xml:space="preserve">system-level </w:t>
      </w:r>
      <w:r w:rsidRPr="001E7AA4">
        <w:t xml:space="preserve">data collection to capture information more effectively on existing and emergent equity cohorts (such as improved data on disability, being the first in family to attend university, carers, care leavers, </w:t>
      </w:r>
      <w:r w:rsidR="00632104" w:rsidRPr="001E7AA4">
        <w:t xml:space="preserve">children </w:t>
      </w:r>
      <w:r w:rsidRPr="001E7AA4">
        <w:t>from a single parent family, children of asylum seekers, etc) and cumulative disadvantage.</w:t>
      </w:r>
    </w:p>
    <w:p w14:paraId="5FB08C4C" w14:textId="4C71CF40" w:rsidR="00B75C01" w:rsidRPr="001E7AA4" w:rsidRDefault="008A50F3" w:rsidP="00D93776">
      <w:pPr>
        <w:pStyle w:val="Quote"/>
      </w:pPr>
      <w:r w:rsidRPr="001E7AA4">
        <w:t>“[T]</w:t>
      </w:r>
      <w:r w:rsidR="00B75C01" w:rsidRPr="001E7AA4">
        <w:t xml:space="preserve">here are some fundamental issues with the way </w:t>
      </w:r>
      <w:r w:rsidRPr="001E7AA4">
        <w:t>[existing]</w:t>
      </w:r>
      <w:r w:rsidR="00B75C01" w:rsidRPr="001E7AA4">
        <w:t xml:space="preserve"> data is collected</w:t>
      </w:r>
      <w:r w:rsidR="003F1E58" w:rsidRPr="001E7AA4">
        <w:t xml:space="preserve"> …</w:t>
      </w:r>
      <w:r w:rsidR="00F57DC9" w:rsidRPr="001E7AA4">
        <w:t xml:space="preserve"> </w:t>
      </w:r>
      <w:r w:rsidR="00C6436B" w:rsidRPr="001E7AA4">
        <w:t>These issues include</w:t>
      </w:r>
      <w:r w:rsidR="0064531E" w:rsidRPr="001E7AA4">
        <w:t>:</w:t>
      </w:r>
      <w:r w:rsidR="00C6436B" w:rsidRPr="001E7AA4">
        <w:t xml:space="preserve"> </w:t>
      </w:r>
      <w:r w:rsidR="00B75C01" w:rsidRPr="001E7AA4">
        <w:t xml:space="preserve">the </w:t>
      </w:r>
      <w:r w:rsidR="003F1E58" w:rsidRPr="001E7AA4">
        <w:t>use of blunt indicators such as participation</w:t>
      </w:r>
      <w:r w:rsidR="00B75C01" w:rsidRPr="001E7AA4">
        <w:t xml:space="preserve"> and </w:t>
      </w:r>
      <w:r w:rsidR="003F1E58" w:rsidRPr="001E7AA4">
        <w:t>attrition rates</w:t>
      </w:r>
      <w:r w:rsidR="00B75C01" w:rsidRPr="001E7AA4">
        <w:t xml:space="preserve"> which </w:t>
      </w:r>
      <w:r w:rsidR="003F1E58" w:rsidRPr="001E7AA4">
        <w:t>do not account for nuanced</w:t>
      </w:r>
      <w:r w:rsidR="00B75C01" w:rsidRPr="001E7AA4">
        <w:t xml:space="preserve"> and </w:t>
      </w:r>
      <w:r w:rsidR="003F1E58" w:rsidRPr="001E7AA4">
        <w:t>complex analysis needed for analysing equity target groups</w:t>
      </w:r>
      <w:r w:rsidR="00537CB5" w:rsidRPr="001E7AA4">
        <w:t xml:space="preserve"> and especiall</w:t>
      </w:r>
      <w:r w:rsidR="005B6821" w:rsidRPr="001E7AA4">
        <w:t>y the categories of disability</w:t>
      </w:r>
      <w:r w:rsidRPr="001E7AA4">
        <w:t xml:space="preserve">.” </w:t>
      </w:r>
      <w:r w:rsidR="00BD563C">
        <w:br/>
      </w:r>
      <w:r w:rsidR="00FD3797" w:rsidRPr="001E7AA4">
        <w:t>–</w:t>
      </w:r>
      <w:r w:rsidRPr="001E7AA4">
        <w:t xml:space="preserve"> </w:t>
      </w:r>
      <w:r w:rsidR="00FD3797" w:rsidRPr="001E7AA4">
        <w:t>Australian Disability Clearinghouse on Education and Training</w:t>
      </w:r>
    </w:p>
    <w:p w14:paraId="0E94B8E4" w14:textId="31D1DE39" w:rsidR="00145E3C" w:rsidRPr="001E7AA4" w:rsidRDefault="0B1F8B95" w:rsidP="00F72CFE">
      <w:pPr>
        <w:pStyle w:val="Heading5"/>
      </w:pPr>
      <w:bookmarkStart w:id="95" w:name="_Toc137829535"/>
      <w:bookmarkStart w:id="96" w:name="_Toc1449429399"/>
      <w:bookmarkStart w:id="97" w:name="_Toc139028867"/>
      <w:bookmarkStart w:id="98" w:name="_Toc135741073"/>
      <w:bookmarkStart w:id="99" w:name="_Toc136169133"/>
      <w:r w:rsidRPr="001E7AA4">
        <w:lastRenderedPageBreak/>
        <w:t xml:space="preserve">2.1.4 A universal </w:t>
      </w:r>
      <w:r w:rsidR="000468D3" w:rsidRPr="001E7AA4">
        <w:t xml:space="preserve">learning </w:t>
      </w:r>
      <w:r w:rsidR="0A0241B8" w:rsidRPr="001E7AA4">
        <w:t xml:space="preserve">entitlement </w:t>
      </w:r>
      <w:r w:rsidRPr="001E7AA4">
        <w:t xml:space="preserve">to </w:t>
      </w:r>
      <w:r w:rsidR="00500E2F" w:rsidRPr="001E7AA4">
        <w:t xml:space="preserve">support access to </w:t>
      </w:r>
      <w:r w:rsidRPr="001E7AA4">
        <w:t>a high-quality tertiary education</w:t>
      </w:r>
      <w:bookmarkEnd w:id="95"/>
      <w:bookmarkEnd w:id="96"/>
      <w:bookmarkEnd w:id="97"/>
    </w:p>
    <w:p w14:paraId="7B6D39B3" w14:textId="0131BF9E" w:rsidR="00C31EF1" w:rsidRPr="001E7AA4" w:rsidRDefault="00C31EF1" w:rsidP="00C31EF1">
      <w:bookmarkStart w:id="100" w:name="_Hlk137843781"/>
      <w:r w:rsidRPr="001E7AA4">
        <w:t xml:space="preserve">The Review is examining public and private funding mechanisms to ensure </w:t>
      </w:r>
      <w:r w:rsidR="00532F9C" w:rsidRPr="001E7AA4">
        <w:t>individuals</w:t>
      </w:r>
      <w:r w:rsidRPr="001E7AA4">
        <w:t xml:space="preserve"> can gain the qualifications and credentials they seek (including beyond an initial qualification)</w:t>
      </w:r>
      <w:r w:rsidR="004652AF" w:rsidRPr="001E7AA4">
        <w:t>,</w:t>
      </w:r>
      <w:r w:rsidRPr="001E7AA4">
        <w:t xml:space="preserve"> </w:t>
      </w:r>
      <w:r w:rsidRPr="001E7AA4">
        <w:rPr>
          <w:i/>
          <w:iCs/>
        </w:rPr>
        <w:t>and</w:t>
      </w:r>
      <w:r w:rsidRPr="001E7AA4">
        <w:t xml:space="preserve"> the system as a whole is meeting national skills needs. </w:t>
      </w:r>
    </w:p>
    <w:p w14:paraId="284B8828" w14:textId="539872B3" w:rsidR="00C31EF1" w:rsidRPr="001E7AA4" w:rsidRDefault="00C31EF1" w:rsidP="00C31EF1">
      <w:r w:rsidRPr="001E7AA4">
        <w:t xml:space="preserve">This could be achieved through a universal </w:t>
      </w:r>
      <w:r w:rsidR="000468D3" w:rsidRPr="001E7AA4">
        <w:t xml:space="preserve">learning </w:t>
      </w:r>
      <w:r w:rsidRPr="001E7AA4">
        <w:t xml:space="preserve">entitlement </w:t>
      </w:r>
      <w:r w:rsidR="00500E2F" w:rsidRPr="001E7AA4">
        <w:t xml:space="preserve">– </w:t>
      </w:r>
      <w:r w:rsidRPr="001E7AA4">
        <w:t xml:space="preserve">an appropriate combination of a public subsidy, a student contribution that </w:t>
      </w:r>
      <w:r w:rsidR="003762CD" w:rsidRPr="001E7AA4">
        <w:t>w</w:t>
      </w:r>
      <w:r w:rsidRPr="001E7AA4">
        <w:t xml:space="preserve">ould be </w:t>
      </w:r>
      <w:r w:rsidR="003762CD" w:rsidRPr="001E7AA4">
        <w:t>paid through</w:t>
      </w:r>
      <w:r w:rsidRPr="001E7AA4">
        <w:t xml:space="preserve"> an income contingent loan</w:t>
      </w:r>
      <w:r w:rsidR="00806BB9" w:rsidRPr="001E7AA4">
        <w:t xml:space="preserve"> (ICL)</w:t>
      </w:r>
      <w:r w:rsidR="002349E1" w:rsidRPr="001E7AA4">
        <w:t xml:space="preserve"> as in the current HELP scheme</w:t>
      </w:r>
      <w:r w:rsidRPr="001E7AA4">
        <w:t>, and</w:t>
      </w:r>
      <w:r w:rsidR="002349E1" w:rsidRPr="001E7AA4">
        <w:t>, for some lifelong learning</w:t>
      </w:r>
      <w:r w:rsidRPr="001E7AA4">
        <w:t xml:space="preserve">, an </w:t>
      </w:r>
      <w:r w:rsidR="00103528" w:rsidRPr="001E7AA4">
        <w:t>appropriate</w:t>
      </w:r>
      <w:r w:rsidRPr="001E7AA4">
        <w:t xml:space="preserve"> employer contribution. </w:t>
      </w:r>
      <w:r w:rsidR="00A319F4" w:rsidRPr="001E7AA4">
        <w:t>The aim is, in part, to build a culture of high expectations, where all Australians can expect to attain a tertiary qualification.</w:t>
      </w:r>
    </w:p>
    <w:p w14:paraId="05C68738" w14:textId="3A148D65" w:rsidR="00C31EF1" w:rsidRPr="001E7AA4" w:rsidRDefault="00C31EF1" w:rsidP="00BC654C">
      <w:pPr>
        <w:spacing w:after="0" w:line="240" w:lineRule="auto"/>
      </w:pPr>
      <w:r w:rsidRPr="001E7AA4">
        <w:t>This is seeking to achieve multiple objectives</w:t>
      </w:r>
      <w:r w:rsidR="00104B62" w:rsidRPr="001E7AA4">
        <w:t>:</w:t>
      </w:r>
    </w:p>
    <w:p w14:paraId="150F3457" w14:textId="13F83F34" w:rsidR="00C31EF1" w:rsidRPr="001E7AA4" w:rsidRDefault="00C31EF1" w:rsidP="00A025B1">
      <w:pPr>
        <w:pStyle w:val="ListParagraph"/>
        <w:numPr>
          <w:ilvl w:val="0"/>
          <w:numId w:val="11"/>
        </w:numPr>
        <w:spacing w:after="0" w:line="240" w:lineRule="auto"/>
      </w:pPr>
      <w:r w:rsidRPr="001E7AA4">
        <w:t>meeting skills priorities</w:t>
      </w:r>
      <w:r w:rsidR="00741654" w:rsidRPr="001E7AA4">
        <w:t xml:space="preserve"> through significant </w:t>
      </w:r>
      <w:r w:rsidR="00DB283E" w:rsidRPr="001E7AA4">
        <w:t>growth</w:t>
      </w:r>
    </w:p>
    <w:p w14:paraId="6A67C757" w14:textId="63A2151D" w:rsidR="00C31EF1" w:rsidRPr="001E7AA4" w:rsidRDefault="00C31EF1" w:rsidP="00A025B1">
      <w:pPr>
        <w:pStyle w:val="ListParagraph"/>
        <w:numPr>
          <w:ilvl w:val="0"/>
          <w:numId w:val="11"/>
        </w:numPr>
        <w:spacing w:after="0" w:line="240" w:lineRule="auto"/>
      </w:pPr>
      <w:r w:rsidRPr="001E7AA4">
        <w:t xml:space="preserve">achieving </w:t>
      </w:r>
      <w:r w:rsidR="00DB283E" w:rsidRPr="001E7AA4">
        <w:t>that growth through</w:t>
      </w:r>
      <w:r w:rsidRPr="001E7AA4">
        <w:t xml:space="preserve"> population parity targets</w:t>
      </w:r>
      <w:r w:rsidR="2FA76BCA" w:rsidRPr="001E7AA4">
        <w:t>,</w:t>
      </w:r>
      <w:r w:rsidR="00DA499C" w:rsidRPr="001E7AA4">
        <w:t xml:space="preserve"> </w:t>
      </w:r>
      <w:r w:rsidRPr="001E7AA4">
        <w:t xml:space="preserve">and </w:t>
      </w:r>
    </w:p>
    <w:p w14:paraId="74B33162" w14:textId="662890F2" w:rsidR="00C31EF1" w:rsidRPr="001E7AA4" w:rsidRDefault="00C31EF1" w:rsidP="00A025B1">
      <w:pPr>
        <w:pStyle w:val="ListParagraph"/>
        <w:numPr>
          <w:ilvl w:val="0"/>
          <w:numId w:val="11"/>
        </w:numPr>
        <w:spacing w:line="240" w:lineRule="auto"/>
      </w:pPr>
      <w:r w:rsidRPr="001E7AA4">
        <w:t xml:space="preserve">ensuring as many Australians </w:t>
      </w:r>
      <w:r w:rsidR="002F489F" w:rsidRPr="001E7AA4">
        <w:t xml:space="preserve">as possible </w:t>
      </w:r>
      <w:r w:rsidRPr="001E7AA4">
        <w:t xml:space="preserve">can gain one or more tertiary qualifications in an affordable way. </w:t>
      </w:r>
      <w:bookmarkEnd w:id="100"/>
    </w:p>
    <w:p w14:paraId="1FADC723" w14:textId="17A05E92" w:rsidR="0086605A" w:rsidRPr="001E7AA4" w:rsidRDefault="3203194A" w:rsidP="265118D6">
      <w:r w:rsidRPr="001E7AA4">
        <w:t>Such an entitlement would also move beyond traditional targets (e.g.</w:t>
      </w:r>
      <w:r w:rsidR="00744480" w:rsidRPr="001E7AA4">
        <w:t>,</w:t>
      </w:r>
      <w:r w:rsidRPr="001E7AA4">
        <w:t xml:space="preserve"> the percentage of school leavers who go to university or complete a VET or TAFE qualification) and build a commitment where governments, industry, unions and education providers come together to meet a range of skills and other objectives. </w:t>
      </w:r>
    </w:p>
    <w:p w14:paraId="5A4EA6DE" w14:textId="7E58B3FE" w:rsidR="00C31EF1" w:rsidRPr="001E7AA4" w:rsidRDefault="5A2E5702" w:rsidP="00C31EF1">
      <w:pPr>
        <w:rPr>
          <w:rFonts w:ascii="Calibri" w:eastAsia="Calibri" w:hAnsi="Calibri" w:cs="Calibri"/>
        </w:rPr>
      </w:pPr>
      <w:r w:rsidRPr="001E7AA4">
        <w:t>While such a change would have similarities with the previous demand driven funding system, the Review sees the concept of ‘demand</w:t>
      </w:r>
      <w:r w:rsidR="004F4A02" w:rsidRPr="001E7AA4">
        <w:t xml:space="preserve"> </w:t>
      </w:r>
      <w:r w:rsidRPr="001E7AA4">
        <w:t>driven funding’ as no longer reflective of current requirements</w:t>
      </w:r>
      <w:r w:rsidR="3ADD10BF" w:rsidRPr="001E7AA4">
        <w:t>. An</w:t>
      </w:r>
      <w:r w:rsidRPr="001E7AA4">
        <w:t xml:space="preserve"> active focus is required to </w:t>
      </w:r>
      <w:r w:rsidR="3DFEA5BA" w:rsidRPr="001E7AA4">
        <w:t>aim for</w:t>
      </w:r>
      <w:r w:rsidR="68A1F881" w:rsidRPr="001E7AA4">
        <w:t xml:space="preserve"> </w:t>
      </w:r>
      <w:r w:rsidR="50A14042" w:rsidRPr="001E7AA4">
        <w:t>better</w:t>
      </w:r>
      <w:r w:rsidR="77233088" w:rsidRPr="001E7AA4">
        <w:t xml:space="preserve"> </w:t>
      </w:r>
      <w:r w:rsidR="68A1F881" w:rsidRPr="001E7AA4">
        <w:t>planned tertiary education provision across regional and metropolitan areas</w:t>
      </w:r>
      <w:r w:rsidR="297F1B14" w:rsidRPr="001E7AA4">
        <w:t xml:space="preserve">, including the option to </w:t>
      </w:r>
      <w:r w:rsidR="69B5885A" w:rsidRPr="001E7AA4">
        <w:rPr>
          <w:rFonts w:ascii="Calibri" w:eastAsia="Calibri" w:hAnsi="Calibri" w:cs="Calibri"/>
        </w:rPr>
        <w:t>translat</w:t>
      </w:r>
      <w:r w:rsidR="785D2528" w:rsidRPr="001E7AA4">
        <w:rPr>
          <w:rFonts w:ascii="Calibri" w:eastAsia="Calibri" w:hAnsi="Calibri" w:cs="Calibri"/>
        </w:rPr>
        <w:t>e</w:t>
      </w:r>
      <w:r w:rsidR="69B5885A" w:rsidRPr="001E7AA4">
        <w:rPr>
          <w:rFonts w:ascii="Calibri" w:eastAsia="Calibri" w:hAnsi="Calibri" w:cs="Calibri"/>
        </w:rPr>
        <w:t xml:space="preserve"> the advice about economy-wide skills requirements into necessary action from the higher education sector</w:t>
      </w:r>
      <w:r w:rsidR="13D49E8A" w:rsidRPr="001E7AA4">
        <w:rPr>
          <w:rFonts w:ascii="Calibri" w:eastAsia="Calibri" w:hAnsi="Calibri" w:cs="Calibri"/>
        </w:rPr>
        <w:t>, and monitor progress against participation and attainment targets</w:t>
      </w:r>
      <w:r w:rsidR="15405D66" w:rsidRPr="001E7AA4">
        <w:rPr>
          <w:rFonts w:ascii="Calibri" w:eastAsia="Calibri" w:hAnsi="Calibri" w:cs="Calibri"/>
        </w:rPr>
        <w:t>.</w:t>
      </w:r>
    </w:p>
    <w:p w14:paraId="07F6807C" w14:textId="30BD24A0" w:rsidR="00C31EF1" w:rsidRPr="001E7AA4" w:rsidRDefault="00C31EF1" w:rsidP="00C31EF1">
      <w:r w:rsidRPr="001E7AA4">
        <w:t xml:space="preserve">This proposed harmonised national commitment to tertiary education attainment, and shared commitment by all governments and industry to these goals </w:t>
      </w:r>
      <w:r w:rsidR="002F489F" w:rsidRPr="001E7AA4">
        <w:t>therefore</w:t>
      </w:r>
      <w:r w:rsidR="0086605A" w:rsidRPr="001E7AA4">
        <w:t xml:space="preserve"> </w:t>
      </w:r>
      <w:r w:rsidRPr="001E7AA4">
        <w:t xml:space="preserve">needs to be the focus of further </w:t>
      </w:r>
      <w:r w:rsidR="0086605A" w:rsidRPr="001E7AA4">
        <w:t>discussions and</w:t>
      </w:r>
      <w:r w:rsidRPr="001E7AA4">
        <w:t xml:space="preserve"> considered alongside other relevant national reforms. </w:t>
      </w:r>
    </w:p>
    <w:p w14:paraId="5BD767DF" w14:textId="7B0CF828" w:rsidR="00145E3C" w:rsidRPr="001E7AA4" w:rsidRDefault="00045EB9" w:rsidP="00F72CFE">
      <w:pPr>
        <w:pStyle w:val="Heading5"/>
      </w:pPr>
      <w:bookmarkStart w:id="101" w:name="_Toc139028868"/>
      <w:bookmarkEnd w:id="98"/>
      <w:bookmarkEnd w:id="99"/>
      <w:r w:rsidRPr="001E7AA4">
        <w:t>Considerations for change</w:t>
      </w:r>
      <w:bookmarkEnd w:id="101"/>
    </w:p>
    <w:p w14:paraId="579AB4B5" w14:textId="60730FA2" w:rsidR="00145E3C" w:rsidRPr="001E7AA4" w:rsidRDefault="00145E3C" w:rsidP="00145E3C">
      <w:pPr>
        <w:spacing w:after="0"/>
        <w:rPr>
          <w:rFonts w:ascii="Calibri" w:eastAsia="Calibri" w:hAnsi="Calibri" w:cs="Calibri"/>
        </w:rPr>
      </w:pPr>
      <w:r w:rsidRPr="001E7AA4">
        <w:rPr>
          <w:rFonts w:ascii="Calibri" w:eastAsia="Calibri" w:hAnsi="Calibri" w:cs="Calibri"/>
        </w:rPr>
        <w:t xml:space="preserve">Given existing patterns of participation, a larger system necessarily requires substantial growth in participation from cohorts currently </w:t>
      </w:r>
      <w:r w:rsidR="00DE0378" w:rsidRPr="001E7AA4">
        <w:rPr>
          <w:rFonts w:ascii="Calibri" w:eastAsia="Calibri" w:hAnsi="Calibri" w:cs="Calibri"/>
        </w:rPr>
        <w:t xml:space="preserve">underrepresented </w:t>
      </w:r>
      <w:r w:rsidR="0039177E" w:rsidRPr="001E7AA4">
        <w:rPr>
          <w:rFonts w:ascii="Calibri" w:eastAsia="Calibri" w:hAnsi="Calibri" w:cs="Calibri"/>
        </w:rPr>
        <w:t>in Australian</w:t>
      </w:r>
      <w:r w:rsidRPr="001E7AA4">
        <w:rPr>
          <w:rFonts w:ascii="Calibri" w:eastAsia="Calibri" w:hAnsi="Calibri" w:cs="Calibri"/>
        </w:rPr>
        <w:t xml:space="preserve"> higher education. </w:t>
      </w:r>
      <w:bookmarkStart w:id="102" w:name="_Hlk137379731"/>
      <w:r w:rsidR="00B82863" w:rsidRPr="001E7AA4">
        <w:rPr>
          <w:rFonts w:ascii="Calibri" w:eastAsia="Calibri" w:hAnsi="Calibri" w:cs="Calibri"/>
        </w:rPr>
        <w:t xml:space="preserve">For the Final Report, the </w:t>
      </w:r>
      <w:r w:rsidR="00D21CB8" w:rsidRPr="001E7AA4">
        <w:rPr>
          <w:rFonts w:ascii="Calibri" w:eastAsia="Calibri" w:hAnsi="Calibri" w:cs="Calibri"/>
        </w:rPr>
        <w:t xml:space="preserve">Review </w:t>
      </w:r>
      <w:r w:rsidR="00B82863" w:rsidRPr="001E7AA4">
        <w:rPr>
          <w:rFonts w:ascii="Calibri" w:eastAsia="Calibri" w:hAnsi="Calibri" w:cs="Calibri"/>
        </w:rPr>
        <w:t>will continue to give consideration to</w:t>
      </w:r>
      <w:bookmarkEnd w:id="102"/>
      <w:r w:rsidR="008846B8" w:rsidRPr="001E7AA4">
        <w:rPr>
          <w:rFonts w:ascii="Calibri" w:eastAsia="Calibri" w:hAnsi="Calibri" w:cs="Calibri"/>
        </w:rPr>
        <w:t xml:space="preserve"> the following policy areas</w:t>
      </w:r>
      <w:r w:rsidRPr="001E7AA4">
        <w:rPr>
          <w:rFonts w:ascii="Calibri" w:eastAsia="Calibri" w:hAnsi="Calibri" w:cs="Calibri"/>
        </w:rPr>
        <w:t xml:space="preserve">: </w:t>
      </w:r>
    </w:p>
    <w:p w14:paraId="7B84F9E7" w14:textId="331F1EB9" w:rsidR="0026145E" w:rsidRPr="001E7AA4" w:rsidRDefault="7884B64C" w:rsidP="00A025B1">
      <w:pPr>
        <w:pStyle w:val="ListParagraph"/>
        <w:numPr>
          <w:ilvl w:val="0"/>
          <w:numId w:val="51"/>
        </w:numPr>
        <w:spacing w:after="0" w:line="240" w:lineRule="auto"/>
        <w:rPr>
          <w:rFonts w:ascii="Calibri" w:eastAsia="Calibri" w:hAnsi="Calibri" w:cs="Calibri"/>
        </w:rPr>
      </w:pPr>
      <w:r w:rsidRPr="001E7AA4">
        <w:rPr>
          <w:rFonts w:ascii="Calibri" w:eastAsia="Calibri" w:hAnsi="Calibri" w:cs="Calibri"/>
        </w:rPr>
        <w:t xml:space="preserve">setting targets for tertiary education participation and attainment, including for higher education, through consultation with </w:t>
      </w:r>
      <w:r w:rsidR="00971CBE" w:rsidRPr="001E7AA4">
        <w:rPr>
          <w:rFonts w:ascii="Calibri" w:eastAsia="Calibri" w:hAnsi="Calibri" w:cs="Calibri"/>
        </w:rPr>
        <w:t>JSA</w:t>
      </w:r>
      <w:r w:rsidRPr="001E7AA4">
        <w:rPr>
          <w:rFonts w:ascii="Calibri" w:eastAsia="Calibri" w:hAnsi="Calibri" w:cs="Calibri"/>
        </w:rPr>
        <w:t xml:space="preserve"> and the VET sector</w:t>
      </w:r>
    </w:p>
    <w:p w14:paraId="37740F99" w14:textId="77777777" w:rsidR="0026145E" w:rsidRPr="001E7AA4" w:rsidRDefault="7884B64C" w:rsidP="00A025B1">
      <w:pPr>
        <w:pStyle w:val="ListParagraph"/>
        <w:numPr>
          <w:ilvl w:val="0"/>
          <w:numId w:val="51"/>
        </w:numPr>
        <w:spacing w:after="0" w:line="240" w:lineRule="auto"/>
        <w:rPr>
          <w:rFonts w:ascii="Calibri" w:eastAsia="Calibri" w:hAnsi="Calibri" w:cs="Calibri"/>
        </w:rPr>
      </w:pPr>
      <w:r w:rsidRPr="001E7AA4">
        <w:rPr>
          <w:rFonts w:ascii="Calibri" w:eastAsia="Calibri" w:hAnsi="Calibri" w:cs="Calibri"/>
        </w:rPr>
        <w:t>setting targets to raise First Nations participation and completion rates in higher education</w:t>
      </w:r>
    </w:p>
    <w:p w14:paraId="7A874402" w14:textId="4BEA6963" w:rsidR="0026145E" w:rsidRPr="001E7AA4" w:rsidRDefault="7884B64C" w:rsidP="00A025B1">
      <w:pPr>
        <w:pStyle w:val="ListParagraph"/>
        <w:numPr>
          <w:ilvl w:val="0"/>
          <w:numId w:val="51"/>
        </w:numPr>
        <w:spacing w:after="0" w:line="240" w:lineRule="auto"/>
        <w:rPr>
          <w:rFonts w:ascii="Calibri" w:eastAsia="Calibri" w:hAnsi="Calibri" w:cs="Calibri"/>
        </w:rPr>
      </w:pPr>
      <w:r w:rsidRPr="001E7AA4">
        <w:rPr>
          <w:rFonts w:ascii="Calibri" w:eastAsia="Calibri" w:hAnsi="Calibri" w:cs="Calibri"/>
        </w:rPr>
        <w:t>creating specific higher education participation targets for students from underrepresented backgrounds and equity groups to achieve parity by 2035. These groups will include students from low socio-economic, regional, rural and remote backgrounds and students with disability</w:t>
      </w:r>
    </w:p>
    <w:p w14:paraId="3249025B" w14:textId="6304373C" w:rsidR="0026145E" w:rsidRPr="001E7AA4" w:rsidRDefault="0026145E" w:rsidP="00A025B1">
      <w:pPr>
        <w:pStyle w:val="ListParagraph"/>
        <w:numPr>
          <w:ilvl w:val="0"/>
          <w:numId w:val="51"/>
        </w:numPr>
        <w:spacing w:after="0" w:line="240" w:lineRule="auto"/>
        <w:rPr>
          <w:rFonts w:ascii="Calibri" w:eastAsia="Calibri" w:hAnsi="Calibri" w:cs="Calibri"/>
        </w:rPr>
      </w:pPr>
      <w:r w:rsidRPr="001E7AA4">
        <w:rPr>
          <w:rFonts w:ascii="Calibri" w:eastAsia="Calibri" w:hAnsi="Calibri" w:cs="Calibri"/>
        </w:rPr>
        <w:t xml:space="preserve">developing a universal learning entitlement to </w:t>
      </w:r>
      <w:r w:rsidRPr="001E7AA4">
        <w:t xml:space="preserve">ensure Australians can gain the qualifications and credentials </w:t>
      </w:r>
      <w:r w:rsidR="00185C90" w:rsidRPr="001E7AA4">
        <w:t>as they need or desire</w:t>
      </w:r>
    </w:p>
    <w:p w14:paraId="441A6D3D" w14:textId="7AD9CE0F" w:rsidR="006B4C65" w:rsidRPr="001E7AA4" w:rsidRDefault="62555A26" w:rsidP="00A025B1">
      <w:pPr>
        <w:pStyle w:val="ListParagraph"/>
        <w:numPr>
          <w:ilvl w:val="0"/>
          <w:numId w:val="51"/>
        </w:numPr>
        <w:spacing w:after="0" w:line="240" w:lineRule="auto"/>
        <w:rPr>
          <w:rFonts w:ascii="Calibri" w:eastAsia="Calibri" w:hAnsi="Calibri" w:cs="Calibri"/>
        </w:rPr>
      </w:pPr>
      <w:r w:rsidRPr="001E7AA4">
        <w:rPr>
          <w:rFonts w:ascii="Calibri" w:eastAsia="Calibri" w:hAnsi="Calibri" w:cs="Calibri"/>
        </w:rPr>
        <w:t>as a priority element of the universal learning entitlement, ensur</w:t>
      </w:r>
      <w:r w:rsidR="000339E1" w:rsidRPr="001E7AA4">
        <w:rPr>
          <w:rFonts w:ascii="Calibri" w:eastAsia="Calibri" w:hAnsi="Calibri" w:cs="Calibri"/>
        </w:rPr>
        <w:t>e</w:t>
      </w:r>
      <w:r w:rsidRPr="001E7AA4">
        <w:rPr>
          <w:rFonts w:ascii="Calibri" w:eastAsia="Calibri" w:hAnsi="Calibri" w:cs="Calibri"/>
        </w:rPr>
        <w:t xml:space="preserve"> that all students from equity cohorts are eligible for a funded place at university.</w:t>
      </w:r>
    </w:p>
    <w:p w14:paraId="55CE7132" w14:textId="3C765D42" w:rsidR="00B552EB" w:rsidRDefault="00B552EB" w:rsidP="0093125A">
      <w:pPr>
        <w:pStyle w:val="Considerations"/>
      </w:pPr>
      <w:r w:rsidRPr="001E7AA4">
        <w:lastRenderedPageBreak/>
        <w:t xml:space="preserve">If established, new targets would need to be tightly monitored as a national priority, to ensure </w:t>
      </w:r>
      <w:r w:rsidRPr="0093125A">
        <w:t>accountability</w:t>
      </w:r>
      <w:r w:rsidRPr="001E7AA4">
        <w:t xml:space="preserve"> and delivery on time. Long-term targets could be supported by short-term step-change targets set in a jurisdictional and institutional context, for example disaggregated by state, region and provider.</w:t>
      </w:r>
    </w:p>
    <w:bookmarkEnd w:id="94"/>
    <w:p w14:paraId="4C8FCE12" w14:textId="5ABBADE7" w:rsidR="00145E3C" w:rsidRPr="001E7AA4" w:rsidRDefault="00145E3C">
      <w:pPr>
        <w:spacing w:after="160"/>
        <w:rPr>
          <w:rFonts w:eastAsia="Calibri"/>
        </w:rPr>
      </w:pPr>
      <w:r w:rsidRPr="001E7AA4">
        <w:rPr>
          <w:rFonts w:eastAsia="Calibri"/>
        </w:rPr>
        <w:br w:type="page"/>
      </w:r>
    </w:p>
    <w:p w14:paraId="2F95FE55" w14:textId="0A42DD20" w:rsidR="00AF746C" w:rsidRPr="001E7AA4" w:rsidRDefault="3E543B58" w:rsidP="00F72CFE">
      <w:pPr>
        <w:pStyle w:val="Heading4"/>
      </w:pPr>
      <w:bookmarkStart w:id="103" w:name="_Toc62174864"/>
      <w:bookmarkStart w:id="104" w:name="_Toc1830410563"/>
      <w:bookmarkStart w:id="105" w:name="_Toc1900562109"/>
      <w:bookmarkStart w:id="106" w:name="_Toc135580986"/>
      <w:bookmarkStart w:id="107" w:name="_Toc134812597"/>
      <w:bookmarkStart w:id="108" w:name="_Toc506737569"/>
      <w:bookmarkStart w:id="109" w:name="_Toc227666050"/>
      <w:bookmarkStart w:id="110" w:name="_Toc81131049"/>
      <w:bookmarkStart w:id="111" w:name="_Toc1912459079"/>
      <w:bookmarkStart w:id="112" w:name="_Toc1715075429"/>
      <w:bookmarkStart w:id="113" w:name="_Toc879129726"/>
      <w:bookmarkStart w:id="114" w:name="_Toc136169134"/>
      <w:bookmarkStart w:id="115" w:name="_Toc137829537"/>
      <w:bookmarkStart w:id="116" w:name="_Toc1103626088"/>
      <w:bookmarkStart w:id="117" w:name="_Toc139028869"/>
      <w:r w:rsidRPr="001E7AA4">
        <w:lastRenderedPageBreak/>
        <w:t xml:space="preserve">2.2: </w:t>
      </w:r>
      <w:bookmarkEnd w:id="103"/>
      <w:bookmarkEnd w:id="104"/>
      <w:bookmarkEnd w:id="105"/>
      <w:bookmarkEnd w:id="106"/>
      <w:bookmarkEnd w:id="107"/>
      <w:bookmarkEnd w:id="108"/>
      <w:bookmarkEnd w:id="109"/>
      <w:bookmarkEnd w:id="110"/>
      <w:bookmarkEnd w:id="111"/>
      <w:bookmarkEnd w:id="112"/>
      <w:bookmarkEnd w:id="113"/>
      <w:r w:rsidRPr="001E7AA4">
        <w:t>Meeting Australia’s future skill</w:t>
      </w:r>
      <w:r w:rsidR="00F51E0D" w:rsidRPr="001E7AA4">
        <w:t>s</w:t>
      </w:r>
      <w:r w:rsidRPr="001E7AA4">
        <w:t xml:space="preserve"> needs</w:t>
      </w:r>
      <w:bookmarkEnd w:id="114"/>
      <w:bookmarkEnd w:id="115"/>
      <w:bookmarkEnd w:id="116"/>
      <w:bookmarkEnd w:id="117"/>
      <w:r w:rsidRPr="001E7AA4">
        <w:t xml:space="preserve"> </w:t>
      </w:r>
    </w:p>
    <w:p w14:paraId="5DF0A1A6" w14:textId="77777777" w:rsidR="00267E5A" w:rsidRPr="001E7AA4" w:rsidRDefault="00267E5A" w:rsidP="00267E5A">
      <w:pPr>
        <w:pStyle w:val="Quote"/>
      </w:pPr>
    </w:p>
    <w:p w14:paraId="439467D5" w14:textId="209DAE0E" w:rsidR="00267E5A" w:rsidRPr="001E7AA4" w:rsidRDefault="00267E5A" w:rsidP="00267E5A">
      <w:pPr>
        <w:pStyle w:val="Quote"/>
      </w:pPr>
      <w:r w:rsidRPr="001E7AA4">
        <w:t>“With the right settings in place, Australia can strengthen its post-secondary education and training system so it’s set up to facilitate lifelong learning and support Australia’s future economy</w:t>
      </w:r>
      <w:r w:rsidR="00AF01C7" w:rsidRPr="001E7AA4">
        <w:t>.</w:t>
      </w:r>
      <w:r w:rsidRPr="001E7AA4">
        <w:t xml:space="preserve">” </w:t>
      </w:r>
      <w:r w:rsidR="0010187A">
        <w:br/>
      </w:r>
      <w:r w:rsidRPr="001E7AA4">
        <w:t xml:space="preserve">– Business Council of Australia </w:t>
      </w:r>
    </w:p>
    <w:p w14:paraId="284AD587" w14:textId="40EAB2B8" w:rsidR="00AF746C" w:rsidRPr="001E7AA4" w:rsidRDefault="3E543B58" w:rsidP="00F72CFE">
      <w:pPr>
        <w:pStyle w:val="Heading5"/>
      </w:pPr>
      <w:bookmarkStart w:id="118" w:name="_Toc137829538"/>
      <w:bookmarkStart w:id="119" w:name="_Toc222625072"/>
      <w:bookmarkStart w:id="120" w:name="_Toc139028870"/>
      <w:r w:rsidRPr="001E7AA4">
        <w:t>Issue</w:t>
      </w:r>
      <w:r w:rsidR="003462A4" w:rsidRPr="001E7AA4">
        <w:t>s</w:t>
      </w:r>
      <w:bookmarkEnd w:id="118"/>
      <w:bookmarkEnd w:id="119"/>
      <w:bookmarkEnd w:id="120"/>
    </w:p>
    <w:p w14:paraId="59EE5CEE" w14:textId="1BB034EE" w:rsidR="00AF746C" w:rsidRPr="001E7AA4" w:rsidRDefault="00AF746C" w:rsidP="0093125A">
      <w:r w:rsidRPr="001E7AA4">
        <w:t>Australia is not producing enough graduates with sufficient skills and knowledge to meet current and future workforce needs. Without intervention, skills shortages will persist in many professions and other high</w:t>
      </w:r>
      <w:r w:rsidR="00B14454" w:rsidRPr="001E7AA4">
        <w:t>ly-</w:t>
      </w:r>
      <w:r w:rsidRPr="001E7AA4">
        <w:t xml:space="preserve">skilled occupations including health, education, IT and engineering, and the nation will be unable to support emerging skills needs and improve productivity as our population grows in size and age. </w:t>
      </w:r>
      <w:r w:rsidR="00F12863" w:rsidRPr="001E7AA4">
        <w:t>In an increasing</w:t>
      </w:r>
      <w:r w:rsidR="003D13E1" w:rsidRPr="001E7AA4">
        <w:t>ly</w:t>
      </w:r>
      <w:r w:rsidR="00F12863" w:rsidRPr="001E7AA4">
        <w:t xml:space="preserve"> globalised and competitive international economy, we need </w:t>
      </w:r>
      <w:r w:rsidR="00E37DE8" w:rsidRPr="001E7AA4">
        <w:t xml:space="preserve">the skills </w:t>
      </w:r>
      <w:r w:rsidR="005F7464" w:rsidRPr="001E7AA4">
        <w:t>required</w:t>
      </w:r>
      <w:r w:rsidR="00F12863" w:rsidRPr="001E7AA4">
        <w:t xml:space="preserve"> to</w:t>
      </w:r>
      <w:r w:rsidR="00C17525" w:rsidRPr="001E7AA4">
        <w:t xml:space="preserve"> take advantage of future growth opportunities in emerging areas.</w:t>
      </w:r>
      <w:r w:rsidR="00F12863" w:rsidRPr="001E7AA4">
        <w:t xml:space="preserve"> </w:t>
      </w:r>
      <w:r w:rsidR="009B28F7" w:rsidRPr="001E7AA4">
        <w:t>There is</w:t>
      </w:r>
      <w:r w:rsidRPr="001E7AA4">
        <w:t xml:space="preserve"> more to </w:t>
      </w:r>
      <w:r w:rsidR="009B28F7" w:rsidRPr="001E7AA4">
        <w:t xml:space="preserve">do to </w:t>
      </w:r>
      <w:r w:rsidRPr="001E7AA4">
        <w:t>support more people to be educated at various levels, and for these people to upskill and reskill.</w:t>
      </w:r>
    </w:p>
    <w:p w14:paraId="18E498FB" w14:textId="520B50CE" w:rsidR="00632104" w:rsidRPr="001E7AA4" w:rsidRDefault="00AF746C" w:rsidP="00AF746C">
      <w:r w:rsidRPr="001E7AA4">
        <w:rPr>
          <w:rFonts w:ascii="Calibri" w:eastAsia="Calibri" w:hAnsi="Calibri" w:cs="Calibri"/>
        </w:rPr>
        <w:t xml:space="preserve">BIS </w:t>
      </w:r>
      <w:r w:rsidR="004E55B0" w:rsidRPr="001E7AA4">
        <w:rPr>
          <w:rFonts w:ascii="Calibri" w:eastAsia="Calibri" w:hAnsi="Calibri" w:cs="Calibri"/>
        </w:rPr>
        <w:t>OE</w:t>
      </w:r>
      <w:r w:rsidRPr="001E7AA4">
        <w:rPr>
          <w:rFonts w:ascii="Calibri" w:eastAsia="Calibri" w:hAnsi="Calibri" w:cs="Calibri"/>
        </w:rPr>
        <w:t xml:space="preserve"> </w:t>
      </w:r>
      <w:r w:rsidR="006E70A3" w:rsidRPr="001E7AA4">
        <w:rPr>
          <w:rFonts w:ascii="Calibri" w:eastAsia="Calibri" w:hAnsi="Calibri" w:cs="Calibri"/>
        </w:rPr>
        <w:t>preliminary</w:t>
      </w:r>
      <w:r w:rsidRPr="001E7AA4">
        <w:rPr>
          <w:rFonts w:ascii="Calibri" w:eastAsia="Calibri" w:hAnsi="Calibri" w:cs="Calibri"/>
        </w:rPr>
        <w:t xml:space="preserve"> analysis </w:t>
      </w:r>
      <w:r w:rsidR="006E70A3" w:rsidRPr="001E7AA4">
        <w:rPr>
          <w:rFonts w:ascii="Calibri" w:eastAsia="Calibri" w:hAnsi="Calibri" w:cs="Calibri"/>
        </w:rPr>
        <w:t>suggest</w:t>
      </w:r>
      <w:r w:rsidRPr="001E7AA4">
        <w:rPr>
          <w:rFonts w:ascii="Calibri" w:eastAsia="Calibri" w:hAnsi="Calibri" w:cs="Calibri"/>
        </w:rPr>
        <w:t xml:space="preserve">s that Australia will require an additional 5.8 million people with higher education qualifications by 2052, </w:t>
      </w:r>
      <w:r w:rsidR="00890F8D" w:rsidRPr="001E7AA4">
        <w:rPr>
          <w:rFonts w:ascii="Calibri" w:eastAsia="Calibri" w:hAnsi="Calibri" w:cs="Calibri"/>
        </w:rPr>
        <w:t xml:space="preserve">with the </w:t>
      </w:r>
      <w:r w:rsidRPr="001E7AA4">
        <w:rPr>
          <w:rFonts w:ascii="Calibri" w:eastAsia="Calibri" w:hAnsi="Calibri" w:cs="Calibri"/>
        </w:rPr>
        <w:t xml:space="preserve">share of employment that requires higher education </w:t>
      </w:r>
      <w:r w:rsidR="00890F8D" w:rsidRPr="001E7AA4">
        <w:rPr>
          <w:rFonts w:ascii="Calibri" w:eastAsia="Calibri" w:hAnsi="Calibri" w:cs="Calibri"/>
        </w:rPr>
        <w:t>increasing</w:t>
      </w:r>
      <w:r w:rsidRPr="001E7AA4">
        <w:rPr>
          <w:rFonts w:ascii="Calibri" w:eastAsia="Calibri" w:hAnsi="Calibri" w:cs="Calibri"/>
        </w:rPr>
        <w:t xml:space="preserve"> from 36</w:t>
      </w:r>
      <w:r w:rsidRPr="001E7AA4" w:rsidDel="0002240E">
        <w:rPr>
          <w:rFonts w:ascii="Calibri" w:eastAsia="Calibri" w:hAnsi="Calibri" w:cs="Calibri"/>
        </w:rPr>
        <w:t>%</w:t>
      </w:r>
      <w:r w:rsidR="0002240E" w:rsidRPr="001E7AA4">
        <w:rPr>
          <w:rFonts w:ascii="Calibri" w:eastAsia="Calibri" w:hAnsi="Calibri" w:cs="Calibri"/>
        </w:rPr>
        <w:t xml:space="preserve"> </w:t>
      </w:r>
      <w:r w:rsidRPr="001E7AA4">
        <w:rPr>
          <w:rFonts w:ascii="Calibri" w:eastAsia="Calibri" w:hAnsi="Calibri" w:cs="Calibri"/>
        </w:rPr>
        <w:t>to 55%</w:t>
      </w:r>
      <w:r w:rsidR="00E865BA" w:rsidRPr="001E7AA4">
        <w:rPr>
          <w:rFonts w:ascii="Calibri" w:eastAsia="Calibri" w:hAnsi="Calibri" w:cs="Calibri"/>
        </w:rPr>
        <w:t xml:space="preserve"> of </w:t>
      </w:r>
      <w:r w:rsidR="662AEF97" w:rsidRPr="001E7AA4">
        <w:rPr>
          <w:rFonts w:ascii="Calibri" w:eastAsia="Calibri" w:hAnsi="Calibri" w:cs="Calibri"/>
        </w:rPr>
        <w:t xml:space="preserve">all </w:t>
      </w:r>
      <w:r w:rsidR="00E865BA" w:rsidRPr="001E7AA4">
        <w:rPr>
          <w:rFonts w:ascii="Calibri" w:eastAsia="Calibri" w:hAnsi="Calibri" w:cs="Calibri"/>
        </w:rPr>
        <w:t>jobs</w:t>
      </w:r>
      <w:r w:rsidRPr="001E7AA4">
        <w:rPr>
          <w:rFonts w:ascii="Calibri" w:eastAsia="Calibri" w:hAnsi="Calibri" w:cs="Calibri"/>
        </w:rPr>
        <w:t>.</w:t>
      </w:r>
      <w:r w:rsidR="00682F86" w:rsidRPr="001E7AA4">
        <w:rPr>
          <w:rStyle w:val="FootnoteReference"/>
          <w:rFonts w:ascii="Calibri" w:eastAsia="Calibri" w:hAnsi="Calibri" w:cs="Calibri"/>
        </w:rPr>
        <w:footnoteReference w:id="44"/>
      </w:r>
      <w:r w:rsidRPr="001E7AA4">
        <w:t xml:space="preserve"> </w:t>
      </w:r>
    </w:p>
    <w:p w14:paraId="286FFBD7" w14:textId="50857517" w:rsidR="00AF746C" w:rsidRPr="001E7AA4" w:rsidRDefault="00AF746C" w:rsidP="00AF746C">
      <w:r w:rsidRPr="001E7AA4">
        <w:t>Rising to this challenge is made all the more important, considering that in 2022, 35</w:t>
      </w:r>
      <w:r w:rsidRPr="001E7AA4" w:rsidDel="0002240E">
        <w:t>%</w:t>
      </w:r>
      <w:r w:rsidR="0002240E" w:rsidRPr="001E7AA4">
        <w:t xml:space="preserve"> </w:t>
      </w:r>
      <w:r w:rsidRPr="001E7AA4">
        <w:t xml:space="preserve">of all occupations </w:t>
      </w:r>
      <w:r w:rsidR="000D2708" w:rsidRPr="001E7AA4">
        <w:t xml:space="preserve">generally </w:t>
      </w:r>
      <w:r w:rsidRPr="001E7AA4">
        <w:t>requiring a bachelor degree or higher qualification were in shortage, an increase from 19</w:t>
      </w:r>
      <w:r w:rsidRPr="001E7AA4" w:rsidDel="0002240E">
        <w:t>%</w:t>
      </w:r>
      <w:r w:rsidR="0002240E" w:rsidRPr="001E7AA4">
        <w:t xml:space="preserve"> </w:t>
      </w:r>
      <w:r w:rsidRPr="001E7AA4">
        <w:t>in 2021.</w:t>
      </w:r>
      <w:r w:rsidRPr="001E7AA4">
        <w:rPr>
          <w:rStyle w:val="FootnoteReference"/>
        </w:rPr>
        <w:footnoteReference w:id="45"/>
      </w:r>
      <w:r w:rsidRPr="001E7AA4">
        <w:t xml:space="preserve"> In many of these fast-changing workforce sectors, </w:t>
      </w:r>
      <w:r w:rsidR="009254B7" w:rsidRPr="001E7AA4">
        <w:t>paraprofessional</w:t>
      </w:r>
      <w:r w:rsidRPr="001E7AA4">
        <w:t xml:space="preserve"> and advanced technical jobs are also growing rapidly, and need to be served effectively by fit-for-purpose qualifications and opportunities.</w:t>
      </w:r>
    </w:p>
    <w:p w14:paraId="6B1D37BA" w14:textId="586CA1C0" w:rsidR="00AF746C" w:rsidRPr="001E7AA4" w:rsidRDefault="58A4EBF2" w:rsidP="00AF746C">
      <w:r w:rsidRPr="001E7AA4">
        <w:t xml:space="preserve">The Review has heard </w:t>
      </w:r>
      <w:r w:rsidR="496783A7" w:rsidRPr="001E7AA4">
        <w:t>g</w:t>
      </w:r>
      <w:r w:rsidR="2BB95E01" w:rsidRPr="001E7AA4">
        <w:t>raduates</w:t>
      </w:r>
      <w:r w:rsidR="00AF746C" w:rsidRPr="001E7AA4">
        <w:t xml:space="preserve"> need a mix of transferable work-related skills and learning capabilities to participate effectively in the workforce. While new approaches to skills acquisition are emerging in the form of microcredentials, cadetships and other short courses, inconsistent funding arrangements and regulatory frameworks are stifling further innovative course design.</w:t>
      </w:r>
    </w:p>
    <w:p w14:paraId="5AEFC57E" w14:textId="645570A7" w:rsidR="00AF746C" w:rsidRPr="001E7AA4" w:rsidRDefault="2BB95E01" w:rsidP="00AF746C">
      <w:r w:rsidRPr="001E7AA4">
        <w:t>T</w:t>
      </w:r>
      <w:r w:rsidR="15A1BD7D" w:rsidRPr="001E7AA4">
        <w:t>he Review has also heard that t</w:t>
      </w:r>
      <w:r w:rsidRPr="001E7AA4">
        <w:t>ransitions</w:t>
      </w:r>
      <w:r w:rsidR="00AF746C" w:rsidRPr="001E7AA4">
        <w:t xml:space="preserve"> between VET and higher education are fragmented and misaligned, making it difficult for students to navigate across sectors and obtain the skills they need. Universities’ credit </w:t>
      </w:r>
      <w:r w:rsidR="00664C89" w:rsidRPr="001E7AA4">
        <w:t xml:space="preserve">transfer, advanced standing </w:t>
      </w:r>
      <w:r w:rsidR="00AF746C" w:rsidRPr="001E7AA4">
        <w:t xml:space="preserve">and RPL practices are inconsistent and can act as a barrier to further study. </w:t>
      </w:r>
    </w:p>
    <w:p w14:paraId="3B785468" w14:textId="5E0434CB" w:rsidR="00AF746C" w:rsidRDefault="4E5BFEA1" w:rsidP="00AF746C">
      <w:r w:rsidRPr="001E7AA4">
        <w:t>The Review is exploring how</w:t>
      </w:r>
      <w:r w:rsidR="00AF746C" w:rsidRPr="001E7AA4">
        <w:t xml:space="preserve"> industry and the </w:t>
      </w:r>
      <w:r w:rsidR="6DCD5DC5" w:rsidRPr="001E7AA4">
        <w:t>higher education and VET sectors</w:t>
      </w:r>
      <w:r w:rsidR="00AF746C" w:rsidRPr="001E7AA4">
        <w:t xml:space="preserve"> </w:t>
      </w:r>
      <w:r w:rsidR="11E0EA48" w:rsidRPr="001E7AA4">
        <w:t>c</w:t>
      </w:r>
      <w:r w:rsidR="615F8742" w:rsidRPr="001E7AA4">
        <w:t>an</w:t>
      </w:r>
      <w:r w:rsidR="2BB95E01" w:rsidRPr="001E7AA4">
        <w:t xml:space="preserve"> </w:t>
      </w:r>
      <w:r w:rsidR="641DFCAA" w:rsidRPr="001E7AA4">
        <w:t>establish parity of esteem and</w:t>
      </w:r>
      <w:r w:rsidR="00AF746C" w:rsidRPr="001E7AA4">
        <w:t xml:space="preserve"> collaborate more effectively in the development of innovative course content, and in providing more quality placements and </w:t>
      </w:r>
      <w:r w:rsidR="000C5538" w:rsidRPr="001E7AA4">
        <w:t>WIL</w:t>
      </w:r>
      <w:r w:rsidR="00AF746C" w:rsidRPr="001E7AA4">
        <w:t xml:space="preserve"> across more courses.</w:t>
      </w:r>
    </w:p>
    <w:p w14:paraId="2122AFA8" w14:textId="0C458D58" w:rsidR="00B552EB" w:rsidRDefault="00B552EB" w:rsidP="00B552EB">
      <w:pPr>
        <w:pStyle w:val="Pulloutboxes"/>
      </w:pPr>
      <w:r w:rsidRPr="002F0B4B">
        <w:t>Innovation and collaboration in higher education delivery – for example, through microcredentials that reflect industry input – is a must.</w:t>
      </w:r>
    </w:p>
    <w:p w14:paraId="6754AD6A" w14:textId="54FCA95A" w:rsidR="00632104" w:rsidRPr="001E7AA4" w:rsidRDefault="00AF746C" w:rsidP="00632104">
      <w:pPr>
        <w:rPr>
          <w:rFonts w:eastAsia="Calibri"/>
        </w:rPr>
      </w:pPr>
      <w:r w:rsidRPr="001E7AA4">
        <w:rPr>
          <w:rStyle w:val="normaltextrun"/>
          <w:rFonts w:ascii="Calibri" w:hAnsi="Calibri" w:cs="Calibri"/>
          <w:shd w:val="clear" w:color="auto" w:fill="FFFFFF"/>
        </w:rPr>
        <w:lastRenderedPageBreak/>
        <w:t xml:space="preserve">Innovation in the way that we design and deliver higher education, support students and open up more pathways to learning will promote access and opportunity for all students (but particularly those from disadvantaged backgrounds) to gain the skills they, and the nation, need. If we don’t, </w:t>
      </w:r>
      <w:r w:rsidRPr="001E7AA4">
        <w:rPr>
          <w:rFonts w:eastAsia="Calibri"/>
        </w:rPr>
        <w:t xml:space="preserve">Australia will miss out on key economic </w:t>
      </w:r>
      <w:r w:rsidR="00FA4AC0" w:rsidRPr="001E7AA4">
        <w:rPr>
          <w:rFonts w:eastAsia="Calibri"/>
        </w:rPr>
        <w:t xml:space="preserve">and social </w:t>
      </w:r>
      <w:r w:rsidRPr="001E7AA4">
        <w:rPr>
          <w:rFonts w:eastAsia="Calibri"/>
        </w:rPr>
        <w:t>development opportunities.</w:t>
      </w:r>
    </w:p>
    <w:p w14:paraId="5E96A1C5" w14:textId="77777777" w:rsidR="00AF746C" w:rsidRPr="001E7AA4" w:rsidRDefault="3E543B58" w:rsidP="00F72CFE">
      <w:pPr>
        <w:pStyle w:val="Heading5"/>
      </w:pPr>
      <w:bookmarkStart w:id="121" w:name="_Toc136169137"/>
      <w:bookmarkStart w:id="122" w:name="_Toc137829539"/>
      <w:bookmarkStart w:id="123" w:name="_Toc619102000"/>
      <w:bookmarkStart w:id="124" w:name="_Toc139028871"/>
      <w:r w:rsidRPr="001E7AA4">
        <w:t>2.2.1 Getting the balance of skills right</w:t>
      </w:r>
      <w:bookmarkEnd w:id="121"/>
      <w:bookmarkEnd w:id="122"/>
      <w:bookmarkEnd w:id="123"/>
      <w:bookmarkEnd w:id="124"/>
    </w:p>
    <w:p w14:paraId="4560FB3B" w14:textId="77777777" w:rsidR="00F52DA0" w:rsidRDefault="002D0139" w:rsidP="00AF746C">
      <w:pPr>
        <w:rPr>
          <w:rStyle w:val="normaltextrun"/>
          <w:rFonts w:ascii="Calibri" w:hAnsi="Calibri" w:cs="Calibri"/>
          <w:shd w:val="clear" w:color="auto" w:fill="FFFFFF"/>
        </w:rPr>
      </w:pPr>
      <w:r w:rsidRPr="001E7AA4">
        <w:rPr>
          <w:rStyle w:val="normaltextrun"/>
          <w:rFonts w:ascii="Calibri" w:hAnsi="Calibri" w:cs="Calibri"/>
          <w:shd w:val="clear" w:color="auto" w:fill="FFFFFF"/>
        </w:rPr>
        <w:t xml:space="preserve">Numerous consultations and </w:t>
      </w:r>
      <w:r w:rsidR="00AF746C" w:rsidRPr="001E7AA4">
        <w:rPr>
          <w:rStyle w:val="normaltextrun"/>
          <w:rFonts w:ascii="Calibri" w:hAnsi="Calibri" w:cs="Calibri"/>
          <w:shd w:val="clear" w:color="auto" w:fill="FFFFFF"/>
        </w:rPr>
        <w:t>submissions to the Review noted the need to better prepare graduates with the ability to think critically, research and solve complex problems</w:t>
      </w:r>
      <w:r w:rsidR="00AF2289" w:rsidRPr="001E7AA4">
        <w:rPr>
          <w:rStyle w:val="normaltextrun"/>
          <w:rFonts w:ascii="Calibri" w:hAnsi="Calibri" w:cs="Calibri"/>
          <w:shd w:val="clear" w:color="auto" w:fill="FFFFFF"/>
        </w:rPr>
        <w:t>,</w:t>
      </w:r>
      <w:r w:rsidR="00AF746C" w:rsidRPr="001E7AA4">
        <w:rPr>
          <w:rStyle w:val="normaltextrun"/>
          <w:rFonts w:ascii="Calibri" w:hAnsi="Calibri" w:cs="Calibri"/>
          <w:shd w:val="clear" w:color="auto" w:fill="FFFFFF"/>
        </w:rPr>
        <w:t xml:space="preserve"> and to supplement these generic skills with more discipline</w:t>
      </w:r>
      <w:r w:rsidR="00632104" w:rsidRPr="001E7AA4">
        <w:rPr>
          <w:rStyle w:val="normaltextrun"/>
          <w:rFonts w:ascii="Calibri" w:hAnsi="Calibri" w:cs="Calibri"/>
          <w:shd w:val="clear" w:color="auto" w:fill="FFFFFF"/>
        </w:rPr>
        <w:t>-</w:t>
      </w:r>
      <w:r w:rsidR="00AF746C" w:rsidRPr="001E7AA4">
        <w:rPr>
          <w:rStyle w:val="normaltextrun"/>
          <w:rFonts w:ascii="Calibri" w:hAnsi="Calibri" w:cs="Calibri"/>
          <w:shd w:val="clear" w:color="auto" w:fill="FFFFFF"/>
        </w:rPr>
        <w:t xml:space="preserve">specific and job-relevant knowledge. At the same time, submissions noted that the </w:t>
      </w:r>
      <w:r w:rsidR="009E1EEA" w:rsidRPr="001E7AA4">
        <w:rPr>
          <w:rStyle w:val="normaltextrun"/>
          <w:rFonts w:ascii="Calibri" w:hAnsi="Calibri" w:cs="Calibri"/>
          <w:shd w:val="clear" w:color="auto" w:fill="FFFFFF"/>
        </w:rPr>
        <w:t>higher education and VET</w:t>
      </w:r>
      <w:r w:rsidR="00AF746C" w:rsidRPr="001E7AA4">
        <w:rPr>
          <w:rStyle w:val="normaltextrun"/>
          <w:rFonts w:ascii="Calibri" w:hAnsi="Calibri" w:cs="Calibri"/>
          <w:shd w:val="clear" w:color="auto" w:fill="FFFFFF"/>
        </w:rPr>
        <w:t xml:space="preserve"> sectors aren’t sufficiently responsive to technical, industry needs. Improving the mix of skills taught in tertiary education, and the quality and applicability of these skills, will require greater collaboration between all stakeholders in the system. Maximising the opportunities, learning pathways and environments through which students can obtain the mix of skills they need in the future is essential to Australia’s future prosperity.</w:t>
      </w:r>
    </w:p>
    <w:p w14:paraId="53C8F7C1" w14:textId="07A5B64D" w:rsidR="00AF746C" w:rsidRPr="002F0B4B" w:rsidRDefault="00AF746C" w:rsidP="002F0B4B">
      <w:pPr>
        <w:pStyle w:val="Quote"/>
      </w:pPr>
      <w:r w:rsidRPr="001E7AA4">
        <w:rPr>
          <w:rStyle w:val="normaltextrun"/>
          <w:rFonts w:ascii="Calibri" w:hAnsi="Calibri" w:cs="Calibri"/>
          <w:shd w:val="clear" w:color="auto" w:fill="FFFFFF"/>
        </w:rPr>
        <w:t xml:space="preserve"> </w:t>
      </w:r>
      <w:r w:rsidR="00F52DA0" w:rsidRPr="002F0B4B">
        <w:t xml:space="preserve">"Industry and universities must be intertwined to ensure graduates exit with the technical knowledge and generic skills needed. This is key to linking learning with current industry strategies and practice, knowledge and skill needs." </w:t>
      </w:r>
      <w:r w:rsidR="000F1186" w:rsidRPr="002F0B4B">
        <w:br/>
      </w:r>
      <w:r w:rsidR="00F52DA0" w:rsidRPr="002F0B4B">
        <w:t>- Australian Industry Group</w:t>
      </w:r>
      <w:r w:rsidRPr="002F0B4B">
        <w:t xml:space="preserve"> </w:t>
      </w:r>
    </w:p>
    <w:p w14:paraId="5FD5843F" w14:textId="661E6267" w:rsidR="00AF746C" w:rsidRPr="001E7AA4" w:rsidRDefault="00AF746C" w:rsidP="00AF746C">
      <w:r w:rsidRPr="001E7AA4">
        <w:rPr>
          <w:rStyle w:val="normaltextrun"/>
          <w:rFonts w:ascii="Calibri" w:hAnsi="Calibri" w:cs="Calibri"/>
          <w:shd w:val="clear" w:color="auto" w:fill="FFFFFF"/>
        </w:rPr>
        <w:t>Courses must be designed with the skill</w:t>
      </w:r>
      <w:r w:rsidR="00AF2289" w:rsidRPr="001E7AA4">
        <w:rPr>
          <w:rStyle w:val="normaltextrun"/>
          <w:rFonts w:ascii="Calibri" w:hAnsi="Calibri" w:cs="Calibri"/>
          <w:shd w:val="clear" w:color="auto" w:fill="FFFFFF"/>
        </w:rPr>
        <w:t>s</w:t>
      </w:r>
      <w:r w:rsidRPr="001E7AA4">
        <w:rPr>
          <w:rStyle w:val="normaltextrun"/>
          <w:rFonts w:ascii="Calibri" w:hAnsi="Calibri" w:cs="Calibri"/>
          <w:shd w:val="clear" w:color="auto" w:fill="FFFFFF"/>
        </w:rPr>
        <w:t xml:space="preserve"> needs of industry in mind. The Review notes that the development of a shared skill</w:t>
      </w:r>
      <w:r w:rsidR="00AF2289" w:rsidRPr="001E7AA4">
        <w:rPr>
          <w:rStyle w:val="normaltextrun"/>
          <w:rFonts w:ascii="Calibri" w:hAnsi="Calibri" w:cs="Calibri"/>
          <w:shd w:val="clear" w:color="auto" w:fill="FFFFFF"/>
        </w:rPr>
        <w:t>s</w:t>
      </w:r>
      <w:r w:rsidRPr="001E7AA4">
        <w:rPr>
          <w:rStyle w:val="normaltextrun"/>
          <w:rFonts w:ascii="Calibri" w:hAnsi="Calibri" w:cs="Calibri"/>
          <w:shd w:val="clear" w:color="auto" w:fill="FFFFFF"/>
        </w:rPr>
        <w:t xml:space="preserve"> taxonomy, through </w:t>
      </w:r>
      <w:r w:rsidR="00A578D4" w:rsidRPr="001E7AA4">
        <w:rPr>
          <w:rStyle w:val="normaltextrun"/>
          <w:rFonts w:ascii="Calibri" w:hAnsi="Calibri" w:cs="Calibri"/>
          <w:shd w:val="clear" w:color="auto" w:fill="FFFFFF"/>
        </w:rPr>
        <w:t>JSA</w:t>
      </w:r>
      <w:r w:rsidR="00EC17D3" w:rsidRPr="001E7AA4">
        <w:rPr>
          <w:rStyle w:val="normaltextrun"/>
          <w:rFonts w:ascii="Calibri" w:hAnsi="Calibri" w:cs="Calibri"/>
          <w:shd w:val="clear" w:color="auto" w:fill="FFFFFF"/>
        </w:rPr>
        <w:t>’s</w:t>
      </w:r>
      <w:r w:rsidR="00A578D4" w:rsidRPr="001E7AA4">
        <w:rPr>
          <w:rStyle w:val="normaltextrun"/>
          <w:rFonts w:ascii="Calibri" w:hAnsi="Calibri" w:cs="Calibri"/>
          <w:shd w:val="clear" w:color="auto" w:fill="FFFFFF"/>
        </w:rPr>
        <w:t xml:space="preserve"> </w:t>
      </w:r>
      <w:r w:rsidRPr="001E7AA4">
        <w:rPr>
          <w:rStyle w:val="normaltextrun"/>
          <w:rFonts w:ascii="Calibri" w:hAnsi="Calibri" w:cs="Calibri"/>
          <w:shd w:val="clear" w:color="auto" w:fill="FFFFFF"/>
        </w:rPr>
        <w:t xml:space="preserve">work </w:t>
      </w:r>
      <w:r w:rsidR="003A7A7F" w:rsidRPr="001E7AA4">
        <w:rPr>
          <w:rStyle w:val="normaltextrun"/>
          <w:rFonts w:ascii="Calibri" w:hAnsi="Calibri" w:cs="Calibri"/>
          <w:shd w:val="clear" w:color="auto" w:fill="FFFFFF"/>
        </w:rPr>
        <w:t xml:space="preserve">building </w:t>
      </w:r>
      <w:r w:rsidRPr="001E7AA4">
        <w:rPr>
          <w:rStyle w:val="normaltextrun"/>
          <w:rFonts w:ascii="Calibri" w:hAnsi="Calibri" w:cs="Calibri"/>
          <w:shd w:val="clear" w:color="auto" w:fill="FFFFFF"/>
        </w:rPr>
        <w:t>on the Australian Skills Classification (ASC)</w:t>
      </w:r>
      <w:r w:rsidR="00881DF5" w:rsidRPr="001E7AA4">
        <w:rPr>
          <w:rStyle w:val="normaltextrun"/>
          <w:rFonts w:ascii="Calibri" w:hAnsi="Calibri" w:cs="Calibri"/>
          <w:shd w:val="clear" w:color="auto" w:fill="FFFFFF"/>
        </w:rPr>
        <w:t>,</w:t>
      </w:r>
      <w:r w:rsidRPr="001E7AA4">
        <w:rPr>
          <w:rStyle w:val="normaltextrun"/>
          <w:rFonts w:ascii="Calibri" w:hAnsi="Calibri" w:cs="Calibri"/>
          <w:shd w:val="clear" w:color="auto" w:fill="FFFFFF"/>
        </w:rPr>
        <w:t xml:space="preserve"> will assist in mapping course design to identified skills needs and will be a useful workforce planning tool. </w:t>
      </w:r>
      <w:r w:rsidRPr="001E7AA4">
        <w:t xml:space="preserve">The ASC offers a common language of skills which enables stakeholders to identify and articulate skills consistently. </w:t>
      </w:r>
      <w:r w:rsidR="00096D93" w:rsidRPr="001E7AA4">
        <w:t>A</w:t>
      </w:r>
      <w:r w:rsidR="00A34061" w:rsidRPr="001E7AA4">
        <w:t>greement on th</w:t>
      </w:r>
      <w:r w:rsidR="00951849" w:rsidRPr="001E7AA4">
        <w:t>is</w:t>
      </w:r>
      <w:r w:rsidRPr="001E7AA4">
        <w:t xml:space="preserve"> is an essential component in the build-out of short-form qualifications and the identification of generic and high-level skills across all types of qualification. </w:t>
      </w:r>
    </w:p>
    <w:p w14:paraId="1D3F5CA0" w14:textId="1CC2DD0B" w:rsidR="00AF746C" w:rsidRPr="001E7AA4" w:rsidRDefault="00AF746C" w:rsidP="00AF746C">
      <w:pPr>
        <w:spacing w:line="240" w:lineRule="auto"/>
      </w:pPr>
      <w:r w:rsidRPr="001E7AA4">
        <w:t>JSA is currently working to map higher education curricula to this common taxonomy so that qualifications can be defined by the specific skills that are taught. Matching this framework with the skill</w:t>
      </w:r>
      <w:r w:rsidR="003E6400" w:rsidRPr="001E7AA4">
        <w:t>s</w:t>
      </w:r>
      <w:r w:rsidRPr="001E7AA4">
        <w:t xml:space="preserve"> needs of occupations will allow for better matching of skills demand and supply and will be a useful tool in course design. It could facilitate the expansion of more flexible, timely and modular forms of learning, that </w:t>
      </w:r>
      <w:r w:rsidR="008A18EF" w:rsidRPr="001E7AA4">
        <w:t>could</w:t>
      </w:r>
      <w:r w:rsidRPr="001E7AA4">
        <w:t xml:space="preserve"> be more readily updated to reflect changing workforce needs.</w:t>
      </w:r>
    </w:p>
    <w:p w14:paraId="22D123A5" w14:textId="4BECDCDC" w:rsidR="00AF746C" w:rsidRPr="001E7AA4" w:rsidRDefault="00AF746C" w:rsidP="00AF746C">
      <w:pPr>
        <w:spacing w:line="240" w:lineRule="auto"/>
      </w:pPr>
      <w:r w:rsidRPr="001E7AA4">
        <w:t xml:space="preserve">It may also increase the confidence of employers and professional accreditation bodies that graduates are equipped with skills at the right levels of attainment for different jobs. This could be attested through a national skills passport – discussed further in </w:t>
      </w:r>
      <w:r w:rsidR="00717DA5" w:rsidRPr="001E7AA4">
        <w:t>S</w:t>
      </w:r>
      <w:r w:rsidRPr="001E7AA4">
        <w:t>ection 2.2.7.</w:t>
      </w:r>
    </w:p>
    <w:p w14:paraId="4C512949" w14:textId="77777777" w:rsidR="00AF746C" w:rsidRPr="001E7AA4" w:rsidRDefault="3E543B58" w:rsidP="00F72CFE">
      <w:pPr>
        <w:pStyle w:val="Heading5"/>
      </w:pPr>
      <w:bookmarkStart w:id="125" w:name="_Toc137829540"/>
      <w:bookmarkStart w:id="126" w:name="_Toc1352986744"/>
      <w:bookmarkStart w:id="127" w:name="_Toc139028872"/>
      <w:r w:rsidRPr="001E7AA4">
        <w:t>2.2.2 Serving the professions</w:t>
      </w:r>
      <w:bookmarkEnd w:id="125"/>
      <w:bookmarkEnd w:id="126"/>
      <w:bookmarkEnd w:id="127"/>
    </w:p>
    <w:p w14:paraId="6C2306C7" w14:textId="4FEADCA3" w:rsidR="00AF746C" w:rsidRPr="001E7AA4" w:rsidRDefault="00AF746C" w:rsidP="00D925CA">
      <w:pPr>
        <w:rPr>
          <w:b/>
          <w:bCs/>
        </w:rPr>
      </w:pPr>
      <w:r w:rsidRPr="001E7AA4">
        <w:t>One of the major functions of higher education is to produce the skills required for the professions.  Critical professions including teaching, medicine, engineering, dentistry, nursing, veterinary science and allied health are all experiencing significant skills shortages nationally, many of which are particularly acute in regional and remote areas.</w:t>
      </w:r>
      <w:r w:rsidRPr="001E7AA4">
        <w:rPr>
          <w:rStyle w:val="FootnoteReference"/>
        </w:rPr>
        <w:footnoteReference w:id="46"/>
      </w:r>
      <w:r w:rsidRPr="001E7AA4">
        <w:t xml:space="preserve"> These professions are also where greater numbers are needed in the future. Figure 2.2-1 shows that </w:t>
      </w:r>
      <w:r w:rsidRPr="001E7AA4">
        <w:rPr>
          <w:rStyle w:val="normaltextrun"/>
          <w:rFonts w:ascii="Calibri" w:hAnsi="Calibri" w:cs="Calibri"/>
          <w:color w:val="000000" w:themeColor="text1"/>
        </w:rPr>
        <w:t>h</w:t>
      </w:r>
      <w:r w:rsidRPr="001E7AA4">
        <w:rPr>
          <w:rStyle w:val="normaltextrun"/>
          <w:rFonts w:ascii="Calibri" w:hAnsi="Calibri" w:cs="Calibri"/>
          <w:color w:val="000000"/>
          <w:shd w:val="clear" w:color="auto" w:fill="FFFFFF"/>
        </w:rPr>
        <w:t xml:space="preserve">ealth care and social assistance (which includes nurses and medical professionals); professional, scientific and technical services (which includes IT </w:t>
      </w:r>
      <w:r w:rsidRPr="001E7AA4">
        <w:rPr>
          <w:rStyle w:val="normaltextrun"/>
          <w:rFonts w:ascii="Calibri" w:hAnsi="Calibri" w:cs="Calibri"/>
          <w:color w:val="000000"/>
          <w:shd w:val="clear" w:color="auto" w:fill="FFFFFF"/>
        </w:rPr>
        <w:lastRenderedPageBreak/>
        <w:t>and engineering) and education and training (including teachers and early childhood workers) provide over half of the total projected employment growth to 2026.</w:t>
      </w:r>
      <w:r w:rsidRPr="001E7AA4">
        <w:rPr>
          <w:rStyle w:val="FootnoteReference"/>
        </w:rPr>
        <w:footnoteReference w:id="47"/>
      </w:r>
      <w:r w:rsidRPr="001E7AA4">
        <w:t xml:space="preserve"> </w:t>
      </w:r>
    </w:p>
    <w:p w14:paraId="16C7E6DF" w14:textId="699424C7" w:rsidR="00AF746C" w:rsidRPr="001E7AA4" w:rsidRDefault="00AF746C" w:rsidP="0093125A">
      <w:pPr>
        <w:pStyle w:val="Caption"/>
      </w:pPr>
      <w:r w:rsidRPr="001E7AA4">
        <w:t xml:space="preserve">Figure 2.2-1: </w:t>
      </w:r>
      <w:r w:rsidR="00B572A3" w:rsidRPr="001E7AA4">
        <w:t>P</w:t>
      </w:r>
      <w:r w:rsidRPr="001E7AA4">
        <w:t>rojected employment growth by industry, November 2021</w:t>
      </w:r>
      <w:r w:rsidR="00B572A3" w:rsidRPr="001E7AA4">
        <w:t xml:space="preserve"> to </w:t>
      </w:r>
      <w:r w:rsidRPr="001E7AA4">
        <w:t>November 2026</w:t>
      </w:r>
      <w:r w:rsidR="0074760F" w:rsidRPr="001E7AA4">
        <w:t>.</w:t>
      </w:r>
    </w:p>
    <w:p w14:paraId="68ED1CDA" w14:textId="432263B1" w:rsidR="00AF746C" w:rsidRPr="00E96855" w:rsidRDefault="00C52937" w:rsidP="0093125A">
      <w:pPr>
        <w:pStyle w:val="Source"/>
        <w:rPr>
          <w:color w:val="808080" w:themeColor="background1" w:themeShade="80"/>
        </w:rPr>
      </w:pPr>
      <w:r w:rsidRPr="001E7AA4">
        <w:rPr>
          <w:noProof/>
        </w:rPr>
        <w:drawing>
          <wp:inline distT="0" distB="0" distL="0" distR="0" wp14:anchorId="19574DA0" wp14:editId="56EE7351">
            <wp:extent cx="5731510" cy="3171825"/>
            <wp:effectExtent l="0" t="0" r="0" b="0"/>
            <wp:docPr id="43" name="Picture 43" descr="Bar chart showing projected employment growth by industry from November 2021 to November 2026. The graph shows the most significant anticipated growth is in health care and social assistance, then professional services, education and training, and accommodation and food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Bar chart showing projected employment growth by industry from November 2021 to November 2026. The graph shows the most significant anticipated growth is in health care and social assistance, then professional services, education and training, and accommodation and food services."/>
                    <pic:cNvPicPr/>
                  </pic:nvPicPr>
                  <pic:blipFill>
                    <a:blip r:embed="rId56">
                      <a:extLst>
                        <a:ext uri="{28A0092B-C50C-407E-A947-70E740481C1C}">
                          <a14:useLocalDpi xmlns:a14="http://schemas.microsoft.com/office/drawing/2010/main" val="0"/>
                        </a:ext>
                        <a:ext uri="{96DAC541-7B7A-43D3-8B79-37D633B846F1}">
                          <asvg:svgBlip xmlns:asvg="http://schemas.microsoft.com/office/drawing/2016/SVG/main" r:embed="rId57"/>
                        </a:ext>
                      </a:extLst>
                    </a:blip>
                    <a:stretch>
                      <a:fillRect/>
                    </a:stretch>
                  </pic:blipFill>
                  <pic:spPr>
                    <a:xfrm>
                      <a:off x="0" y="0"/>
                      <a:ext cx="5731510" cy="3171825"/>
                    </a:xfrm>
                    <a:prstGeom prst="rect">
                      <a:avLst/>
                    </a:prstGeom>
                  </pic:spPr>
                </pic:pic>
              </a:graphicData>
            </a:graphic>
          </wp:inline>
        </w:drawing>
      </w:r>
      <w:r w:rsidR="00AF746C" w:rsidRPr="00E74934">
        <w:t xml:space="preserve">Source: </w:t>
      </w:r>
      <w:r w:rsidR="006D7178" w:rsidRPr="00E74934">
        <w:t xml:space="preserve">Department of Education reproduction based on JSA, </w:t>
      </w:r>
      <w:hyperlink r:id="rId58" w:history="1">
        <w:r w:rsidR="006D7178" w:rsidRPr="00E96855">
          <w:rPr>
            <w:rStyle w:val="Hyperlink"/>
            <w:i/>
            <w:szCs w:val="18"/>
          </w:rPr>
          <w:t>Employment Outlook: Industry and occupation trends over the five year to November 2026</w:t>
        </w:r>
      </w:hyperlink>
      <w:r w:rsidR="006D7178" w:rsidRPr="00E74934">
        <w:t>, [data set], 2021, accessed 8 June 2023.</w:t>
      </w:r>
    </w:p>
    <w:p w14:paraId="6B78BA9F" w14:textId="0BDC01B0" w:rsidR="00AF746C" w:rsidRPr="001E7AA4" w:rsidRDefault="00AF746C" w:rsidP="00AF746C">
      <w:pPr>
        <w:rPr>
          <w:rFonts w:ascii="Calibri" w:eastAsia="Calibri" w:hAnsi="Calibri" w:cs="Calibri"/>
        </w:rPr>
      </w:pPr>
      <w:r w:rsidRPr="001E7AA4">
        <w:t xml:space="preserve">With a growing and ageing population, </w:t>
      </w:r>
      <w:r w:rsidR="00665A95" w:rsidRPr="001E7AA4">
        <w:t xml:space="preserve">the </w:t>
      </w:r>
      <w:r w:rsidRPr="001E7AA4">
        <w:t xml:space="preserve">need for health professionals and </w:t>
      </w:r>
      <w:r w:rsidR="009254B7" w:rsidRPr="001E7AA4">
        <w:t>paraprofessional</w:t>
      </w:r>
      <w:r w:rsidRPr="001E7AA4">
        <w:t xml:space="preserve">s, particularly nurses and aged </w:t>
      </w:r>
      <w:r w:rsidR="008C1F0B" w:rsidRPr="001E7AA4">
        <w:t xml:space="preserve">and disability </w:t>
      </w:r>
      <w:r w:rsidRPr="001E7AA4">
        <w:t>carers, will continue to grow. Australia is expected to require more than 40,000 additional registered nurses over the period to 2026, a growth rate of 13.9%.</w:t>
      </w:r>
      <w:r w:rsidRPr="001E7AA4">
        <w:rPr>
          <w:rStyle w:val="FootnoteReference"/>
        </w:rPr>
        <w:footnoteReference w:id="48"/>
      </w:r>
      <w:r w:rsidRPr="001E7AA4">
        <w:t xml:space="preserve"> It is expected to require an additional 9</w:t>
      </w:r>
      <w:r w:rsidR="009E37E8" w:rsidRPr="001E7AA4">
        <w:t>8</w:t>
      </w:r>
      <w:r w:rsidRPr="001E7AA4">
        <w:t>,</w:t>
      </w:r>
      <w:r w:rsidR="009E37E8" w:rsidRPr="001E7AA4">
        <w:t>6</w:t>
      </w:r>
      <w:r w:rsidRPr="001E7AA4">
        <w:t xml:space="preserve">00 </w:t>
      </w:r>
      <w:r w:rsidR="008C1F0B" w:rsidRPr="001E7AA4">
        <w:t>ICT professionals</w:t>
      </w:r>
      <w:r w:rsidR="009E37E8" w:rsidRPr="001E7AA4">
        <w:t xml:space="preserve"> (including cybersecurity professionals)</w:t>
      </w:r>
      <w:r w:rsidRPr="001E7AA4">
        <w:t xml:space="preserve"> over the same period, a growth rate of 2</w:t>
      </w:r>
      <w:r w:rsidR="00056E1E" w:rsidRPr="001E7AA4">
        <w:t>6</w:t>
      </w:r>
      <w:r w:rsidRPr="001E7AA4">
        <w:t>.</w:t>
      </w:r>
      <w:r w:rsidR="00056E1E" w:rsidRPr="001E7AA4">
        <w:t>3</w:t>
      </w:r>
      <w:r w:rsidRPr="001E7AA4">
        <w:t>%.</w:t>
      </w:r>
      <w:r w:rsidRPr="001E7AA4">
        <w:rPr>
          <w:rStyle w:val="FootnoteReference"/>
        </w:rPr>
        <w:footnoteReference w:id="49"/>
      </w:r>
      <w:r w:rsidRPr="001E7AA4">
        <w:t xml:space="preserve"> </w:t>
      </w:r>
      <w:r w:rsidRPr="001E7AA4">
        <w:rPr>
          <w:rFonts w:ascii="Calibri" w:eastAsia="Calibri" w:hAnsi="Calibri" w:cs="Calibri"/>
        </w:rPr>
        <w:t>A growing population will also require greater levels of infrastructure and housing, and the transition to cleaner energy will change the way our energy and industrial sectors operate, driving demand for engineers and planning professionals.</w:t>
      </w:r>
    </w:p>
    <w:p w14:paraId="119C6764" w14:textId="77777777" w:rsidR="00AF746C" w:rsidRPr="001E7AA4" w:rsidRDefault="00AF746C" w:rsidP="00AF746C">
      <w:pPr>
        <w:rPr>
          <w:rFonts w:ascii="Calibri" w:eastAsia="Calibri" w:hAnsi="Calibri" w:cs="Calibri"/>
        </w:rPr>
      </w:pPr>
      <w:r w:rsidRPr="001E7AA4">
        <w:rPr>
          <w:rFonts w:ascii="Calibri" w:eastAsia="Calibri" w:hAnsi="Calibri" w:cs="Calibri"/>
        </w:rPr>
        <w:t>In addition to addressing existing and continuing skills challenges, Australia also needs to address demand for emerging professions and skills in areas of national priority like clean energy, advanced manufacturing, critical technology, minerals and defence.</w:t>
      </w:r>
      <w:r w:rsidRPr="001E7AA4">
        <w:rPr>
          <w:rStyle w:val="FootnoteReference"/>
          <w:rFonts w:ascii="Calibri" w:eastAsia="Calibri" w:hAnsi="Calibri" w:cs="Calibri"/>
        </w:rPr>
        <w:footnoteReference w:id="50"/>
      </w:r>
      <w:r w:rsidRPr="001E7AA4">
        <w:rPr>
          <w:rFonts w:ascii="Calibri" w:eastAsia="Calibri" w:hAnsi="Calibri" w:cs="Calibri"/>
        </w:rPr>
        <w:t xml:space="preserve"> </w:t>
      </w:r>
    </w:p>
    <w:p w14:paraId="38372419" w14:textId="1B483934" w:rsidR="00AF746C" w:rsidRPr="001E7AA4" w:rsidRDefault="00AF746C" w:rsidP="00AF746C">
      <w:pPr>
        <w:rPr>
          <w:rFonts w:ascii="Calibri" w:eastAsia="Calibri" w:hAnsi="Calibri" w:cs="Calibri"/>
        </w:rPr>
      </w:pPr>
      <w:r w:rsidRPr="001E7AA4">
        <w:rPr>
          <w:rFonts w:eastAsia="Calibri"/>
        </w:rPr>
        <w:t xml:space="preserve">We need more First Nations </w:t>
      </w:r>
      <w:r w:rsidR="000A1B62" w:rsidRPr="001E7AA4">
        <w:rPr>
          <w:rFonts w:ascii="Calibri" w:eastAsia="Calibri" w:hAnsi="Calibri" w:cs="Calibri"/>
        </w:rPr>
        <w:t xml:space="preserve">people </w:t>
      </w:r>
      <w:r w:rsidRPr="001E7AA4">
        <w:rPr>
          <w:rFonts w:eastAsia="Calibri"/>
        </w:rPr>
        <w:t xml:space="preserve">represented in professions like medicine and teaching, recognising the value of specific cultural knowledge when providing these services to First Nations </w:t>
      </w:r>
      <w:r w:rsidR="000A1B62" w:rsidRPr="001E7AA4">
        <w:rPr>
          <w:rFonts w:ascii="Calibri" w:eastAsia="Calibri" w:hAnsi="Calibri" w:cs="Calibri"/>
        </w:rPr>
        <w:t>people</w:t>
      </w:r>
      <w:r w:rsidRPr="001E7AA4">
        <w:rPr>
          <w:rFonts w:eastAsia="Calibri"/>
        </w:rPr>
        <w:t>. </w:t>
      </w:r>
    </w:p>
    <w:p w14:paraId="36709279" w14:textId="4D5DF377" w:rsidR="00AF746C" w:rsidRPr="001E7AA4" w:rsidRDefault="00AF746C" w:rsidP="00AF746C">
      <w:r w:rsidRPr="001E7AA4">
        <w:t xml:space="preserve">While there </w:t>
      </w:r>
      <w:r w:rsidR="00427D42" w:rsidRPr="001E7AA4">
        <w:t xml:space="preserve">have </w:t>
      </w:r>
      <w:r w:rsidRPr="001E7AA4">
        <w:t>previously been attempts to encourage students into particular courses, skill</w:t>
      </w:r>
      <w:r w:rsidR="007436E0" w:rsidRPr="001E7AA4">
        <w:t>s</w:t>
      </w:r>
      <w:r w:rsidRPr="001E7AA4">
        <w:t xml:space="preserve"> shortages have continued to persist. The latest attempt was through the JRG </w:t>
      </w:r>
      <w:r w:rsidR="00B26675" w:rsidRPr="001E7AA4">
        <w:t xml:space="preserve">package </w:t>
      </w:r>
      <w:r w:rsidRPr="001E7AA4">
        <w:t>adjusting student contributions</w:t>
      </w:r>
      <w:r w:rsidR="00632104" w:rsidRPr="001E7AA4">
        <w:t>,</w:t>
      </w:r>
      <w:r w:rsidRPr="001E7AA4">
        <w:t xml:space="preserve"> </w:t>
      </w:r>
      <w:r w:rsidR="00632104" w:rsidRPr="001E7AA4">
        <w:t xml:space="preserve">though widespread consensus suggests </w:t>
      </w:r>
      <w:r w:rsidRPr="001E7AA4">
        <w:t>that students have not responded.</w:t>
      </w:r>
    </w:p>
    <w:p w14:paraId="517306AC" w14:textId="110FFA9C" w:rsidR="003D642C" w:rsidRPr="001E7AA4" w:rsidRDefault="00AF746C" w:rsidP="00FC48E8">
      <w:pPr>
        <w:pStyle w:val="Quote"/>
      </w:pPr>
      <w:r w:rsidRPr="001E7AA4">
        <w:lastRenderedPageBreak/>
        <w:t>“</w:t>
      </w:r>
      <w:r w:rsidR="003D642C" w:rsidRPr="001E7AA4">
        <w:t>Currently, governments set subsidies based on targeting public benefits and skill needs, but these have little impact on student choice and many students receive large subsidies despite large private benefits.”</w:t>
      </w:r>
      <w:r w:rsidR="00872E40" w:rsidRPr="001E7AA4">
        <w:rPr>
          <w:rStyle w:val="FootnoteReference"/>
        </w:rPr>
        <w:footnoteReference w:id="51"/>
      </w:r>
      <w:r w:rsidR="00872E40" w:rsidRPr="001E7AA4">
        <w:t xml:space="preserve"> </w:t>
      </w:r>
      <w:r w:rsidR="003D642C" w:rsidRPr="001E7AA4">
        <w:t xml:space="preserve"> </w:t>
      </w:r>
      <w:r w:rsidR="000F1186">
        <w:br/>
      </w:r>
      <w:r w:rsidR="00102FE6" w:rsidRPr="001E7AA4">
        <w:t>–</w:t>
      </w:r>
      <w:r w:rsidR="003D642C" w:rsidRPr="001E7AA4">
        <w:t xml:space="preserve"> Productivity Commission </w:t>
      </w:r>
    </w:p>
    <w:p w14:paraId="54F28AC4" w14:textId="23E4AEE9" w:rsidR="00AF746C" w:rsidRPr="001E7AA4" w:rsidRDefault="00AF746C" w:rsidP="00AF746C">
      <w:r w:rsidRPr="001E7AA4">
        <w:t xml:space="preserve">Education for professional, </w:t>
      </w:r>
      <w:r w:rsidR="009254B7" w:rsidRPr="001E7AA4">
        <w:t>paraprofessional</w:t>
      </w:r>
      <w:r w:rsidRPr="001E7AA4">
        <w:t xml:space="preserve"> and advanced technical occupations has some specific features and challenges which necessitate greater industry involvement in learning</w:t>
      </w:r>
      <w:r w:rsidR="0065483C" w:rsidRPr="001E7AA4">
        <w:t xml:space="preserve"> and teaching</w:t>
      </w:r>
      <w:r w:rsidRPr="001E7AA4">
        <w:t xml:space="preserve">, as well as research. This includes the need to teach students the skills associated with leading-edge practice in that profession, education in professional ethics, placement, and quality control through accreditation with the professional body. </w:t>
      </w:r>
      <w:r w:rsidR="00CD35FB" w:rsidRPr="001E7AA4">
        <w:rPr>
          <w:rFonts w:ascii="Calibri" w:eastAsia="Times New Roman" w:hAnsi="Calibri" w:cs="Calibri"/>
          <w:lang w:eastAsia="en-AU"/>
        </w:rPr>
        <w:t>JSA</w:t>
      </w:r>
      <w:r w:rsidRPr="001E7AA4">
        <w:rPr>
          <w:rFonts w:ascii="Calibri" w:eastAsia="Times New Roman" w:hAnsi="Calibri" w:cs="Calibri"/>
          <w:lang w:eastAsia="en-AU"/>
        </w:rPr>
        <w:t xml:space="preserve"> analysis</w:t>
      </w:r>
      <w:r w:rsidRPr="001E7AA4">
        <w:t xml:space="preserve"> suggests that students aren’t graduating with enough of the professional skills required to address the skill</w:t>
      </w:r>
      <w:r w:rsidR="008C7C4F" w:rsidRPr="001E7AA4">
        <w:t>s</w:t>
      </w:r>
      <w:r w:rsidRPr="001E7AA4">
        <w:t xml:space="preserve"> needs of business</w:t>
      </w:r>
      <w:r w:rsidR="00393F3F" w:rsidRPr="001E7AA4">
        <w:t>.</w:t>
      </w:r>
      <w:r w:rsidRPr="001E7AA4">
        <w:rPr>
          <w:rFonts w:ascii="Calibri" w:eastAsia="Times New Roman" w:hAnsi="Calibri" w:cs="Calibri"/>
          <w:lang w:eastAsia="en-AU"/>
        </w:rPr>
        <w:t xml:space="preserve"> </w:t>
      </w:r>
      <w:r w:rsidR="00393F3F" w:rsidRPr="001E7AA4">
        <w:rPr>
          <w:rFonts w:ascii="Calibri" w:eastAsia="Times New Roman" w:hAnsi="Calibri" w:cs="Calibri"/>
          <w:lang w:eastAsia="en-AU"/>
        </w:rPr>
        <w:t xml:space="preserve">Their analysis </w:t>
      </w:r>
      <w:r w:rsidRPr="001E7AA4">
        <w:rPr>
          <w:rFonts w:ascii="Calibri" w:eastAsia="Times New Roman" w:hAnsi="Calibri" w:cs="Calibri"/>
          <w:lang w:eastAsia="en-AU"/>
        </w:rPr>
        <w:t xml:space="preserve">shows that in </w:t>
      </w:r>
      <w:r w:rsidR="00E83064" w:rsidRPr="001E7AA4">
        <w:rPr>
          <w:rFonts w:ascii="Calibri" w:eastAsia="Times New Roman" w:hAnsi="Calibri" w:cs="Calibri"/>
          <w:lang w:eastAsia="en-AU"/>
        </w:rPr>
        <w:t>the first quarter of 2023</w:t>
      </w:r>
      <w:r w:rsidR="0070377F" w:rsidRPr="001E7AA4">
        <w:rPr>
          <w:rFonts w:ascii="Calibri" w:eastAsia="Times New Roman" w:hAnsi="Calibri" w:cs="Calibri"/>
          <w:lang w:eastAsia="en-AU"/>
        </w:rPr>
        <w:t>,</w:t>
      </w:r>
      <w:r w:rsidRPr="001E7AA4">
        <w:rPr>
          <w:rFonts w:ascii="Calibri" w:eastAsia="Times New Roman" w:hAnsi="Calibri" w:cs="Calibri"/>
          <w:lang w:eastAsia="en-AU"/>
        </w:rPr>
        <w:t xml:space="preserve"> </w:t>
      </w:r>
      <w:r w:rsidR="00E83064" w:rsidRPr="001E7AA4">
        <w:rPr>
          <w:rFonts w:ascii="Calibri" w:eastAsia="Times New Roman" w:hAnsi="Calibri" w:cs="Calibri"/>
          <w:lang w:eastAsia="en-AU"/>
        </w:rPr>
        <w:t xml:space="preserve">employers </w:t>
      </w:r>
      <w:r w:rsidRPr="001E7AA4">
        <w:rPr>
          <w:rFonts w:ascii="Calibri" w:eastAsia="Times New Roman" w:hAnsi="Calibri" w:cs="Calibri"/>
          <w:lang w:eastAsia="en-AU"/>
        </w:rPr>
        <w:t>received around 4.3 qualified candidates per vacancy, but less than half of that number were deemed suitable (2.</w:t>
      </w:r>
      <w:r w:rsidR="00A163DA" w:rsidRPr="001E7AA4">
        <w:rPr>
          <w:rFonts w:ascii="Calibri" w:eastAsia="Times New Roman" w:hAnsi="Calibri" w:cs="Calibri"/>
          <w:lang w:eastAsia="en-AU"/>
        </w:rPr>
        <w:t>1</w:t>
      </w:r>
      <w:r w:rsidRPr="001E7AA4">
        <w:rPr>
          <w:rFonts w:ascii="Calibri" w:eastAsia="Times New Roman" w:hAnsi="Calibri" w:cs="Calibri"/>
          <w:lang w:eastAsia="en-AU"/>
        </w:rPr>
        <w:t xml:space="preserve"> applicants per vacancy).</w:t>
      </w:r>
      <w:r w:rsidRPr="001E7AA4">
        <w:rPr>
          <w:rStyle w:val="FootnoteReference"/>
          <w:rFonts w:ascii="Calibri" w:eastAsia="Times New Roman" w:hAnsi="Calibri" w:cs="Calibri"/>
          <w:lang w:eastAsia="en-AU"/>
        </w:rPr>
        <w:footnoteReference w:id="52"/>
      </w:r>
      <w:r w:rsidRPr="001E7AA4">
        <w:rPr>
          <w:rFonts w:ascii="Calibri" w:eastAsia="Times New Roman" w:hAnsi="Calibri" w:cs="Calibri"/>
          <w:lang w:eastAsia="en-AU"/>
        </w:rPr>
        <w:t xml:space="preserve"> Increased collaboration, and enhanced WIL (see </w:t>
      </w:r>
      <w:r w:rsidR="00717DA5" w:rsidRPr="001E7AA4">
        <w:rPr>
          <w:rFonts w:ascii="Calibri" w:eastAsia="Times New Roman" w:hAnsi="Calibri" w:cs="Calibri"/>
          <w:lang w:eastAsia="en-AU"/>
        </w:rPr>
        <w:t>S</w:t>
      </w:r>
      <w:r w:rsidRPr="001E7AA4">
        <w:rPr>
          <w:rFonts w:ascii="Calibri" w:eastAsia="Times New Roman" w:hAnsi="Calibri" w:cs="Calibri"/>
          <w:lang w:eastAsia="en-AU"/>
        </w:rPr>
        <w:t>ection 2.2.4)</w:t>
      </w:r>
      <w:r w:rsidR="00BE4C68" w:rsidRPr="001E7AA4">
        <w:rPr>
          <w:rFonts w:ascii="Calibri" w:eastAsia="Times New Roman" w:hAnsi="Calibri" w:cs="Calibri"/>
          <w:lang w:eastAsia="en-AU"/>
        </w:rPr>
        <w:t>,</w:t>
      </w:r>
      <w:r w:rsidRPr="001E7AA4">
        <w:rPr>
          <w:rFonts w:ascii="Calibri" w:eastAsia="Times New Roman" w:hAnsi="Calibri" w:cs="Calibri"/>
          <w:lang w:eastAsia="en-AU"/>
        </w:rPr>
        <w:t xml:space="preserve"> is</w:t>
      </w:r>
      <w:r w:rsidRPr="001E7AA4">
        <w:t xml:space="preserve"> necessary to ensure that students are graduating with the specific skills required to do the jobs that are required of them. </w:t>
      </w:r>
    </w:p>
    <w:p w14:paraId="77C264A1" w14:textId="66E7C07A" w:rsidR="00AF746C" w:rsidRPr="001E7AA4" w:rsidRDefault="00BF7916" w:rsidP="00AF746C">
      <w:r w:rsidRPr="001E7AA4">
        <w:t>A greater number of</w:t>
      </w:r>
      <w:r w:rsidR="00AF746C" w:rsidRPr="001E7AA4" w:rsidDel="00BF7916">
        <w:t xml:space="preserve"> </w:t>
      </w:r>
      <w:r w:rsidR="00AF746C" w:rsidRPr="001E7AA4">
        <w:t xml:space="preserve">academic staff </w:t>
      </w:r>
      <w:r w:rsidRPr="001E7AA4">
        <w:t>should</w:t>
      </w:r>
      <w:r w:rsidR="00AF746C" w:rsidRPr="001E7AA4">
        <w:t xml:space="preserve"> be chartered and/or active in the profession they are teaching</w:t>
      </w:r>
      <w:r w:rsidR="00BC21FD" w:rsidRPr="001E7AA4">
        <w:t xml:space="preserve">. This will </w:t>
      </w:r>
      <w:r w:rsidR="00002754" w:rsidRPr="001E7AA4">
        <w:t xml:space="preserve">bring </w:t>
      </w:r>
      <w:r w:rsidR="00002754" w:rsidRPr="001E7AA4">
        <w:rPr>
          <w:rFonts w:eastAsia="Times New Roman"/>
        </w:rPr>
        <w:t>contemporary industry experience</w:t>
      </w:r>
      <w:r w:rsidR="00B00B83" w:rsidRPr="001E7AA4">
        <w:rPr>
          <w:rFonts w:eastAsia="Times New Roman"/>
        </w:rPr>
        <w:t xml:space="preserve"> to teaching</w:t>
      </w:r>
      <w:r w:rsidR="00460CB8" w:rsidRPr="001E7AA4">
        <w:rPr>
          <w:rFonts w:eastAsia="Times New Roman"/>
        </w:rPr>
        <w:t>,</w:t>
      </w:r>
      <w:r w:rsidR="001E7921" w:rsidRPr="001E7AA4">
        <w:rPr>
          <w:rFonts w:eastAsia="Times New Roman"/>
        </w:rPr>
        <w:t xml:space="preserve"> where relevant</w:t>
      </w:r>
      <w:r w:rsidR="00393F3F" w:rsidRPr="001E7AA4">
        <w:rPr>
          <w:rFonts w:eastAsia="Times New Roman"/>
        </w:rPr>
        <w:t>,</w:t>
      </w:r>
      <w:r w:rsidR="001E7921" w:rsidRPr="001E7AA4">
        <w:rPr>
          <w:rFonts w:eastAsia="Times New Roman"/>
        </w:rPr>
        <w:t xml:space="preserve"> with professional </w:t>
      </w:r>
      <w:r w:rsidR="00393F3F" w:rsidRPr="001E7AA4">
        <w:rPr>
          <w:rFonts w:eastAsia="Times New Roman"/>
        </w:rPr>
        <w:t>registration</w:t>
      </w:r>
      <w:r w:rsidR="00AF746C" w:rsidRPr="001E7AA4">
        <w:t xml:space="preserve">. Increased industry engagement will be essential to ensure that curricula can be updated regularly to reflect rapidly changing skills needs.  </w:t>
      </w:r>
    </w:p>
    <w:p w14:paraId="779B761C" w14:textId="77777777" w:rsidR="00AF746C" w:rsidRPr="001E7AA4" w:rsidRDefault="00AF746C" w:rsidP="00AF746C">
      <w:pPr>
        <w:spacing w:after="0" w:line="240" w:lineRule="auto"/>
      </w:pPr>
      <w:r w:rsidRPr="001E7AA4">
        <w:t>From submissions and Review consultations, it is clear there is a need to:</w:t>
      </w:r>
    </w:p>
    <w:p w14:paraId="220F19AB" w14:textId="04891261" w:rsidR="00AF746C" w:rsidRPr="001E7AA4" w:rsidRDefault="007E4FAF" w:rsidP="002D7F91">
      <w:pPr>
        <w:pStyle w:val="ListBullet"/>
      </w:pPr>
      <w:r w:rsidRPr="001E7AA4">
        <w:t xml:space="preserve">secure </w:t>
      </w:r>
      <w:r w:rsidR="00AF746C" w:rsidRPr="001E7AA4">
        <w:t xml:space="preserve">greater levels of co-design </w:t>
      </w:r>
      <w:r w:rsidR="0040733B" w:rsidRPr="001E7AA4">
        <w:t xml:space="preserve">of the curriculum </w:t>
      </w:r>
      <w:r w:rsidR="00AF746C" w:rsidRPr="001E7AA4">
        <w:t>between industry</w:t>
      </w:r>
      <w:r w:rsidR="00632104" w:rsidRPr="001E7AA4">
        <w:t xml:space="preserve"> and higher education</w:t>
      </w:r>
    </w:p>
    <w:p w14:paraId="38587496" w14:textId="63CFF2CB" w:rsidR="00AF746C" w:rsidRPr="001E7AA4" w:rsidRDefault="00AF746C" w:rsidP="002D7F91">
      <w:pPr>
        <w:pStyle w:val="ListBullet"/>
      </w:pPr>
      <w:r w:rsidRPr="001E7AA4">
        <w:t>recognise that professional bodies will be an important part of the ongoing Universit</w:t>
      </w:r>
      <w:r w:rsidR="00393F8F" w:rsidRPr="001E7AA4">
        <w:t>ies</w:t>
      </w:r>
      <w:r w:rsidRPr="001E7AA4">
        <w:t xml:space="preserve"> Accord process</w:t>
      </w:r>
    </w:p>
    <w:p w14:paraId="347D7290" w14:textId="32253517" w:rsidR="00AF746C" w:rsidRPr="001E7AA4" w:rsidRDefault="00AF746C" w:rsidP="002D7F91">
      <w:pPr>
        <w:pStyle w:val="ListBullet"/>
      </w:pPr>
      <w:r w:rsidRPr="001E7AA4">
        <w:t xml:space="preserve">recognise that the funders of professional skills development are also major industry stakeholders, particularly </w:t>
      </w:r>
      <w:r w:rsidR="00044486" w:rsidRPr="001E7AA4">
        <w:t>s</w:t>
      </w:r>
      <w:r w:rsidRPr="001E7AA4">
        <w:t xml:space="preserve">tate and </w:t>
      </w:r>
      <w:r w:rsidR="00044486" w:rsidRPr="001E7AA4">
        <w:t>t</w:t>
      </w:r>
      <w:r w:rsidRPr="001E7AA4">
        <w:t xml:space="preserve">erritory governments as employers of teachers and healthcare professionals and </w:t>
      </w:r>
      <w:r w:rsidR="00F666A3" w:rsidRPr="001E7AA4">
        <w:t>s</w:t>
      </w:r>
      <w:r w:rsidR="007E4FAF" w:rsidRPr="001E7AA4">
        <w:t xml:space="preserve">tate, </w:t>
      </w:r>
      <w:r w:rsidR="00B4505D" w:rsidRPr="001E7AA4">
        <w:t>t</w:t>
      </w:r>
      <w:r w:rsidR="007E4FAF" w:rsidRPr="001E7AA4">
        <w:t xml:space="preserve">erritory and </w:t>
      </w:r>
      <w:r w:rsidRPr="001E7AA4">
        <w:t>local governments through urban and regional planning professions</w:t>
      </w:r>
    </w:p>
    <w:p w14:paraId="4BA0D082" w14:textId="7391FE25" w:rsidR="00AF746C" w:rsidRPr="001E7AA4" w:rsidRDefault="00AF746C" w:rsidP="002D7F91">
      <w:pPr>
        <w:pStyle w:val="ListBullet"/>
      </w:pPr>
      <w:r w:rsidRPr="001E7AA4">
        <w:t xml:space="preserve">recognise that changing technologies, including </w:t>
      </w:r>
      <w:r w:rsidR="003A0D2B" w:rsidRPr="001E7AA4">
        <w:t>a</w:t>
      </w:r>
      <w:r w:rsidR="000A1755" w:rsidRPr="001E7AA4">
        <w:t xml:space="preserve">rtificial </w:t>
      </w:r>
      <w:r w:rsidR="003A0D2B" w:rsidRPr="001E7AA4">
        <w:t>i</w:t>
      </w:r>
      <w:r w:rsidR="000A1755" w:rsidRPr="001E7AA4">
        <w:t>ntelligence</w:t>
      </w:r>
      <w:r w:rsidRPr="001E7AA4">
        <w:t>, will impact on both the nature of professional skills and the delivery of education for these occupations</w:t>
      </w:r>
    </w:p>
    <w:p w14:paraId="736BEF07" w14:textId="53CB1DC2" w:rsidR="00AF746C" w:rsidRPr="001E7AA4" w:rsidRDefault="00AF746C" w:rsidP="002D7F91">
      <w:pPr>
        <w:pStyle w:val="ListBullet"/>
      </w:pPr>
      <w:r w:rsidRPr="001E7AA4">
        <w:t>enhance the dialogue between higher education providers and the professional bodies to ensure graduates are being produced with the right skills for a commencing practitioner but accreditation requirements are not unduly onerous financially on institutions</w:t>
      </w:r>
      <w:r w:rsidR="009E685A" w:rsidRPr="001E7AA4">
        <w:t xml:space="preserve"> and do not inhibit students from studying </w:t>
      </w:r>
      <w:r w:rsidR="0062634E" w:rsidRPr="001E7AA4">
        <w:t>broader subjects that also benefit their education</w:t>
      </w:r>
    </w:p>
    <w:p w14:paraId="0EBDDDA7" w14:textId="5638592C" w:rsidR="00AF746C" w:rsidRPr="001E7AA4" w:rsidRDefault="008C1F0B" w:rsidP="002D7F91">
      <w:pPr>
        <w:pStyle w:val="ListBullet"/>
      </w:pPr>
      <w:r w:rsidRPr="001E7AA4">
        <w:t>require</w:t>
      </w:r>
      <w:r w:rsidR="00AF746C" w:rsidRPr="001E7AA4">
        <w:t xml:space="preserve"> academics working in education for the professions </w:t>
      </w:r>
      <w:r w:rsidR="00632104" w:rsidRPr="001E7AA4">
        <w:t xml:space="preserve">to </w:t>
      </w:r>
      <w:r w:rsidR="00AF746C" w:rsidRPr="001E7AA4">
        <w:t>maintain more active contact with the professions to ensure they are equipping students with up-to-date skills and knowledge</w:t>
      </w:r>
    </w:p>
    <w:p w14:paraId="24ECF7C2" w14:textId="36FDACFA" w:rsidR="002D7F91" w:rsidRDefault="00AF746C" w:rsidP="002D7F91">
      <w:pPr>
        <w:pStyle w:val="ListBullet"/>
      </w:pPr>
      <w:r w:rsidRPr="001E7AA4">
        <w:t>ensure education for the professions includes education in generic skills to a high level of attainment.</w:t>
      </w:r>
    </w:p>
    <w:p w14:paraId="3CE1C9F6" w14:textId="77777777" w:rsidR="002D7F91" w:rsidRDefault="002D7F91">
      <w:pPr>
        <w:spacing w:after="160"/>
      </w:pPr>
      <w:r>
        <w:br w:type="page"/>
      </w:r>
    </w:p>
    <w:p w14:paraId="3E0E29F9" w14:textId="35EA63E2" w:rsidR="7742CD66" w:rsidRPr="001E7AA4" w:rsidRDefault="7742CD66" w:rsidP="000673CF">
      <w:pPr>
        <w:spacing w:after="160" w:line="276" w:lineRule="auto"/>
      </w:pPr>
      <w:r w:rsidRPr="001E7AA4">
        <w:lastRenderedPageBreak/>
        <w:t xml:space="preserve">These issues will be given further consideration for inclusion in the </w:t>
      </w:r>
      <w:r w:rsidR="00175C5F" w:rsidRPr="001E7AA4">
        <w:t>F</w:t>
      </w:r>
      <w:r w:rsidRPr="001E7AA4">
        <w:t xml:space="preserve">inal </w:t>
      </w:r>
      <w:r w:rsidR="00175C5F" w:rsidRPr="001E7AA4">
        <w:t>R</w:t>
      </w:r>
      <w:r w:rsidRPr="001E7AA4">
        <w:t>eport.</w:t>
      </w:r>
    </w:p>
    <w:p w14:paraId="31E987C6" w14:textId="77777777" w:rsidR="00AF746C" w:rsidRPr="001E7AA4" w:rsidRDefault="00AF746C" w:rsidP="00F72CFE">
      <w:pPr>
        <w:pStyle w:val="Heading6"/>
      </w:pPr>
      <w:r w:rsidRPr="001E7AA4">
        <w:t>2.2.2.1 Professionally accredited graduates</w:t>
      </w:r>
    </w:p>
    <w:p w14:paraId="670A768B" w14:textId="77777777" w:rsidR="00AF746C" w:rsidRPr="001E7AA4" w:rsidRDefault="00AF746C" w:rsidP="00AF746C">
      <w:pPr>
        <w:spacing w:after="100" w:afterAutospacing="1" w:line="240" w:lineRule="auto"/>
      </w:pPr>
      <w:r w:rsidRPr="001E7AA4">
        <w:rPr>
          <w:rFonts w:ascii="Calibri" w:eastAsia="Calibri" w:hAnsi="Calibri" w:cs="Calibri"/>
          <w:color w:val="000000" w:themeColor="text1"/>
        </w:rPr>
        <w:t xml:space="preserve">Demand for professionally accredited graduates is also outpacing supply in many other professional areas. Appropriate reform of pathways to registration, accreditation and placement requirements has major potential to streamline the training of professionals and ensure sufficient workforce </w:t>
      </w:r>
      <w:r w:rsidRPr="001E7AA4">
        <w:t xml:space="preserve">supply into the future. </w:t>
      </w:r>
    </w:p>
    <w:p w14:paraId="4F339FF9" w14:textId="6DE056B2" w:rsidR="00B1745B" w:rsidRPr="001E7AA4" w:rsidRDefault="00AF746C" w:rsidP="00B1745B">
      <w:pPr>
        <w:rPr>
          <w:rFonts w:eastAsia="Times New Roman"/>
        </w:rPr>
      </w:pPr>
      <w:r w:rsidRPr="001E7AA4">
        <w:rPr>
          <w:rFonts w:ascii="Calibri" w:eastAsia="Calibri" w:hAnsi="Calibri" w:cs="Calibri"/>
          <w:color w:val="000000" w:themeColor="text1"/>
        </w:rPr>
        <w:t xml:space="preserve">To ensure learning, competency and registration standards are met, several factors must be addressed. For example, restructured course design to recognise competencies and prior experience (instead of meeting mandatory minimum hours of practice) could accelerate completions and free up training and placement opportunities. In some fields, the use of pre-vocational roles, cadetships or extended clinical training blocks could integrate students more quickly into the workforce to make important contributions in their field of study. </w:t>
      </w:r>
      <w:r w:rsidR="00B1745B" w:rsidRPr="001E7AA4">
        <w:rPr>
          <w:rFonts w:ascii="Calibri" w:eastAsia="Calibri" w:hAnsi="Calibri" w:cs="Calibri"/>
          <w:color w:val="000000" w:themeColor="text1"/>
        </w:rPr>
        <w:t xml:space="preserve">Alternative approaches, such as </w:t>
      </w:r>
      <w:r w:rsidR="00B1745B" w:rsidRPr="001E7AA4">
        <w:rPr>
          <w:rFonts w:eastAsia="Times New Roman"/>
        </w:rPr>
        <w:t xml:space="preserve">learning </w:t>
      </w:r>
      <w:r w:rsidR="005B5C43" w:rsidRPr="001E7AA4">
        <w:rPr>
          <w:rFonts w:eastAsia="Times New Roman"/>
        </w:rPr>
        <w:t xml:space="preserve">using simulation and virtual reality </w:t>
      </w:r>
      <w:r w:rsidR="00B1745B" w:rsidRPr="001E7AA4">
        <w:rPr>
          <w:rFonts w:eastAsia="Times New Roman"/>
        </w:rPr>
        <w:t xml:space="preserve">could also be used more widely to accelerate </w:t>
      </w:r>
      <w:r w:rsidR="005B5C43" w:rsidRPr="001E7AA4">
        <w:rPr>
          <w:rFonts w:eastAsia="Times New Roman"/>
        </w:rPr>
        <w:t xml:space="preserve">acquisition </w:t>
      </w:r>
      <w:r w:rsidR="00B1745B" w:rsidRPr="001E7AA4">
        <w:rPr>
          <w:rFonts w:eastAsia="Times New Roman"/>
        </w:rPr>
        <w:t>competencies and reduce clinical practice requirements. </w:t>
      </w:r>
    </w:p>
    <w:p w14:paraId="21B7E2D2" w14:textId="77777777" w:rsidR="00AF746C" w:rsidRPr="001E7AA4" w:rsidRDefault="00AF746C" w:rsidP="00AF746C">
      <w:pPr>
        <w:spacing w:beforeAutospacing="1" w:afterAutospacing="1" w:line="240" w:lineRule="auto"/>
        <w:rPr>
          <w:rFonts w:ascii="Calibri" w:eastAsia="Calibri" w:hAnsi="Calibri" w:cs="Calibri"/>
          <w:color w:val="000000" w:themeColor="text1"/>
        </w:rPr>
      </w:pPr>
      <w:r w:rsidRPr="001E7AA4">
        <w:t>The</w:t>
      </w:r>
      <w:r w:rsidRPr="001E7AA4">
        <w:rPr>
          <w:rFonts w:ascii="Calibri" w:eastAsia="Calibri" w:hAnsi="Calibri" w:cs="Calibri"/>
          <w:color w:val="000000" w:themeColor="text1"/>
        </w:rPr>
        <w:t xml:space="preserve"> Review notes these are complex issues, intersecting with jurisdictional responsibilities, professional accreditation standards, and federal financing arrangements. Better coordination and funding of workplace training and enabling innovation in training pathways requires stronger engagement across governments and with unions and industry. </w:t>
      </w:r>
    </w:p>
    <w:p w14:paraId="56DAE686" w14:textId="7C06B0CF" w:rsidR="009D7475" w:rsidRPr="001E7AA4" w:rsidRDefault="009D7475" w:rsidP="00F72CFE">
      <w:pPr>
        <w:pStyle w:val="Heading6"/>
      </w:pPr>
      <w:r w:rsidRPr="001E7AA4">
        <w:t xml:space="preserve">2.2.2.2 </w:t>
      </w:r>
      <w:r w:rsidR="00F678FF" w:rsidRPr="001E7AA4">
        <w:t>PhD</w:t>
      </w:r>
      <w:r w:rsidR="00285819" w:rsidRPr="001E7AA4">
        <w:t xml:space="preserve"> graduate</w:t>
      </w:r>
      <w:r w:rsidR="00F678FF" w:rsidRPr="001E7AA4">
        <w:t xml:space="preserve"> resear</w:t>
      </w:r>
      <w:r w:rsidR="00A110C9" w:rsidRPr="001E7AA4">
        <w:t>cher</w:t>
      </w:r>
      <w:r w:rsidR="00285819" w:rsidRPr="001E7AA4">
        <w:t>s</w:t>
      </w:r>
    </w:p>
    <w:p w14:paraId="43D4BF40" w14:textId="69066C4F" w:rsidR="006D10C6" w:rsidRPr="001E7AA4" w:rsidRDefault="006E6D34" w:rsidP="00964B99">
      <w:pPr>
        <w:spacing w:after="100" w:afterAutospacing="1" w:line="240" w:lineRule="auto"/>
        <w:rPr>
          <w:rFonts w:ascii="Calibri" w:eastAsia="Calibri" w:hAnsi="Calibri" w:cs="Calibri"/>
          <w:color w:val="000000" w:themeColor="text1"/>
        </w:rPr>
      </w:pPr>
      <w:r w:rsidRPr="001E7AA4">
        <w:rPr>
          <w:rFonts w:ascii="Calibri" w:eastAsia="Calibri" w:hAnsi="Calibri" w:cs="Calibri"/>
          <w:color w:val="000000" w:themeColor="text1"/>
        </w:rPr>
        <w:t xml:space="preserve">Australia’s research </w:t>
      </w:r>
      <w:r w:rsidR="00A110C9" w:rsidRPr="001E7AA4">
        <w:rPr>
          <w:rFonts w:ascii="Calibri" w:eastAsia="Calibri" w:hAnsi="Calibri" w:cs="Calibri"/>
          <w:color w:val="000000" w:themeColor="text1"/>
        </w:rPr>
        <w:t>training</w:t>
      </w:r>
      <w:r w:rsidR="00637274" w:rsidRPr="001E7AA4">
        <w:rPr>
          <w:rFonts w:ascii="Calibri" w:eastAsia="Calibri" w:hAnsi="Calibri" w:cs="Calibri"/>
          <w:color w:val="000000" w:themeColor="text1"/>
        </w:rPr>
        <w:t xml:space="preserve"> is also relevant to</w:t>
      </w:r>
      <w:r w:rsidR="00CA0B56" w:rsidRPr="001E7AA4">
        <w:rPr>
          <w:rFonts w:ascii="Calibri" w:eastAsia="Calibri" w:hAnsi="Calibri" w:cs="Calibri"/>
          <w:color w:val="000000" w:themeColor="text1"/>
        </w:rPr>
        <w:t xml:space="preserve"> Australia</w:t>
      </w:r>
      <w:r w:rsidR="00637274" w:rsidRPr="001E7AA4">
        <w:rPr>
          <w:rFonts w:ascii="Calibri" w:eastAsia="Calibri" w:hAnsi="Calibri" w:cs="Calibri"/>
          <w:color w:val="000000" w:themeColor="text1"/>
        </w:rPr>
        <w:t>’s</w:t>
      </w:r>
      <w:r w:rsidR="00CA0B56" w:rsidRPr="001E7AA4">
        <w:rPr>
          <w:rFonts w:ascii="Calibri" w:eastAsia="Calibri" w:hAnsi="Calibri" w:cs="Calibri"/>
          <w:color w:val="000000" w:themeColor="text1"/>
        </w:rPr>
        <w:t xml:space="preserve"> transition to</w:t>
      </w:r>
      <w:r w:rsidR="00FA2E7C" w:rsidRPr="001E7AA4">
        <w:rPr>
          <w:rFonts w:ascii="Calibri" w:eastAsia="Calibri" w:hAnsi="Calibri" w:cs="Calibri"/>
          <w:color w:val="000000" w:themeColor="text1"/>
        </w:rPr>
        <w:t xml:space="preserve"> a </w:t>
      </w:r>
      <w:r w:rsidR="009B0B8D" w:rsidRPr="001E7AA4">
        <w:rPr>
          <w:rFonts w:ascii="Calibri" w:eastAsia="Calibri" w:hAnsi="Calibri" w:cs="Calibri"/>
          <w:color w:val="000000" w:themeColor="text1"/>
        </w:rPr>
        <w:t xml:space="preserve">more </w:t>
      </w:r>
      <w:r w:rsidR="00884E08" w:rsidRPr="001E7AA4">
        <w:rPr>
          <w:rFonts w:ascii="Calibri" w:eastAsia="Calibri" w:hAnsi="Calibri" w:cs="Calibri"/>
          <w:color w:val="000000" w:themeColor="text1"/>
        </w:rPr>
        <w:t>knowledge</w:t>
      </w:r>
      <w:r w:rsidR="00637274" w:rsidRPr="001E7AA4">
        <w:rPr>
          <w:rFonts w:ascii="Calibri" w:eastAsia="Calibri" w:hAnsi="Calibri" w:cs="Calibri"/>
          <w:color w:val="000000" w:themeColor="text1"/>
        </w:rPr>
        <w:t xml:space="preserve"> intense</w:t>
      </w:r>
      <w:r w:rsidR="00884E08" w:rsidRPr="001E7AA4">
        <w:rPr>
          <w:rFonts w:ascii="Calibri" w:eastAsia="Calibri" w:hAnsi="Calibri" w:cs="Calibri"/>
          <w:color w:val="000000" w:themeColor="text1"/>
        </w:rPr>
        <w:t xml:space="preserve"> economy</w:t>
      </w:r>
      <w:r w:rsidR="008B64EB" w:rsidRPr="001E7AA4">
        <w:rPr>
          <w:rFonts w:ascii="Calibri" w:eastAsia="Calibri" w:hAnsi="Calibri" w:cs="Calibri"/>
          <w:color w:val="000000" w:themeColor="text1"/>
        </w:rPr>
        <w:t xml:space="preserve">, especially </w:t>
      </w:r>
      <w:r w:rsidR="004A595B" w:rsidRPr="001E7AA4">
        <w:rPr>
          <w:rFonts w:ascii="Calibri" w:eastAsia="Calibri" w:hAnsi="Calibri" w:cs="Calibri"/>
          <w:color w:val="000000" w:themeColor="text1"/>
        </w:rPr>
        <w:t xml:space="preserve">in critical fields, including </w:t>
      </w:r>
      <w:r w:rsidR="0092566C" w:rsidRPr="001E7AA4">
        <w:rPr>
          <w:rFonts w:ascii="Calibri" w:eastAsia="Calibri" w:hAnsi="Calibri" w:cs="Calibri"/>
          <w:color w:val="000000" w:themeColor="text1"/>
        </w:rPr>
        <w:t>critical</w:t>
      </w:r>
      <w:r w:rsidR="005C386E" w:rsidRPr="001E7AA4">
        <w:rPr>
          <w:rFonts w:ascii="Calibri" w:eastAsia="Calibri" w:hAnsi="Calibri" w:cs="Calibri"/>
          <w:color w:val="000000" w:themeColor="text1"/>
        </w:rPr>
        <w:t xml:space="preserve"> </w:t>
      </w:r>
      <w:r w:rsidR="00946E50" w:rsidRPr="001E7AA4">
        <w:rPr>
          <w:rFonts w:ascii="Calibri" w:eastAsia="Calibri" w:hAnsi="Calibri" w:cs="Calibri"/>
          <w:color w:val="000000" w:themeColor="text1"/>
        </w:rPr>
        <w:t xml:space="preserve">technology </w:t>
      </w:r>
      <w:r w:rsidR="000052E6" w:rsidRPr="001E7AA4">
        <w:rPr>
          <w:rFonts w:ascii="Calibri" w:eastAsia="Calibri" w:hAnsi="Calibri" w:cs="Calibri"/>
          <w:color w:val="000000" w:themeColor="text1"/>
        </w:rPr>
        <w:t>fields</w:t>
      </w:r>
      <w:r w:rsidR="00132510" w:rsidRPr="001E7AA4">
        <w:rPr>
          <w:rFonts w:ascii="Calibri" w:eastAsia="Calibri" w:hAnsi="Calibri" w:cs="Calibri"/>
          <w:color w:val="000000" w:themeColor="text1"/>
        </w:rPr>
        <w:t xml:space="preserve"> such as </w:t>
      </w:r>
      <w:r w:rsidR="008B64EB" w:rsidRPr="001E7AA4">
        <w:rPr>
          <w:rFonts w:ascii="Calibri" w:eastAsia="Calibri" w:hAnsi="Calibri" w:cs="Calibri"/>
          <w:color w:val="000000" w:themeColor="text1"/>
        </w:rPr>
        <w:t xml:space="preserve">biotechnology, </w:t>
      </w:r>
      <w:r w:rsidR="0093535E" w:rsidRPr="001E7AA4">
        <w:rPr>
          <w:rFonts w:ascii="Calibri" w:eastAsia="Calibri" w:hAnsi="Calibri" w:cs="Calibri"/>
          <w:color w:val="000000" w:themeColor="text1"/>
        </w:rPr>
        <w:t>quantum</w:t>
      </w:r>
      <w:r w:rsidR="005C69E1" w:rsidRPr="001E7AA4">
        <w:rPr>
          <w:rFonts w:ascii="Calibri" w:eastAsia="Calibri" w:hAnsi="Calibri" w:cs="Calibri"/>
          <w:color w:val="000000" w:themeColor="text1"/>
        </w:rPr>
        <w:t xml:space="preserve"> computing and</w:t>
      </w:r>
      <w:r w:rsidR="0093535E" w:rsidRPr="001E7AA4">
        <w:rPr>
          <w:rFonts w:ascii="Calibri" w:eastAsia="Calibri" w:hAnsi="Calibri" w:cs="Calibri"/>
          <w:color w:val="000000" w:themeColor="text1"/>
        </w:rPr>
        <w:t xml:space="preserve"> </w:t>
      </w:r>
      <w:r w:rsidR="00713596" w:rsidRPr="001E7AA4">
        <w:rPr>
          <w:rFonts w:ascii="Calibri" w:eastAsia="Calibri" w:hAnsi="Calibri" w:cs="Calibri"/>
          <w:color w:val="000000" w:themeColor="text1"/>
        </w:rPr>
        <w:t>clean energy generation and storage technologi</w:t>
      </w:r>
      <w:r w:rsidR="0029426E" w:rsidRPr="001E7AA4">
        <w:rPr>
          <w:rFonts w:ascii="Calibri" w:eastAsia="Calibri" w:hAnsi="Calibri" w:cs="Calibri"/>
          <w:color w:val="000000" w:themeColor="text1"/>
        </w:rPr>
        <w:t>es</w:t>
      </w:r>
      <w:r w:rsidR="00FE04DA" w:rsidRPr="001E7AA4">
        <w:rPr>
          <w:rFonts w:ascii="Calibri" w:eastAsia="Calibri" w:hAnsi="Calibri" w:cs="Calibri"/>
          <w:color w:val="000000" w:themeColor="text1"/>
        </w:rPr>
        <w:t>.</w:t>
      </w:r>
      <w:r w:rsidR="0029426E" w:rsidRPr="001E7AA4">
        <w:rPr>
          <w:rStyle w:val="FootnoteReference"/>
          <w:rFonts w:ascii="Calibri" w:eastAsia="Calibri" w:hAnsi="Calibri" w:cs="Calibri"/>
          <w:color w:val="000000" w:themeColor="text1"/>
        </w:rPr>
        <w:footnoteReference w:id="53"/>
      </w:r>
      <w:r w:rsidR="00FE04DA" w:rsidRPr="001E7AA4">
        <w:rPr>
          <w:rFonts w:ascii="Calibri" w:eastAsia="Calibri" w:hAnsi="Calibri" w:cs="Calibri"/>
          <w:color w:val="000000" w:themeColor="text1"/>
        </w:rPr>
        <w:t xml:space="preserve"> </w:t>
      </w:r>
    </w:p>
    <w:p w14:paraId="597587BF" w14:textId="44BF787E" w:rsidR="00FE04DA" w:rsidRPr="001E7AA4" w:rsidRDefault="001F0407" w:rsidP="00AF746C">
      <w:pPr>
        <w:spacing w:beforeAutospacing="1" w:afterAutospacing="1" w:line="240" w:lineRule="auto"/>
        <w:rPr>
          <w:rFonts w:ascii="Calibri" w:eastAsia="Calibri" w:hAnsi="Calibri" w:cs="Calibri"/>
          <w:color w:val="000000" w:themeColor="text1"/>
        </w:rPr>
      </w:pPr>
      <w:r w:rsidRPr="001E7AA4">
        <w:rPr>
          <w:rFonts w:ascii="Calibri" w:eastAsia="Calibri" w:hAnsi="Calibri" w:cs="Calibri"/>
          <w:color w:val="000000" w:themeColor="text1"/>
        </w:rPr>
        <w:t xml:space="preserve">In certain fields </w:t>
      </w:r>
      <w:r w:rsidR="001A3B9D" w:rsidRPr="001E7AA4">
        <w:rPr>
          <w:rFonts w:ascii="Calibri" w:eastAsia="Calibri" w:hAnsi="Calibri" w:cs="Calibri"/>
          <w:color w:val="000000" w:themeColor="text1"/>
        </w:rPr>
        <w:t xml:space="preserve">there is an urgent need to </w:t>
      </w:r>
      <w:r w:rsidR="00397FDE" w:rsidRPr="001E7AA4">
        <w:rPr>
          <w:rFonts w:ascii="Calibri" w:eastAsia="Calibri" w:hAnsi="Calibri" w:cs="Calibri"/>
          <w:color w:val="000000" w:themeColor="text1"/>
        </w:rPr>
        <w:t xml:space="preserve">train enough highly-skilled researchers. </w:t>
      </w:r>
      <w:r w:rsidR="002D134E" w:rsidRPr="001E7AA4">
        <w:rPr>
          <w:rFonts w:ascii="Calibri" w:eastAsia="Calibri" w:hAnsi="Calibri" w:cs="Calibri"/>
          <w:color w:val="000000" w:themeColor="text1"/>
        </w:rPr>
        <w:t xml:space="preserve">For example, </w:t>
      </w:r>
      <w:r w:rsidR="006D19B0" w:rsidRPr="001E7AA4">
        <w:rPr>
          <w:rFonts w:ascii="Calibri" w:eastAsia="Calibri" w:hAnsi="Calibri" w:cs="Calibri"/>
          <w:color w:val="000000" w:themeColor="text1"/>
        </w:rPr>
        <w:t>supporting the</w:t>
      </w:r>
      <w:r w:rsidR="00E23938" w:rsidRPr="001E7AA4">
        <w:rPr>
          <w:rFonts w:ascii="Calibri" w:eastAsia="Calibri" w:hAnsi="Calibri" w:cs="Calibri"/>
          <w:color w:val="000000" w:themeColor="text1"/>
        </w:rPr>
        <w:t xml:space="preserve"> AUKUS nuclear submarine program</w:t>
      </w:r>
      <w:r w:rsidR="006D19B0" w:rsidRPr="001E7AA4">
        <w:rPr>
          <w:rFonts w:ascii="Calibri" w:eastAsia="Calibri" w:hAnsi="Calibri" w:cs="Calibri"/>
          <w:color w:val="000000" w:themeColor="text1"/>
        </w:rPr>
        <w:t xml:space="preserve"> will require a significant increase in the number of </w:t>
      </w:r>
      <w:r w:rsidR="00CB1D22" w:rsidRPr="001E7AA4">
        <w:rPr>
          <w:rFonts w:ascii="Calibri" w:eastAsia="Calibri" w:hAnsi="Calibri" w:cs="Calibri"/>
          <w:color w:val="000000" w:themeColor="text1"/>
        </w:rPr>
        <w:t xml:space="preserve">locally trained </w:t>
      </w:r>
      <w:r w:rsidR="006D19B0" w:rsidRPr="001E7AA4">
        <w:rPr>
          <w:rFonts w:ascii="Calibri" w:eastAsia="Calibri" w:hAnsi="Calibri" w:cs="Calibri"/>
          <w:color w:val="000000" w:themeColor="text1"/>
        </w:rPr>
        <w:t>nuclear engineering doctoral-level researchers</w:t>
      </w:r>
      <w:r w:rsidR="00CB1D22" w:rsidRPr="001E7AA4">
        <w:rPr>
          <w:rFonts w:ascii="Calibri" w:eastAsia="Calibri" w:hAnsi="Calibri" w:cs="Calibri"/>
          <w:color w:val="000000" w:themeColor="text1"/>
        </w:rPr>
        <w:t>,</w:t>
      </w:r>
      <w:r w:rsidR="006D19B0" w:rsidRPr="001E7AA4">
        <w:rPr>
          <w:rFonts w:ascii="Calibri" w:eastAsia="Calibri" w:hAnsi="Calibri" w:cs="Calibri"/>
          <w:color w:val="000000" w:themeColor="text1"/>
        </w:rPr>
        <w:t xml:space="preserve"> and expansion of </w:t>
      </w:r>
      <w:r w:rsidR="002928C4" w:rsidRPr="001E7AA4">
        <w:rPr>
          <w:rFonts w:ascii="Calibri" w:eastAsia="Calibri" w:hAnsi="Calibri" w:cs="Calibri"/>
          <w:color w:val="000000" w:themeColor="text1"/>
        </w:rPr>
        <w:t>specialist and targeted programs</w:t>
      </w:r>
      <w:r w:rsidR="006E33D0" w:rsidRPr="001E7AA4">
        <w:rPr>
          <w:rFonts w:ascii="Calibri" w:eastAsia="Calibri" w:hAnsi="Calibri" w:cs="Calibri"/>
          <w:color w:val="000000" w:themeColor="text1"/>
        </w:rPr>
        <w:t xml:space="preserve"> and qualifications</w:t>
      </w:r>
      <w:r w:rsidR="00E20F81" w:rsidRPr="001E7AA4">
        <w:rPr>
          <w:rFonts w:ascii="Calibri" w:eastAsia="Calibri" w:hAnsi="Calibri" w:cs="Calibri"/>
          <w:color w:val="000000" w:themeColor="text1"/>
        </w:rPr>
        <w:t>.</w:t>
      </w:r>
      <w:r w:rsidR="000F730D" w:rsidRPr="001E7AA4">
        <w:rPr>
          <w:rStyle w:val="FootnoteReference"/>
          <w:rFonts w:ascii="Calibri" w:eastAsia="Calibri" w:hAnsi="Calibri" w:cs="Calibri"/>
          <w:color w:val="000000" w:themeColor="text1"/>
        </w:rPr>
        <w:footnoteReference w:id="54"/>
      </w:r>
      <w:r w:rsidR="00DB4B1A" w:rsidRPr="001E7AA4">
        <w:rPr>
          <w:rFonts w:ascii="Calibri" w:eastAsia="Calibri" w:hAnsi="Calibri" w:cs="Calibri"/>
          <w:color w:val="000000" w:themeColor="text1"/>
        </w:rPr>
        <w:t xml:space="preserve"> </w:t>
      </w:r>
      <w:r w:rsidR="009463C9" w:rsidRPr="001E7AA4">
        <w:rPr>
          <w:rFonts w:ascii="Calibri" w:eastAsia="Calibri" w:hAnsi="Calibri" w:cs="Calibri"/>
          <w:color w:val="000000" w:themeColor="text1"/>
        </w:rPr>
        <w:t>I</w:t>
      </w:r>
      <w:r w:rsidR="00EA506B" w:rsidRPr="001E7AA4">
        <w:rPr>
          <w:rFonts w:ascii="Calibri" w:eastAsia="Calibri" w:hAnsi="Calibri" w:cs="Calibri"/>
          <w:color w:val="000000" w:themeColor="text1"/>
        </w:rPr>
        <w:t>n the short term</w:t>
      </w:r>
      <w:r w:rsidR="009463C9" w:rsidRPr="001E7AA4">
        <w:rPr>
          <w:rFonts w:ascii="Calibri" w:eastAsia="Calibri" w:hAnsi="Calibri" w:cs="Calibri"/>
          <w:color w:val="000000" w:themeColor="text1"/>
        </w:rPr>
        <w:t>,</w:t>
      </w:r>
      <w:r w:rsidR="00EA506B" w:rsidRPr="001E7AA4">
        <w:rPr>
          <w:rFonts w:ascii="Calibri" w:eastAsia="Calibri" w:hAnsi="Calibri" w:cs="Calibri"/>
          <w:color w:val="000000" w:themeColor="text1"/>
        </w:rPr>
        <w:t xml:space="preserve"> Australia </w:t>
      </w:r>
      <w:r w:rsidR="000157B7" w:rsidRPr="001E7AA4">
        <w:rPr>
          <w:rFonts w:ascii="Calibri" w:eastAsia="Calibri" w:hAnsi="Calibri" w:cs="Calibri"/>
          <w:color w:val="000000" w:themeColor="text1"/>
        </w:rPr>
        <w:t>may</w:t>
      </w:r>
      <w:r w:rsidR="00EA506B" w:rsidRPr="001E7AA4">
        <w:rPr>
          <w:rFonts w:ascii="Calibri" w:eastAsia="Calibri" w:hAnsi="Calibri" w:cs="Calibri"/>
          <w:color w:val="000000" w:themeColor="text1"/>
        </w:rPr>
        <w:t xml:space="preserve"> </w:t>
      </w:r>
      <w:r w:rsidR="00A06C5C" w:rsidRPr="001E7AA4">
        <w:rPr>
          <w:rFonts w:ascii="Calibri" w:eastAsia="Calibri" w:hAnsi="Calibri" w:cs="Calibri"/>
          <w:color w:val="000000" w:themeColor="text1"/>
        </w:rPr>
        <w:t>have</w:t>
      </w:r>
      <w:r w:rsidR="00EA506B" w:rsidRPr="001E7AA4">
        <w:rPr>
          <w:rFonts w:ascii="Calibri" w:eastAsia="Calibri" w:hAnsi="Calibri" w:cs="Calibri"/>
          <w:color w:val="000000" w:themeColor="text1"/>
        </w:rPr>
        <w:t xml:space="preserve"> to rely on </w:t>
      </w:r>
      <w:r w:rsidR="00A833E8" w:rsidRPr="001E7AA4">
        <w:rPr>
          <w:rFonts w:ascii="Calibri" w:eastAsia="Calibri" w:hAnsi="Calibri" w:cs="Calibri"/>
          <w:color w:val="000000" w:themeColor="text1"/>
        </w:rPr>
        <w:t>experts from the U</w:t>
      </w:r>
      <w:r w:rsidR="009363F7" w:rsidRPr="001E7AA4">
        <w:rPr>
          <w:rFonts w:ascii="Calibri" w:eastAsia="Calibri" w:hAnsi="Calibri" w:cs="Calibri"/>
          <w:color w:val="000000" w:themeColor="text1"/>
        </w:rPr>
        <w:t xml:space="preserve">nited </w:t>
      </w:r>
      <w:r w:rsidR="00A833E8" w:rsidRPr="001E7AA4">
        <w:rPr>
          <w:rFonts w:ascii="Calibri" w:eastAsia="Calibri" w:hAnsi="Calibri" w:cs="Calibri"/>
          <w:color w:val="000000" w:themeColor="text1"/>
        </w:rPr>
        <w:t>S</w:t>
      </w:r>
      <w:r w:rsidR="009363F7" w:rsidRPr="001E7AA4">
        <w:rPr>
          <w:rFonts w:ascii="Calibri" w:eastAsia="Calibri" w:hAnsi="Calibri" w:cs="Calibri"/>
          <w:color w:val="000000" w:themeColor="text1"/>
        </w:rPr>
        <w:t>tates</w:t>
      </w:r>
      <w:r w:rsidR="00A833E8" w:rsidRPr="001E7AA4">
        <w:rPr>
          <w:rFonts w:ascii="Calibri" w:eastAsia="Calibri" w:hAnsi="Calibri" w:cs="Calibri"/>
          <w:color w:val="000000" w:themeColor="text1"/>
        </w:rPr>
        <w:t xml:space="preserve"> and U</w:t>
      </w:r>
      <w:r w:rsidR="009363F7" w:rsidRPr="001E7AA4">
        <w:rPr>
          <w:rFonts w:ascii="Calibri" w:eastAsia="Calibri" w:hAnsi="Calibri" w:cs="Calibri"/>
          <w:color w:val="000000" w:themeColor="text1"/>
        </w:rPr>
        <w:t xml:space="preserve">nited </w:t>
      </w:r>
      <w:r w:rsidR="00A833E8" w:rsidRPr="001E7AA4">
        <w:rPr>
          <w:rFonts w:ascii="Calibri" w:eastAsia="Calibri" w:hAnsi="Calibri" w:cs="Calibri"/>
          <w:color w:val="000000" w:themeColor="text1"/>
        </w:rPr>
        <w:t>K</w:t>
      </w:r>
      <w:r w:rsidR="009363F7" w:rsidRPr="001E7AA4">
        <w:rPr>
          <w:rFonts w:ascii="Calibri" w:eastAsia="Calibri" w:hAnsi="Calibri" w:cs="Calibri"/>
          <w:color w:val="000000" w:themeColor="text1"/>
        </w:rPr>
        <w:t>ingdom</w:t>
      </w:r>
      <w:r w:rsidR="009463C9" w:rsidRPr="001E7AA4">
        <w:rPr>
          <w:rFonts w:ascii="Calibri" w:eastAsia="Calibri" w:hAnsi="Calibri" w:cs="Calibri"/>
          <w:color w:val="000000" w:themeColor="text1"/>
        </w:rPr>
        <w:t xml:space="preserve"> to</w:t>
      </w:r>
      <w:r w:rsidR="008D1E29" w:rsidRPr="001E7AA4">
        <w:rPr>
          <w:rFonts w:ascii="Calibri" w:eastAsia="Calibri" w:hAnsi="Calibri" w:cs="Calibri"/>
          <w:color w:val="000000" w:themeColor="text1"/>
        </w:rPr>
        <w:t xml:space="preserve"> assist with</w:t>
      </w:r>
      <w:r w:rsidR="006E33D0" w:rsidRPr="001E7AA4">
        <w:rPr>
          <w:rFonts w:ascii="Calibri" w:eastAsia="Calibri" w:hAnsi="Calibri" w:cs="Calibri"/>
          <w:color w:val="000000" w:themeColor="text1"/>
        </w:rPr>
        <w:t xml:space="preserve"> this </w:t>
      </w:r>
      <w:r w:rsidR="00BF074F" w:rsidRPr="001E7AA4">
        <w:rPr>
          <w:rFonts w:ascii="Calibri" w:eastAsia="Calibri" w:hAnsi="Calibri" w:cs="Calibri"/>
          <w:color w:val="000000" w:themeColor="text1"/>
        </w:rPr>
        <w:t>endeavour</w:t>
      </w:r>
      <w:r w:rsidR="007D27FD" w:rsidRPr="001E7AA4">
        <w:rPr>
          <w:rFonts w:ascii="Calibri" w:eastAsia="Calibri" w:hAnsi="Calibri" w:cs="Calibri"/>
          <w:color w:val="000000" w:themeColor="text1"/>
        </w:rPr>
        <w:t>.</w:t>
      </w:r>
      <w:r w:rsidR="0027566E" w:rsidRPr="001E7AA4">
        <w:rPr>
          <w:rStyle w:val="FootnoteReference"/>
          <w:rFonts w:ascii="Calibri" w:eastAsia="Calibri" w:hAnsi="Calibri" w:cs="Calibri"/>
          <w:color w:val="000000" w:themeColor="text1"/>
        </w:rPr>
        <w:footnoteReference w:id="55"/>
      </w:r>
      <w:r w:rsidR="004A1258" w:rsidRPr="001E7AA4">
        <w:rPr>
          <w:rFonts w:ascii="Calibri" w:eastAsia="Calibri" w:hAnsi="Calibri" w:cs="Calibri"/>
          <w:color w:val="000000" w:themeColor="text1"/>
        </w:rPr>
        <w:t xml:space="preserve"> </w:t>
      </w:r>
    </w:p>
    <w:p w14:paraId="51131AF2" w14:textId="2F93D069" w:rsidR="006B0D7F" w:rsidRPr="001E7AA4" w:rsidRDefault="006B0D7F" w:rsidP="00AF746C">
      <w:pPr>
        <w:spacing w:beforeAutospacing="1" w:afterAutospacing="1" w:line="240" w:lineRule="auto"/>
        <w:rPr>
          <w:rFonts w:ascii="Calibri" w:eastAsia="Calibri" w:hAnsi="Calibri" w:cs="Calibri"/>
          <w:color w:val="000000" w:themeColor="text1"/>
        </w:rPr>
      </w:pPr>
      <w:r w:rsidRPr="001E7AA4">
        <w:rPr>
          <w:rFonts w:ascii="Calibri" w:eastAsia="Calibri" w:hAnsi="Calibri" w:cs="Calibri"/>
          <w:color w:val="000000" w:themeColor="text1"/>
        </w:rPr>
        <w:t xml:space="preserve">Beyond their deep technical expertise, </w:t>
      </w:r>
      <w:r w:rsidR="00FF20FD" w:rsidRPr="001E7AA4">
        <w:rPr>
          <w:rFonts w:ascii="Calibri" w:eastAsia="Calibri" w:hAnsi="Calibri" w:cs="Calibri"/>
          <w:color w:val="000000" w:themeColor="text1"/>
        </w:rPr>
        <w:t>Australia’s researchers and higher degree by research (HDR)</w:t>
      </w:r>
      <w:r w:rsidRPr="001E7AA4">
        <w:rPr>
          <w:rFonts w:ascii="Calibri" w:eastAsia="Calibri" w:hAnsi="Calibri" w:cs="Calibri"/>
          <w:color w:val="000000" w:themeColor="text1"/>
        </w:rPr>
        <w:t xml:space="preserve"> graduates </w:t>
      </w:r>
      <w:r w:rsidR="005C69E1" w:rsidRPr="001E7AA4">
        <w:rPr>
          <w:rFonts w:ascii="Calibri" w:eastAsia="Calibri" w:hAnsi="Calibri" w:cs="Calibri"/>
          <w:color w:val="000000" w:themeColor="text1"/>
        </w:rPr>
        <w:t xml:space="preserve">should </w:t>
      </w:r>
      <w:r w:rsidR="00C85432" w:rsidRPr="001E7AA4">
        <w:rPr>
          <w:rFonts w:ascii="Calibri" w:eastAsia="Calibri" w:hAnsi="Calibri" w:cs="Calibri"/>
          <w:color w:val="000000" w:themeColor="text1"/>
        </w:rPr>
        <w:t xml:space="preserve">also </w:t>
      </w:r>
      <w:r w:rsidR="005C69E1" w:rsidRPr="001E7AA4">
        <w:rPr>
          <w:rFonts w:ascii="Calibri" w:eastAsia="Calibri" w:hAnsi="Calibri" w:cs="Calibri"/>
          <w:color w:val="000000" w:themeColor="text1"/>
        </w:rPr>
        <w:t>have</w:t>
      </w:r>
      <w:r w:rsidRPr="001E7AA4">
        <w:rPr>
          <w:rFonts w:ascii="Calibri" w:eastAsia="Calibri" w:hAnsi="Calibri" w:cs="Calibri"/>
          <w:color w:val="000000" w:themeColor="text1"/>
        </w:rPr>
        <w:t xml:space="preserve"> transferable critical thinking</w:t>
      </w:r>
      <w:r w:rsidR="0078015E" w:rsidRPr="001E7AA4">
        <w:rPr>
          <w:rFonts w:ascii="Calibri" w:eastAsia="Calibri" w:hAnsi="Calibri" w:cs="Calibri"/>
          <w:color w:val="000000" w:themeColor="text1"/>
        </w:rPr>
        <w:t xml:space="preserve"> </w:t>
      </w:r>
      <w:r w:rsidRPr="001E7AA4">
        <w:rPr>
          <w:rFonts w:ascii="Calibri" w:eastAsia="Calibri" w:hAnsi="Calibri" w:cs="Calibri"/>
          <w:color w:val="000000" w:themeColor="text1"/>
        </w:rPr>
        <w:t xml:space="preserve">and </w:t>
      </w:r>
      <w:r w:rsidR="00FF20FD" w:rsidRPr="001E7AA4">
        <w:rPr>
          <w:rFonts w:ascii="Calibri" w:eastAsia="Calibri" w:hAnsi="Calibri" w:cs="Calibri"/>
          <w:color w:val="000000" w:themeColor="text1"/>
        </w:rPr>
        <w:t>problem-solving</w:t>
      </w:r>
      <w:r w:rsidRPr="001E7AA4">
        <w:rPr>
          <w:rFonts w:ascii="Calibri" w:eastAsia="Calibri" w:hAnsi="Calibri" w:cs="Calibri"/>
          <w:color w:val="000000" w:themeColor="text1"/>
        </w:rPr>
        <w:t xml:space="preserve"> skills.</w:t>
      </w:r>
      <w:r w:rsidRPr="001E7AA4">
        <w:rPr>
          <w:rStyle w:val="FootnoteReference"/>
          <w:rFonts w:ascii="Calibri" w:eastAsia="Calibri" w:hAnsi="Calibri" w:cs="Calibri"/>
          <w:color w:val="000000" w:themeColor="text1"/>
        </w:rPr>
        <w:footnoteReference w:id="56"/>
      </w:r>
    </w:p>
    <w:p w14:paraId="2685507B" w14:textId="77777777" w:rsidR="00AF746C" w:rsidRPr="001E7AA4" w:rsidRDefault="3E543B58" w:rsidP="00F72CFE">
      <w:pPr>
        <w:pStyle w:val="Heading5"/>
      </w:pPr>
      <w:bookmarkStart w:id="128" w:name="_Toc137829541"/>
      <w:bookmarkStart w:id="129" w:name="_Toc1976753510"/>
      <w:bookmarkStart w:id="130" w:name="_Toc139028873"/>
      <w:bookmarkStart w:id="131" w:name="_Toc136169141"/>
      <w:r w:rsidRPr="001E7AA4">
        <w:t>2.2.3 Moving towards an aligned tertiary system</w:t>
      </w:r>
      <w:bookmarkEnd w:id="128"/>
      <w:bookmarkEnd w:id="129"/>
      <w:bookmarkEnd w:id="130"/>
    </w:p>
    <w:p w14:paraId="636D4F61" w14:textId="7423B7D1" w:rsidR="00AF746C" w:rsidRPr="001E7AA4" w:rsidRDefault="00AF746C" w:rsidP="00AF746C">
      <w:pPr>
        <w:pStyle w:val="Quote"/>
      </w:pPr>
      <w:r w:rsidRPr="001E7AA4">
        <w:t xml:space="preserve">“Students, employers and the Australian economy require an integrated tertiary education system…where skills training and higher education sectors operate as one but retain their separate strengths and identities.” </w:t>
      </w:r>
      <w:r w:rsidR="003E7410">
        <w:br/>
      </w:r>
      <w:r w:rsidRPr="001E7AA4">
        <w:t xml:space="preserve">– Independent Tertiary Education Council Australia </w:t>
      </w:r>
    </w:p>
    <w:p w14:paraId="738B2E20" w14:textId="77777777" w:rsidR="00AF746C" w:rsidRPr="001E7AA4" w:rsidRDefault="00AF746C" w:rsidP="00AF746C">
      <w:r w:rsidRPr="001E7AA4">
        <w:lastRenderedPageBreak/>
        <w:t xml:space="preserve">Many students move between the higher education and vocational education sectors during their lifetime, using VET as an entry pathway into higher education or supplementing their higher education with more job-specific skills from VET. These transitions should be as seamless as possible. </w:t>
      </w:r>
    </w:p>
    <w:p w14:paraId="3D75856D" w14:textId="77777777" w:rsidR="00AF746C" w:rsidRPr="001E7AA4" w:rsidRDefault="00AF746C" w:rsidP="00AF746C">
      <w:r w:rsidRPr="001E7AA4">
        <w:t xml:space="preserve">Professions expected to be in demand, such as nursing and early childhood teaching, require skills commonly acquired across both VET and higher education, and qualification pathways exist for people to further their careers (enrolled nurse to registered nurse and early childhood carer to early childhood teacher). Likewise, graduates studying across all professions may benefit from trade-specific VET qualifications, or general workforce qualifications in project management and training and assessment. </w:t>
      </w:r>
    </w:p>
    <w:p w14:paraId="608C6D8E" w14:textId="367607E3" w:rsidR="00AF746C" w:rsidRPr="001E7AA4" w:rsidRDefault="00AF746C" w:rsidP="00AF746C">
      <w:r w:rsidRPr="001E7AA4">
        <w:t>Higher education to VET pathways are particularly important for supporting more underrepresented students to participate and succeed in higher education. Low</w:t>
      </w:r>
      <w:r w:rsidR="00856A92" w:rsidRPr="001E7AA4">
        <w:t xml:space="preserve"> </w:t>
      </w:r>
      <w:r w:rsidRPr="001E7AA4">
        <w:t xml:space="preserve">SES, regional and First Nations students are more likely to use VET as a pathway into higher education. </w:t>
      </w:r>
    </w:p>
    <w:p w14:paraId="0653BAF4" w14:textId="3A0E953C" w:rsidR="00AF746C" w:rsidRPr="001E7AA4" w:rsidRDefault="00AF746C" w:rsidP="00AF746C">
      <w:r w:rsidRPr="001E7AA4">
        <w:t>Students are increasingly engaging in multidirectional and non-linear learning pathways. For example, the number of students choosing to enrol in VET after completing a higher education qualification is growing. The proportion of students enrolled in VET courses with a bachelor degree or higher qualification has steadily risen from 7.4</w:t>
      </w:r>
      <w:r w:rsidRPr="001E7AA4" w:rsidDel="0002240E">
        <w:t>%</w:t>
      </w:r>
      <w:r w:rsidR="0002240E" w:rsidRPr="001E7AA4">
        <w:t xml:space="preserve"> </w:t>
      </w:r>
      <w:r w:rsidRPr="001E7AA4">
        <w:t>in 2015 to 10.3</w:t>
      </w:r>
      <w:r w:rsidRPr="001E7AA4" w:rsidDel="0002240E">
        <w:t>%</w:t>
      </w:r>
      <w:r w:rsidR="0002240E" w:rsidRPr="001E7AA4">
        <w:t xml:space="preserve"> </w:t>
      </w:r>
      <w:r w:rsidRPr="001E7AA4">
        <w:t>in 2020. In 2020, the proportion was highest in education (20%), health (18%), natural and physical sciences (15%), and management and commerce (14%).</w:t>
      </w:r>
      <w:r w:rsidRPr="001E7AA4">
        <w:rPr>
          <w:rStyle w:val="FootnoteReference"/>
        </w:rPr>
        <w:footnoteReference w:id="57"/>
      </w:r>
      <w:r w:rsidRPr="001E7AA4">
        <w:t xml:space="preserve"> </w:t>
      </w:r>
    </w:p>
    <w:p w14:paraId="5537D85D" w14:textId="28D3044F" w:rsidR="00AF746C" w:rsidRPr="001E7AA4" w:rsidRDefault="00AF746C" w:rsidP="00AF746C">
      <w:r w:rsidRPr="001E7AA4">
        <w:t xml:space="preserve">Collaboration between VET and higher education is essential </w:t>
      </w:r>
      <w:r w:rsidR="00632104" w:rsidRPr="001E7AA4">
        <w:t>for</w:t>
      </w:r>
      <w:r w:rsidRPr="001E7AA4">
        <w:t xml:space="preserve"> improving skills development. Increasingly skills development in many areas of study will require both the best elements of VET and higher education. An Accord for the future of the tertiary sector needs to bring together governments, education providers, employers, regulators, peak bodies for the professions and the labour movement in a shared purpose to better align skills development across the tertiary sector with the skills needs of employers and workers. We need to eliminate some of the cultural barriers that have historically existed between the VET and higher education sectors and see </w:t>
      </w:r>
      <w:r w:rsidR="00853308" w:rsidRPr="001E7AA4">
        <w:t xml:space="preserve">both sectors </w:t>
      </w:r>
      <w:r w:rsidRPr="001E7AA4">
        <w:t>as distinct but equal</w:t>
      </w:r>
      <w:r w:rsidR="00E85D05" w:rsidRPr="001E7AA4">
        <w:t>ly important</w:t>
      </w:r>
      <w:r w:rsidRPr="001E7AA4">
        <w:t xml:space="preserve"> parts of the skills development system. </w:t>
      </w:r>
      <w:r w:rsidR="1048F2F8" w:rsidRPr="001E7AA4">
        <w:t>The Review considers that r</w:t>
      </w:r>
      <w:r w:rsidRPr="001E7AA4">
        <w:t xml:space="preserve">eforms to the AQF (see </w:t>
      </w:r>
      <w:r w:rsidR="00841FC7" w:rsidRPr="001E7AA4">
        <w:t>Section</w:t>
      </w:r>
      <w:r w:rsidRPr="001E7AA4">
        <w:t xml:space="preserve"> 3.1)</w:t>
      </w:r>
      <w:r w:rsidR="00ED1988" w:rsidRPr="001E7AA4">
        <w:t xml:space="preserve"> are also necessary to </w:t>
      </w:r>
      <w:r w:rsidR="00976223" w:rsidRPr="001E7AA4">
        <w:t>facilitate this collaboration.</w:t>
      </w:r>
      <w:r w:rsidR="00F73052" w:rsidRPr="001E7AA4">
        <w:t xml:space="preserve"> </w:t>
      </w:r>
    </w:p>
    <w:p w14:paraId="5A744AB0" w14:textId="1247571C" w:rsidR="00AF746C" w:rsidRPr="001E7AA4" w:rsidRDefault="00AF746C" w:rsidP="00AF746C">
      <w:r w:rsidRPr="001E7AA4">
        <w:t xml:space="preserve">Funding arrangements for VET and higher education need to be more unified and consistent. The </w:t>
      </w:r>
      <w:r w:rsidR="00D57E0E" w:rsidRPr="001E7AA4">
        <w:t>Review</w:t>
      </w:r>
      <w:r w:rsidRPr="001E7AA4">
        <w:t xml:space="preserve"> heard of circumstances where funding and regulatory inconsistencies have stood in the way of innovation across the tertiary sector. Funding arrangements should not act as a barrier to effective collaboration between VET and higher education providers, or to course delivery for </w:t>
      </w:r>
      <w:r w:rsidR="003525F9" w:rsidRPr="001E7AA4">
        <w:t>dual sector</w:t>
      </w:r>
      <w:r w:rsidRPr="001E7AA4">
        <w:t xml:space="preserve"> providers. </w:t>
      </w:r>
      <w:r w:rsidR="00A722A6" w:rsidRPr="001E7AA4">
        <w:t xml:space="preserve">The </w:t>
      </w:r>
      <w:r w:rsidR="00D21CB8" w:rsidRPr="001E7AA4">
        <w:t xml:space="preserve">Review </w:t>
      </w:r>
      <w:r w:rsidR="00A722A6" w:rsidRPr="001E7AA4">
        <w:t xml:space="preserve">is giving further consideration to suggestions of </w:t>
      </w:r>
      <w:r w:rsidRPr="001E7AA4">
        <w:t>extend</w:t>
      </w:r>
      <w:r w:rsidR="00A722A6" w:rsidRPr="001E7AA4">
        <w:t>ing</w:t>
      </w:r>
      <w:r w:rsidRPr="001E7AA4">
        <w:t xml:space="preserve"> </w:t>
      </w:r>
      <w:r w:rsidR="00F920CC" w:rsidRPr="001E7AA4">
        <w:t>CSPs</w:t>
      </w:r>
      <w:r w:rsidRPr="001E7AA4">
        <w:t xml:space="preserve"> </w:t>
      </w:r>
      <w:r w:rsidR="00E85D05" w:rsidRPr="001E7AA4">
        <w:t xml:space="preserve">at some AQF levels </w:t>
      </w:r>
      <w:r w:rsidRPr="001E7AA4">
        <w:t>to the TAFE sector in areas of key skill need.</w:t>
      </w:r>
    </w:p>
    <w:p w14:paraId="7B67AFBD" w14:textId="25CF3A1A" w:rsidR="007E5C4D" w:rsidRPr="001E7AA4" w:rsidRDefault="00AF746C" w:rsidP="007E5C4D">
      <w:pPr>
        <w:rPr>
          <w:color w:val="000000"/>
        </w:rPr>
      </w:pPr>
      <w:r w:rsidRPr="001E7AA4">
        <w:t xml:space="preserve">We need to encourage </w:t>
      </w:r>
      <w:r w:rsidR="00853308" w:rsidRPr="001E7AA4">
        <w:t xml:space="preserve">innovative </w:t>
      </w:r>
      <w:r w:rsidRPr="001E7AA4">
        <w:t>methods of course delivery, particularly in areas of national priority such as health care, clean energy</w:t>
      </w:r>
      <w:r w:rsidR="00504AC3" w:rsidRPr="001E7AA4">
        <w:t xml:space="preserve"> </w:t>
      </w:r>
      <w:r w:rsidRPr="001E7AA4">
        <w:t>and defence. Industry providers should be engaged in course design with VET and higher education providers to identify key learning requirements across both sectors.</w:t>
      </w:r>
      <w:r w:rsidR="00D865D1" w:rsidRPr="001E7AA4">
        <w:t xml:space="preserve"> </w:t>
      </w:r>
      <w:r w:rsidR="007E5C4D" w:rsidRPr="001E7AA4">
        <w:rPr>
          <w:rStyle w:val="msoins0"/>
          <w:color w:val="000000"/>
          <w:shd w:val="clear" w:color="auto" w:fill="FFFFFF"/>
        </w:rPr>
        <w:t>Some stakeholders</w:t>
      </w:r>
      <w:r w:rsidR="007E5C4D" w:rsidRPr="001E7AA4">
        <w:rPr>
          <w:rStyle w:val="contentpasted0"/>
          <w:color w:val="000000"/>
          <w:shd w:val="clear" w:color="auto" w:fill="FFFFFF"/>
        </w:rPr>
        <w:t>, including the University of Newcastle,</w:t>
      </w:r>
      <w:r w:rsidR="007E5C4D" w:rsidRPr="001E7AA4">
        <w:rPr>
          <w:rStyle w:val="msoins0"/>
          <w:color w:val="000000"/>
          <w:shd w:val="clear" w:color="auto" w:fill="FFFFFF"/>
        </w:rPr>
        <w:t xml:space="preserve"> have suggested that</w:t>
      </w:r>
      <w:r w:rsidR="007E5C4D" w:rsidRPr="001E7AA4">
        <w:rPr>
          <w:rStyle w:val="contentpasted0"/>
          <w:color w:val="000000"/>
          <w:shd w:val="clear" w:color="auto" w:fill="FFFFFF"/>
        </w:rPr>
        <w:t xml:space="preserve"> Cooperative Skills Centres could be established in key areas of urgent need. These would be modelled on the successful Cooperative Research Centres (CRC</w:t>
      </w:r>
      <w:r w:rsidR="007E5C4D" w:rsidRPr="001E7AA4">
        <w:rPr>
          <w:rStyle w:val="msoins0"/>
          <w:color w:val="000000"/>
          <w:shd w:val="clear" w:color="auto" w:fill="FFFFFF"/>
        </w:rPr>
        <w:t>) program</w:t>
      </w:r>
      <w:r w:rsidR="007E5C4D" w:rsidRPr="001E7AA4">
        <w:rPr>
          <w:rStyle w:val="contentpasted0"/>
          <w:color w:val="000000"/>
          <w:shd w:val="clear" w:color="auto" w:fill="FFFFFF"/>
        </w:rPr>
        <w:t xml:space="preserve">, </w:t>
      </w:r>
      <w:r w:rsidR="007E5C4D" w:rsidRPr="001E7AA4">
        <w:rPr>
          <w:rStyle w:val="msoins0"/>
          <w:color w:val="000000"/>
          <w:shd w:val="clear" w:color="auto" w:fill="FFFFFF"/>
        </w:rPr>
        <w:t xml:space="preserve">and could </w:t>
      </w:r>
      <w:r w:rsidR="007E5C4D" w:rsidRPr="001E7AA4">
        <w:rPr>
          <w:rStyle w:val="contentpasted0"/>
          <w:color w:val="000000"/>
          <w:shd w:val="clear" w:color="auto" w:fill="FFFFFF"/>
        </w:rPr>
        <w:t>link with</w:t>
      </w:r>
      <w:r w:rsidR="007E5C4D" w:rsidRPr="001E7AA4">
        <w:rPr>
          <w:rStyle w:val="msoins0"/>
          <w:color w:val="000000"/>
          <w:shd w:val="clear" w:color="auto" w:fill="FFFFFF"/>
        </w:rPr>
        <w:t xml:space="preserve"> similar</w:t>
      </w:r>
      <w:r w:rsidR="007E5C4D" w:rsidRPr="001E7AA4">
        <w:rPr>
          <w:rStyle w:val="contentpasted0"/>
          <w:color w:val="000000"/>
          <w:shd w:val="clear" w:color="auto" w:fill="FFFFFF"/>
        </w:rPr>
        <w:t xml:space="preserve"> c</w:t>
      </w:r>
      <w:r w:rsidR="007E5C4D" w:rsidRPr="001E7AA4">
        <w:rPr>
          <w:rStyle w:val="msoins0"/>
          <w:color w:val="000000"/>
          <w:shd w:val="clear" w:color="auto" w:fill="FFFFFF"/>
        </w:rPr>
        <w:t>entres of skills excellence</w:t>
      </w:r>
      <w:r w:rsidR="007E5C4D" w:rsidRPr="001E7AA4">
        <w:rPr>
          <w:rStyle w:val="contentpasted0"/>
          <w:color w:val="000000"/>
          <w:shd w:val="clear" w:color="auto" w:fill="FFFFFF"/>
        </w:rPr>
        <w:t>, developed through collaboration with Vocational Education providers, through the National Skills Agreement.</w:t>
      </w:r>
      <w:r w:rsidR="007E5C4D" w:rsidRPr="001E7AA4">
        <w:rPr>
          <w:color w:val="000000"/>
          <w:shd w:val="clear" w:color="auto" w:fill="FFFFFF"/>
        </w:rPr>
        <w:t xml:space="preserve"> These centres would bring together higher education, VET, </w:t>
      </w:r>
      <w:r w:rsidR="007E5C4D" w:rsidRPr="001E7AA4">
        <w:rPr>
          <w:color w:val="000000"/>
          <w:shd w:val="clear" w:color="auto" w:fill="FFFFFF"/>
        </w:rPr>
        <w:lastRenderedPageBreak/>
        <w:t>industry and unions to develop and deliver courses that rapidly upskill people in areas of industry need.  </w:t>
      </w:r>
    </w:p>
    <w:p w14:paraId="452EE479" w14:textId="5C3C5B29" w:rsidR="671E5275" w:rsidRDefault="00B938A7" w:rsidP="671E5275">
      <w:r w:rsidRPr="001E7AA4">
        <w:rPr>
          <w:rStyle w:val="contentpasted0"/>
          <w:color w:val="000000"/>
          <w:shd w:val="clear" w:color="auto" w:fill="FFFFFF"/>
        </w:rPr>
        <w:t xml:space="preserve">The Review will explore the concept of Cooperative Skills Centres, linking higher education, </w:t>
      </w:r>
      <w:r w:rsidR="00FD18D4" w:rsidRPr="001E7AA4">
        <w:rPr>
          <w:rStyle w:val="contentpasted0"/>
          <w:color w:val="000000"/>
          <w:shd w:val="clear" w:color="auto" w:fill="FFFFFF"/>
        </w:rPr>
        <w:t>VET</w:t>
      </w:r>
      <w:r w:rsidRPr="001E7AA4">
        <w:rPr>
          <w:rStyle w:val="contentpasted0"/>
          <w:color w:val="000000"/>
          <w:shd w:val="clear" w:color="auto" w:fill="FFFFFF"/>
        </w:rPr>
        <w:t xml:space="preserve"> and industry, as a way to develop new skills and qualification pathways in priority areas such as </w:t>
      </w:r>
      <w:r w:rsidR="007E5C4D" w:rsidRPr="001E7AA4">
        <w:rPr>
          <w:rStyle w:val="contentpasted0"/>
          <w:color w:val="000000"/>
          <w:shd w:val="clear" w:color="auto" w:fill="FFFFFF"/>
        </w:rPr>
        <w:t>energy.</w:t>
      </w:r>
      <w:r w:rsidR="007E5C4D" w:rsidRPr="001E7AA4" w:rsidDel="00B938A7">
        <w:t xml:space="preserve"> </w:t>
      </w:r>
    </w:p>
    <w:tbl>
      <w:tblPr>
        <w:tblStyle w:val="CaseStudy0"/>
        <w:tblW w:w="0" w:type="auto"/>
        <w:tblLook w:val="04A0" w:firstRow="1" w:lastRow="0" w:firstColumn="1" w:lastColumn="0" w:noHBand="0" w:noVBand="1"/>
      </w:tblPr>
      <w:tblGrid>
        <w:gridCol w:w="9016"/>
      </w:tblGrid>
      <w:tr w:rsidR="00BE5099" w14:paraId="4FA074B0" w14:textId="77777777" w:rsidTr="00272CC8">
        <w:tc>
          <w:tcPr>
            <w:tcW w:w="9016" w:type="dxa"/>
          </w:tcPr>
          <w:p w14:paraId="395E8E53" w14:textId="77777777" w:rsidR="00BE5099" w:rsidRPr="00FD482C" w:rsidRDefault="00BE5099" w:rsidP="00BE5099">
            <w:pPr>
              <w:pStyle w:val="CaseStudy-Heading"/>
            </w:pPr>
            <w:r w:rsidRPr="00FD482C">
              <w:t xml:space="preserve">Case study: Deakin University guaranteed entry pathway </w:t>
            </w:r>
          </w:p>
          <w:p w14:paraId="7B86D0DA" w14:textId="77777777" w:rsidR="00BE5099" w:rsidRPr="001E7AA4" w:rsidRDefault="00BE5099" w:rsidP="00BE5099">
            <w:pPr>
              <w:rPr>
                <w:lang w:val="en-US"/>
              </w:rPr>
            </w:pPr>
            <w:r w:rsidRPr="001E7AA4">
              <w:rPr>
                <w:lang w:val="en-US"/>
              </w:rPr>
              <w:t>Deakin University is not a dual-sector university, but nevertheless in 2021 it had a relatively high proportion of VET admissions and provided amongst the most credit for previous VET study.</w:t>
            </w:r>
          </w:p>
          <w:p w14:paraId="7E073F11" w14:textId="77777777" w:rsidR="00BE5099" w:rsidRPr="001E7AA4" w:rsidRDefault="00BE5099" w:rsidP="00BE5099">
            <w:pPr>
              <w:rPr>
                <w:lang w:val="en-US"/>
              </w:rPr>
            </w:pPr>
            <w:r w:rsidRPr="001E7AA4">
              <w:rPr>
                <w:lang w:val="en-US"/>
              </w:rPr>
              <w:t>The Deakin University Guaranteed VET entry pathway provides guaranteed entry into higher education qualifications for students who have successfully completed a related VET qualification at a partnered TAFE. Pathways exist for higher education qualifications in design, business and commerce, construction management, communications, creative arts, IT and engineering.</w:t>
            </w:r>
          </w:p>
          <w:p w14:paraId="1AF8A361" w14:textId="0AF0C2AE" w:rsidR="00BE5099" w:rsidRPr="00BE5099" w:rsidRDefault="00BE5099" w:rsidP="00FC381C">
            <w:pPr>
              <w:spacing w:after="120"/>
              <w:rPr>
                <w:lang w:val="en-US"/>
              </w:rPr>
            </w:pPr>
            <w:r w:rsidRPr="001E7AA4">
              <w:rPr>
                <w:lang w:val="en-US"/>
              </w:rPr>
              <w:t>These arrangements are facilitated through study partnerships with various TAFEs across Victoria and NSW, with RPL built into the course structures. The pathways are well mapped out for students, with clear criteria for admission and RPL.</w:t>
            </w:r>
          </w:p>
        </w:tc>
      </w:tr>
    </w:tbl>
    <w:p w14:paraId="3B6E438F" w14:textId="4186554A" w:rsidR="00AF746C" w:rsidRPr="001E7AA4" w:rsidRDefault="00AF746C" w:rsidP="00F72CFE">
      <w:pPr>
        <w:pStyle w:val="Heading6"/>
      </w:pPr>
      <w:r w:rsidRPr="001E7AA4">
        <w:t xml:space="preserve">2.2.3.1 Better standards for admission practices and </w:t>
      </w:r>
      <w:r w:rsidR="3B27A7BD" w:rsidRPr="001E7AA4">
        <w:t>credit recognition</w:t>
      </w:r>
    </w:p>
    <w:p w14:paraId="1022AB61" w14:textId="296980D7" w:rsidR="00AF746C" w:rsidRPr="001E7AA4" w:rsidRDefault="00AF746C" w:rsidP="00AF746C">
      <w:r w:rsidRPr="001E7AA4">
        <w:t xml:space="preserve">Evidence suggests admission practices and </w:t>
      </w:r>
      <w:r w:rsidR="001D7D10" w:rsidRPr="001E7AA4">
        <w:t>RPL</w:t>
      </w:r>
      <w:r w:rsidRPr="001E7AA4">
        <w:t xml:space="preserve"> differ markedly across universities. While some differentiation is justified to reflect the courses that different universities teach and the competencies required from students, </w:t>
      </w:r>
      <w:r w:rsidR="009342DF" w:rsidRPr="001E7AA4">
        <w:t xml:space="preserve">it </w:t>
      </w:r>
      <w:r w:rsidRPr="001E7AA4">
        <w:t xml:space="preserve">should not act as an undue barrier to further study. </w:t>
      </w:r>
      <w:r w:rsidR="009342DF" w:rsidRPr="001E7AA4">
        <w:t xml:space="preserve">For example, it </w:t>
      </w:r>
      <w:r w:rsidRPr="001E7AA4">
        <w:t>should not create inefficiencies, whereby students are duplicating skills and learning experience they have already obtained</w:t>
      </w:r>
      <w:r w:rsidR="004D62F5" w:rsidRPr="001E7AA4">
        <w:t>, or transaction costs as</w:t>
      </w:r>
      <w:r w:rsidR="002A244A" w:rsidRPr="001E7AA4">
        <w:t xml:space="preserve"> students have to navigate complexity</w:t>
      </w:r>
      <w:r w:rsidRPr="001E7AA4">
        <w:t>. This also creates unnecessary costs in terms of time and funding.</w:t>
      </w:r>
    </w:p>
    <w:p w14:paraId="1D156755" w14:textId="77777777" w:rsidR="00AF746C" w:rsidRPr="001E7AA4" w:rsidRDefault="00AF746C" w:rsidP="00AF746C">
      <w:r w:rsidRPr="001E7AA4">
        <w:t xml:space="preserve">Practices also differ substantially across different fields of education. Nursing, early childhood teaching and social work have well developed pathways between VET and higher education as they tie directly to accreditation requirements within occupations. But pathways in other fields of education are less developed or concentrated in a limited number of universities. </w:t>
      </w:r>
    </w:p>
    <w:p w14:paraId="5929D91B" w14:textId="4F807565" w:rsidR="00AF746C" w:rsidRPr="001E7AA4" w:rsidRDefault="00AF746C" w:rsidP="00AF746C">
      <w:r w:rsidRPr="001E7AA4">
        <w:t>Achieving greater consistency and RPL in admission practices requires greater collaboration between tertiary providers. Pathways need to be developed and curated with RPL and credit built into course design. The Review believes that there should be acknowledgement of innovation and a wider adoption of best practic</w:t>
      </w:r>
      <w:r w:rsidR="009342DF" w:rsidRPr="001E7AA4">
        <w:t>e</w:t>
      </w:r>
      <w:r w:rsidRPr="001E7AA4">
        <w:t xml:space="preserve"> in this area, </w:t>
      </w:r>
      <w:r w:rsidR="002A244A" w:rsidRPr="001E7AA4">
        <w:t xml:space="preserve">and that </w:t>
      </w:r>
      <w:r w:rsidRPr="001E7AA4">
        <w:t xml:space="preserve">consideration could be given to the development of guiding principles for RPL. </w:t>
      </w:r>
    </w:p>
    <w:p w14:paraId="357AC79C" w14:textId="77777777" w:rsidR="00AF746C" w:rsidRPr="001E7AA4" w:rsidRDefault="3E543B58" w:rsidP="00F72CFE">
      <w:pPr>
        <w:pStyle w:val="Heading5"/>
      </w:pPr>
      <w:bookmarkStart w:id="132" w:name="_Toc137829542"/>
      <w:bookmarkStart w:id="133" w:name="_Toc34836822"/>
      <w:bookmarkStart w:id="134" w:name="_Toc139028874"/>
      <w:r w:rsidRPr="001E7AA4">
        <w:t>2.2.4 Supporting students to undertake placements</w:t>
      </w:r>
      <w:bookmarkEnd w:id="132"/>
      <w:bookmarkEnd w:id="133"/>
      <w:bookmarkEnd w:id="134"/>
    </w:p>
    <w:p w14:paraId="42488D9A" w14:textId="0F97C813" w:rsidR="00AF746C" w:rsidRPr="001E7AA4" w:rsidRDefault="00923590" w:rsidP="00AF746C">
      <w:pPr>
        <w:spacing w:line="240" w:lineRule="auto"/>
        <w:rPr>
          <w:rFonts w:ascii="Calibri" w:eastAsia="Calibri" w:hAnsi="Calibri" w:cs="Calibri"/>
          <w:color w:val="000000" w:themeColor="text1"/>
        </w:rPr>
      </w:pPr>
      <w:r w:rsidRPr="001E7AA4">
        <w:t xml:space="preserve">The </w:t>
      </w:r>
      <w:r w:rsidR="009342DF" w:rsidRPr="001E7AA4">
        <w:t xml:space="preserve">Review </w:t>
      </w:r>
      <w:r w:rsidRPr="001E7AA4">
        <w:t>has heard that d</w:t>
      </w:r>
      <w:r w:rsidR="00AF746C" w:rsidRPr="001E7AA4">
        <w:t xml:space="preserve">ifficulties supporting sufficient placements in healthcare (particularly nursing, </w:t>
      </w:r>
      <w:r w:rsidR="00AF746C" w:rsidRPr="001E7AA4">
        <w:rPr>
          <w:rFonts w:ascii="Calibri" w:eastAsia="Calibri" w:hAnsi="Calibri" w:cs="Calibri"/>
          <w:color w:val="000000" w:themeColor="text1"/>
        </w:rPr>
        <w:t xml:space="preserve">allied health and psychology) and education </w:t>
      </w:r>
      <w:r w:rsidR="009342DF" w:rsidRPr="001E7AA4">
        <w:rPr>
          <w:rFonts w:ascii="Calibri" w:eastAsia="Calibri" w:hAnsi="Calibri" w:cs="Calibri"/>
          <w:color w:val="000000" w:themeColor="text1"/>
        </w:rPr>
        <w:t xml:space="preserve">are </w:t>
      </w:r>
      <w:r w:rsidR="00AF746C" w:rsidRPr="001E7AA4">
        <w:rPr>
          <w:rFonts w:ascii="Calibri" w:eastAsia="Calibri" w:hAnsi="Calibri" w:cs="Calibri"/>
          <w:color w:val="000000" w:themeColor="text1"/>
        </w:rPr>
        <w:t xml:space="preserve">exacerbating shortages in these critical professions (with similar effects in other professions). </w:t>
      </w:r>
      <w:r w:rsidR="00AF746C" w:rsidRPr="001E7AA4">
        <w:rPr>
          <w:rStyle w:val="ui-provider"/>
        </w:rPr>
        <w:t>These occupations are also facing challenges of attrition, which further reduces the ability of the workforce to support increasing placements. T</w:t>
      </w:r>
      <w:r w:rsidR="00AF746C" w:rsidRPr="001E7AA4">
        <w:rPr>
          <w:rFonts w:ascii="Calibri" w:eastAsia="Calibri" w:hAnsi="Calibri" w:cs="Calibri"/>
          <w:color w:val="000000" w:themeColor="text1"/>
        </w:rPr>
        <w:t xml:space="preserve">he cost to universities of providing placements is increasing faster than funding. Without addressing these issues, initiatives to boost the number of students entering the system in critical health workforce areas will </w:t>
      </w:r>
      <w:r w:rsidR="009342DF" w:rsidRPr="001E7AA4">
        <w:rPr>
          <w:rFonts w:ascii="Calibri" w:eastAsia="Calibri" w:hAnsi="Calibri" w:cs="Calibri"/>
          <w:color w:val="000000" w:themeColor="text1"/>
        </w:rPr>
        <w:t>fail</w:t>
      </w:r>
      <w:r w:rsidR="00AF746C" w:rsidRPr="001E7AA4">
        <w:rPr>
          <w:rFonts w:ascii="Calibri" w:eastAsia="Calibri" w:hAnsi="Calibri" w:cs="Calibri"/>
          <w:color w:val="000000" w:themeColor="text1"/>
        </w:rPr>
        <w:t xml:space="preserve">. </w:t>
      </w:r>
    </w:p>
    <w:p w14:paraId="746D364B" w14:textId="62CDEE07" w:rsidR="00AF746C" w:rsidRPr="001E7AA4" w:rsidRDefault="00AF746C" w:rsidP="00AF746C">
      <w:pPr>
        <w:rPr>
          <w:rFonts w:ascii="Calibri" w:eastAsia="Calibri" w:hAnsi="Calibri" w:cs="Calibri"/>
          <w:color w:val="000000" w:themeColor="text1"/>
        </w:rPr>
      </w:pPr>
      <w:r w:rsidRPr="001E7AA4">
        <w:rPr>
          <w:rFonts w:ascii="Calibri" w:eastAsia="Calibri" w:hAnsi="Calibri" w:cs="Calibri"/>
          <w:color w:val="000000" w:themeColor="text1"/>
        </w:rPr>
        <w:lastRenderedPageBreak/>
        <w:t xml:space="preserve">Mandatory </w:t>
      </w:r>
      <w:r w:rsidRPr="001E7AA4">
        <w:rPr>
          <w:rStyle w:val="eop"/>
          <w:rFonts w:ascii="Calibri" w:hAnsi="Calibri" w:cs="Calibri"/>
          <w:color w:val="000000" w:themeColor="text1"/>
        </w:rPr>
        <w:t>WIL and clinical training requirements</w:t>
      </w:r>
      <w:r w:rsidRPr="001E7AA4">
        <w:rPr>
          <w:rFonts w:ascii="Calibri" w:eastAsia="Calibri" w:hAnsi="Calibri" w:cs="Calibri"/>
          <w:color w:val="000000" w:themeColor="text1"/>
        </w:rPr>
        <w:t xml:space="preserve"> often require students to forego paid work to undertake these unpaid placements. This places significant pressure on students, exacerbated for students from low</w:t>
      </w:r>
      <w:r w:rsidR="00856A92" w:rsidRPr="001E7AA4">
        <w:rPr>
          <w:rFonts w:ascii="Calibri" w:eastAsia="Calibri" w:hAnsi="Calibri" w:cs="Calibri"/>
          <w:color w:val="000000" w:themeColor="text1"/>
        </w:rPr>
        <w:t xml:space="preserve"> </w:t>
      </w:r>
      <w:r w:rsidRPr="001E7AA4">
        <w:rPr>
          <w:rFonts w:ascii="Calibri" w:eastAsia="Calibri" w:hAnsi="Calibri" w:cs="Calibri"/>
          <w:color w:val="000000" w:themeColor="text1"/>
        </w:rPr>
        <w:t>SES and regional backgrounds and students (most commonly women) who have caring responsibilities. Issues of transport and accommodation costs, especially for regional student</w:t>
      </w:r>
      <w:r w:rsidR="009342DF" w:rsidRPr="001E7AA4">
        <w:rPr>
          <w:rFonts w:ascii="Calibri" w:eastAsia="Calibri" w:hAnsi="Calibri" w:cs="Calibri"/>
          <w:color w:val="000000" w:themeColor="text1"/>
        </w:rPr>
        <w:t>s</w:t>
      </w:r>
      <w:r w:rsidRPr="001E7AA4">
        <w:rPr>
          <w:rFonts w:ascii="Calibri" w:eastAsia="Calibri" w:hAnsi="Calibri" w:cs="Calibri"/>
          <w:color w:val="000000" w:themeColor="text1"/>
        </w:rPr>
        <w:t xml:space="preserve"> required to travel to undertake placements, are yet other barrier</w:t>
      </w:r>
      <w:r w:rsidR="009342DF" w:rsidRPr="001E7AA4">
        <w:rPr>
          <w:rFonts w:ascii="Calibri" w:eastAsia="Calibri" w:hAnsi="Calibri" w:cs="Calibri"/>
          <w:color w:val="000000" w:themeColor="text1"/>
        </w:rPr>
        <w:t>s</w:t>
      </w:r>
      <w:r w:rsidRPr="001E7AA4">
        <w:rPr>
          <w:rFonts w:ascii="Calibri" w:eastAsia="Calibri" w:hAnsi="Calibri" w:cs="Calibri"/>
          <w:color w:val="000000" w:themeColor="text1"/>
        </w:rPr>
        <w:t xml:space="preserve">. This is discussed further in </w:t>
      </w:r>
      <w:r w:rsidR="00841FC7" w:rsidRPr="001E7AA4">
        <w:rPr>
          <w:rFonts w:ascii="Calibri" w:eastAsia="Calibri" w:hAnsi="Calibri" w:cs="Calibri"/>
          <w:color w:val="000000" w:themeColor="text1"/>
        </w:rPr>
        <w:t>Section</w:t>
      </w:r>
      <w:r w:rsidRPr="001E7AA4">
        <w:rPr>
          <w:rFonts w:ascii="Calibri" w:eastAsia="Calibri" w:hAnsi="Calibri" w:cs="Calibri"/>
          <w:color w:val="000000" w:themeColor="text1"/>
        </w:rPr>
        <w:t xml:space="preserve"> 2.3. </w:t>
      </w:r>
    </w:p>
    <w:p w14:paraId="7904DB47" w14:textId="5750C812" w:rsidR="00632104" w:rsidRPr="001E7AA4" w:rsidRDefault="00632104" w:rsidP="00AF746C">
      <w:pPr>
        <w:rPr>
          <w:rFonts w:ascii="Calibri" w:eastAsia="Calibri" w:hAnsi="Calibri" w:cs="Calibri"/>
          <w:color w:val="000000" w:themeColor="text1"/>
        </w:rPr>
      </w:pPr>
      <w:r w:rsidRPr="001E7AA4">
        <w:rPr>
          <w:rFonts w:ascii="Calibri" w:eastAsia="Calibri" w:hAnsi="Calibri" w:cs="Calibri"/>
          <w:color w:val="000000" w:themeColor="text1"/>
        </w:rPr>
        <w:t>The Review will explore the possibility of requiring some form</w:t>
      </w:r>
      <w:r w:rsidR="00102FE6" w:rsidRPr="001E7AA4">
        <w:rPr>
          <w:rFonts w:ascii="Calibri" w:eastAsia="Calibri" w:hAnsi="Calibri" w:cs="Calibri"/>
          <w:color w:val="000000" w:themeColor="text1"/>
        </w:rPr>
        <w:t xml:space="preserve"> </w:t>
      </w:r>
      <w:r w:rsidRPr="001E7AA4">
        <w:rPr>
          <w:rFonts w:ascii="Calibri" w:eastAsia="Calibri" w:hAnsi="Calibri" w:cs="Calibri"/>
          <w:color w:val="000000" w:themeColor="text1"/>
        </w:rPr>
        <w:t xml:space="preserve">of financial </w:t>
      </w:r>
      <w:r w:rsidR="00F77371" w:rsidRPr="001E7AA4">
        <w:rPr>
          <w:rFonts w:ascii="Calibri" w:eastAsia="Calibri" w:hAnsi="Calibri" w:cs="Calibri"/>
          <w:color w:val="000000" w:themeColor="text1"/>
        </w:rPr>
        <w:t xml:space="preserve">support </w:t>
      </w:r>
      <w:r w:rsidRPr="001E7AA4">
        <w:rPr>
          <w:rFonts w:ascii="Calibri" w:eastAsia="Calibri" w:hAnsi="Calibri" w:cs="Calibri"/>
          <w:color w:val="000000" w:themeColor="text1"/>
        </w:rPr>
        <w:t>for students undertaking mandatory placements.</w:t>
      </w:r>
    </w:p>
    <w:p w14:paraId="1CC8C3EC" w14:textId="1553F6B6" w:rsidR="00AF746C" w:rsidRPr="001E7AA4" w:rsidRDefault="00AF746C" w:rsidP="00AF746C">
      <w:pPr>
        <w:spacing w:after="0"/>
      </w:pPr>
      <w:r w:rsidRPr="001E7AA4">
        <w:t xml:space="preserve">The Review considers there is merit in exploring the development of principles and standards for some level of </w:t>
      </w:r>
      <w:r w:rsidR="00F77371" w:rsidRPr="001E7AA4">
        <w:t xml:space="preserve">support </w:t>
      </w:r>
      <w:r w:rsidRPr="001E7AA4">
        <w:t xml:space="preserve">or stipend for students undertaking mandatory placements – with particular urgency for teachers and nurses (working with </w:t>
      </w:r>
      <w:r w:rsidR="0075347C" w:rsidRPr="001E7AA4">
        <w:t>s</w:t>
      </w:r>
      <w:r w:rsidRPr="001E7AA4">
        <w:t>tates</w:t>
      </w:r>
      <w:r w:rsidR="00911717" w:rsidRPr="001E7AA4">
        <w:t>’</w:t>
      </w:r>
      <w:r w:rsidRPr="001E7AA4">
        <w:t xml:space="preserve"> and </w:t>
      </w:r>
      <w:r w:rsidR="0075347C" w:rsidRPr="001E7AA4">
        <w:t>t</w:t>
      </w:r>
      <w:r w:rsidRPr="001E7AA4">
        <w:t>erritories’ departments and agencies employing the bulk of these nurses and teachers). Careful consideration of these arrangements is needed</w:t>
      </w:r>
      <w:r w:rsidR="0017101E" w:rsidRPr="001E7AA4">
        <w:t>,</w:t>
      </w:r>
      <w:r w:rsidR="001C5D0B" w:rsidRPr="001E7AA4">
        <w:t xml:space="preserve"> including </w:t>
      </w:r>
      <w:r w:rsidR="009701C8" w:rsidRPr="001E7AA4">
        <w:t>whether changes are required to provisions</w:t>
      </w:r>
      <w:r w:rsidR="001C5D0B" w:rsidRPr="001E7AA4">
        <w:t xml:space="preserve"> within the </w:t>
      </w:r>
      <w:r w:rsidR="001C5D0B" w:rsidRPr="001E7AA4">
        <w:rPr>
          <w:i/>
        </w:rPr>
        <w:t xml:space="preserve">Fair Work Act </w:t>
      </w:r>
      <w:r w:rsidR="001C5D0B" w:rsidRPr="001E7AA4">
        <w:t>r</w:t>
      </w:r>
      <w:r w:rsidR="009701C8" w:rsidRPr="001E7AA4">
        <w:t>elating to</w:t>
      </w:r>
      <w:r w:rsidR="001C5D0B" w:rsidRPr="001E7AA4">
        <w:t xml:space="preserve"> </w:t>
      </w:r>
      <w:r w:rsidR="005A03BA" w:rsidRPr="001E7AA4">
        <w:t xml:space="preserve">payment for </w:t>
      </w:r>
      <w:r w:rsidRPr="001E7AA4">
        <w:t>vocational placements.</w:t>
      </w:r>
    </w:p>
    <w:p w14:paraId="5D110522" w14:textId="77777777" w:rsidR="00AF746C" w:rsidRPr="001E7AA4" w:rsidRDefault="00AF746C" w:rsidP="00F72CFE">
      <w:pPr>
        <w:pStyle w:val="Heading6"/>
      </w:pPr>
      <w:r w:rsidRPr="001E7AA4">
        <w:t>2.2.4.1 Further support for workforce retention</w:t>
      </w:r>
    </w:p>
    <w:p w14:paraId="70FEBF5E" w14:textId="2951931E" w:rsidR="00AF746C" w:rsidRDefault="00AF746C" w:rsidP="00AF746C">
      <w:r w:rsidRPr="001E7AA4">
        <w:t>The Review notes that a range of factors contribute to workforce shortages, beyond the interactions of the higher education ecosystem. These include occupation-specific issues of attrition and pay, as well as higher prevalence of part-time work and casualisation, particularly in female-dominated industries like nursing and teaching. Current economy-wide supply constraints are being exacerbated by high demand for engineering in construction and infrastructure.</w:t>
      </w:r>
      <w:r w:rsidRPr="001E7AA4">
        <w:rPr>
          <w:rStyle w:val="FootnoteReference"/>
        </w:rPr>
        <w:footnoteReference w:id="58"/>
      </w:r>
      <w:r w:rsidRPr="001E7AA4">
        <w:rPr>
          <w:rStyle w:val="FootnoteReference"/>
        </w:rPr>
        <w:t xml:space="preserve"> </w:t>
      </w:r>
    </w:p>
    <w:p w14:paraId="2BCC28AD" w14:textId="52413296" w:rsidR="00FD482C" w:rsidRPr="001E7AA4" w:rsidRDefault="00FD482C" w:rsidP="00FD482C">
      <w:pPr>
        <w:pStyle w:val="Pulloutboxes"/>
      </w:pPr>
      <w:r w:rsidRPr="002F0B4B">
        <w:t>The Review is exploring new HELP policies to encourage graduates to remain in valued occupations and in priority communities.</w:t>
      </w:r>
    </w:p>
    <w:p w14:paraId="78006711" w14:textId="4B8094BB" w:rsidR="00AF746C" w:rsidRPr="001E7AA4" w:rsidRDefault="00AF746C" w:rsidP="00AF746C">
      <w:r w:rsidRPr="001E7AA4">
        <w:t xml:space="preserve">The Review considers </w:t>
      </w:r>
      <w:r w:rsidR="00993D03" w:rsidRPr="001E7AA4">
        <w:t xml:space="preserve">that </w:t>
      </w:r>
      <w:r w:rsidRPr="001E7AA4">
        <w:t>options to encourage students to enter and stay in valued occupations should be explored. One example could include covering a proportion of HELP debt for every year they stay. These options have been utilised through the HELP system to allow doctors and nurse practitioners who work in rural, remote and very remote areas and teachers who work in very remote areas to receive reductions in HELP debt, such as reductions in accumulated HELP debts or waivers of indexation. There have been calls to expand similar arrangements to other critical professions, particularly in remote and regional areas. As the</w:t>
      </w:r>
      <w:r w:rsidR="00504AC3" w:rsidRPr="001E7AA4">
        <w:t xml:space="preserve"> </w:t>
      </w:r>
      <w:r w:rsidR="00044486" w:rsidRPr="001E7AA4">
        <w:t>states and territories</w:t>
      </w:r>
      <w:r w:rsidRPr="001E7AA4">
        <w:t xml:space="preserve"> are the most significant employers of nurses and teachers, for example, government employers waiving HELP debts through existing payroll mechanisms may be an effective approach to supporting these workforces.</w:t>
      </w:r>
      <w:r w:rsidR="00B13011" w:rsidRPr="001E7AA4">
        <w:t xml:space="preserve"> It will be important to avoid</w:t>
      </w:r>
      <w:r w:rsidR="007F52CB" w:rsidRPr="001E7AA4">
        <w:t xml:space="preserve"> upfront</w:t>
      </w:r>
      <w:r w:rsidR="00B13011" w:rsidRPr="001E7AA4">
        <w:t xml:space="preserve"> mechanisms that have little practical effect</w:t>
      </w:r>
      <w:r w:rsidR="007F52CB" w:rsidRPr="001E7AA4">
        <w:t xml:space="preserve"> like</w:t>
      </w:r>
      <w:r w:rsidR="00EC7E05">
        <w:t xml:space="preserve"> the</w:t>
      </w:r>
      <w:r w:rsidR="00B13011" w:rsidRPr="001E7AA4">
        <w:t xml:space="preserve"> JRG</w:t>
      </w:r>
      <w:r w:rsidR="00EC7E05">
        <w:t xml:space="preserve"> package</w:t>
      </w:r>
      <w:r w:rsidR="00B13011" w:rsidRPr="001E7AA4">
        <w:t>, or result</w:t>
      </w:r>
      <w:r w:rsidR="0040357D" w:rsidRPr="001E7AA4">
        <w:t xml:space="preserve"> in</w:t>
      </w:r>
      <w:r w:rsidR="00993D03" w:rsidRPr="001E7AA4">
        <w:t xml:space="preserve"> </w:t>
      </w:r>
      <w:r w:rsidR="00B13011" w:rsidRPr="001E7AA4">
        <w:t>different jurisdictions competing for the same workforce in a costly way</w:t>
      </w:r>
      <w:r w:rsidR="007F52CB" w:rsidRPr="001E7AA4">
        <w:t>, for example by</w:t>
      </w:r>
      <w:r w:rsidR="00504AC3" w:rsidRPr="001E7AA4">
        <w:t xml:space="preserve"> </w:t>
      </w:r>
      <w:r w:rsidR="00044486" w:rsidRPr="001E7AA4">
        <w:t>states and territories</w:t>
      </w:r>
      <w:r w:rsidR="00993D03" w:rsidRPr="001E7AA4">
        <w:t xml:space="preserve"> </w:t>
      </w:r>
      <w:r w:rsidR="007F52CB" w:rsidRPr="001E7AA4">
        <w:t>paying</w:t>
      </w:r>
      <w:r w:rsidR="0040357D" w:rsidRPr="001E7AA4">
        <w:t xml:space="preserve"> the fees of nursing and teaching</w:t>
      </w:r>
      <w:r w:rsidR="007F52CB" w:rsidRPr="001E7AA4">
        <w:t xml:space="preserve"> </w:t>
      </w:r>
      <w:r w:rsidR="00B2182C" w:rsidRPr="001E7AA4">
        <w:t xml:space="preserve">students </w:t>
      </w:r>
      <w:r w:rsidR="007F52CB" w:rsidRPr="001E7AA4">
        <w:t>upfront</w:t>
      </w:r>
      <w:r w:rsidR="00B13011" w:rsidRPr="001E7AA4">
        <w:t>.</w:t>
      </w:r>
    </w:p>
    <w:p w14:paraId="427EE2FF" w14:textId="77777777" w:rsidR="00AF746C" w:rsidRPr="001E7AA4" w:rsidRDefault="3E543B58" w:rsidP="00F72CFE">
      <w:pPr>
        <w:pStyle w:val="Heading5"/>
      </w:pPr>
      <w:bookmarkStart w:id="135" w:name="_Toc137829543"/>
      <w:bookmarkStart w:id="136" w:name="_Toc381119431"/>
      <w:bookmarkStart w:id="137" w:name="_Toc139028875"/>
      <w:r w:rsidRPr="001E7AA4">
        <w:t>2.2.5 Increased industry engagement in learning</w:t>
      </w:r>
      <w:bookmarkEnd w:id="135"/>
      <w:bookmarkEnd w:id="136"/>
      <w:bookmarkEnd w:id="137"/>
    </w:p>
    <w:p w14:paraId="18D7392A" w14:textId="162DAA3D" w:rsidR="00AF746C" w:rsidRPr="001E7AA4" w:rsidRDefault="00AF746C" w:rsidP="00DF2129">
      <w:pPr>
        <w:pStyle w:val="Quote"/>
      </w:pPr>
      <w:r w:rsidRPr="001E7AA4">
        <w:t>“</w:t>
      </w:r>
      <w:r w:rsidR="00DF2129" w:rsidRPr="001E7AA4">
        <w:t>Placement and WIL is essential to ensure that graduates are ready and employable. The more ‘real world</w:t>
      </w:r>
      <w:r w:rsidR="00C16C88" w:rsidRPr="001E7AA4">
        <w:t>’</w:t>
      </w:r>
      <w:r w:rsidR="00DF2129" w:rsidRPr="001E7AA4">
        <w:t xml:space="preserve"> skill application that is incorporated into </w:t>
      </w:r>
      <w:r w:rsidR="00DF2129" w:rsidRPr="001E7AA4">
        <w:lastRenderedPageBreak/>
        <w:t>tertiary programs, the better.</w:t>
      </w:r>
      <w:r w:rsidRPr="001E7AA4">
        <w:t xml:space="preserve">” </w:t>
      </w:r>
      <w:r w:rsidR="003E7410">
        <w:br/>
      </w:r>
      <w:r w:rsidRPr="001E7AA4">
        <w:t xml:space="preserve">– </w:t>
      </w:r>
      <w:r w:rsidR="00AD63B8" w:rsidRPr="001E7AA4">
        <w:t>Association of Australian Medical Research Institutes</w:t>
      </w:r>
    </w:p>
    <w:p w14:paraId="13B8C2A6" w14:textId="288C120B" w:rsidR="00AF746C" w:rsidRPr="001E7AA4" w:rsidRDefault="00AF746C" w:rsidP="00AF746C">
      <w:r w:rsidRPr="001E7AA4">
        <w:t>The 2021 Industry University Collaboration Review identified that access to high</w:t>
      </w:r>
      <w:r w:rsidR="7B7A0A1A" w:rsidRPr="001E7AA4">
        <w:t>-</w:t>
      </w:r>
      <w:r w:rsidRPr="001E7AA4">
        <w:t>quality industry experience is vital to ensuring that future graduates are work ready. It also highlighted that universities and businesses need to work together to give students access to practical work experience and real-world technology so they can develop the skills that industry needs.</w:t>
      </w:r>
      <w:r w:rsidRPr="001E7AA4">
        <w:rPr>
          <w:rStyle w:val="FootnoteReference"/>
        </w:rPr>
        <w:footnoteReference w:id="59"/>
      </w:r>
    </w:p>
    <w:p w14:paraId="32100B3C" w14:textId="5A213657" w:rsidR="00AF746C" w:rsidRPr="001E7AA4" w:rsidRDefault="00AF746C" w:rsidP="00AF746C">
      <w:pPr>
        <w:spacing w:line="240" w:lineRule="auto"/>
      </w:pPr>
      <w:r w:rsidRPr="001E7AA4">
        <w:t>New models of WIL delivery include Advanced Apprenticeships, which are being trialled by the Australian Government through the Women in STEM and Industry 4.0 programs at AQF 5 and 6 levels, and Degree-Apprenticeships programs which combine study with paid employment and work-based learning. Degree Apprenticeships are widely used in the U</w:t>
      </w:r>
      <w:r w:rsidR="005266E8" w:rsidRPr="001E7AA4">
        <w:t xml:space="preserve">nited Kingdom </w:t>
      </w:r>
      <w:r w:rsidRPr="001E7AA4">
        <w:t xml:space="preserve">and are currently being explored by several Australian universities and TAFE institutes. A growing range of providers </w:t>
      </w:r>
      <w:r w:rsidR="00000A8B" w:rsidRPr="001E7AA4">
        <w:t>are</w:t>
      </w:r>
      <w:r w:rsidR="00740006" w:rsidRPr="001E7AA4">
        <w:t xml:space="preserve"> </w:t>
      </w:r>
      <w:r w:rsidRPr="001E7AA4">
        <w:t xml:space="preserve">also developing and trialling the use of cadetships and work-based learning programs </w:t>
      </w:r>
      <w:r w:rsidR="002C6162" w:rsidRPr="001E7AA4">
        <w:t xml:space="preserve">that </w:t>
      </w:r>
      <w:r w:rsidRPr="001E7AA4">
        <w:t xml:space="preserve">combine work-based learning with study and bring together elements of both higher and vocational education course designs. Recent examples include the Flinders University partnership with BAE systems to develop a Diploma of Digital Technologies to support the </w:t>
      </w:r>
      <w:r w:rsidR="00F031EE" w:rsidRPr="001E7AA4">
        <w:t xml:space="preserve">ship </w:t>
      </w:r>
      <w:r w:rsidRPr="001E7AA4">
        <w:t xml:space="preserve">building workforce </w:t>
      </w:r>
      <w:r w:rsidR="00F031EE" w:rsidRPr="001E7AA4">
        <w:t xml:space="preserve">for Defence projects </w:t>
      </w:r>
      <w:r w:rsidRPr="001E7AA4">
        <w:t>in South Australia.</w:t>
      </w:r>
    </w:p>
    <w:p w14:paraId="2C8BC7BA" w14:textId="77777777" w:rsidR="00AF746C" w:rsidRPr="001E7AA4" w:rsidRDefault="00AF746C" w:rsidP="00F72CFE">
      <w:pPr>
        <w:pStyle w:val="Heading6"/>
      </w:pPr>
      <w:r w:rsidRPr="001E7AA4">
        <w:t>2.2.5.1 Lifting the quality and availability of WIL</w:t>
      </w:r>
    </w:p>
    <w:p w14:paraId="0979F6A0" w14:textId="77777777" w:rsidR="00AF746C" w:rsidRPr="001E7AA4" w:rsidRDefault="00AF746C" w:rsidP="00AF746C">
      <w:pPr>
        <w:rPr>
          <w:rStyle w:val="eop"/>
          <w:rFonts w:ascii="Calibri" w:hAnsi="Calibri" w:cs="Calibri"/>
          <w:color w:val="000000" w:themeColor="text1"/>
        </w:rPr>
      </w:pPr>
      <w:r w:rsidRPr="001E7AA4">
        <w:t xml:space="preserve">Reports produced over the past 10 years have shown a strong link between </w:t>
      </w:r>
      <w:r w:rsidRPr="001E7AA4">
        <w:rPr>
          <w:rStyle w:val="eop"/>
          <w:rFonts w:ascii="Calibri" w:hAnsi="Calibri" w:cs="Calibri"/>
          <w:color w:val="000000" w:themeColor="text1"/>
        </w:rPr>
        <w:t xml:space="preserve">WIL </w:t>
      </w:r>
      <w:r w:rsidRPr="001E7AA4">
        <w:t>and positive student, university and industry outcomes.</w:t>
      </w:r>
      <w:r w:rsidRPr="001E7AA4">
        <w:rPr>
          <w:rStyle w:val="FootnoteReference"/>
        </w:rPr>
        <w:footnoteReference w:id="60"/>
      </w:r>
      <w:r w:rsidRPr="001E7AA4">
        <w:t xml:space="preserve"> WIL builds </w:t>
      </w:r>
      <w:r w:rsidRPr="001E7AA4">
        <w:rPr>
          <w:rStyle w:val="eop"/>
          <w:rFonts w:ascii="Calibri" w:hAnsi="Calibri" w:cs="Calibri"/>
          <w:color w:val="000000" w:themeColor="text1"/>
        </w:rPr>
        <w:t>stronger connections to the workforce while studying and improves employability and career satisfaction. Young graduates (aged 25) in fields with a high prevalence of WIL learning report a higher level of satisfaction in their careers.</w:t>
      </w:r>
      <w:r w:rsidRPr="001E7AA4">
        <w:rPr>
          <w:rStyle w:val="FootnoteReference"/>
          <w:rFonts w:ascii="Calibri" w:hAnsi="Calibri" w:cs="Calibri"/>
          <w:color w:val="000000" w:themeColor="text1"/>
        </w:rPr>
        <w:footnoteReference w:id="61"/>
      </w:r>
    </w:p>
    <w:p w14:paraId="4634C36F" w14:textId="38FC2AC5" w:rsidR="005266E8" w:rsidRPr="00A904D3" w:rsidRDefault="005266E8" w:rsidP="00A904D3">
      <w:pPr>
        <w:pStyle w:val="Quote"/>
      </w:pPr>
      <w:r w:rsidRPr="00A904D3">
        <w:t xml:space="preserve">"For Australia to remain competitive now and into the future, our university graduates need to be work-ready, graduating with industry-relevant knowledge and skills, with the ability to apply them to add value in professional workplaces immediately upon graduation. Work Integrated Learning (WIL) supports students to do just that, by applying and deepening their degree learning in authentic work settings and contexts." </w:t>
      </w:r>
      <w:r w:rsidR="003E7410" w:rsidRPr="00A904D3">
        <w:br/>
      </w:r>
      <w:r w:rsidRPr="00A904D3">
        <w:t>– Swinburne University of Technology</w:t>
      </w:r>
    </w:p>
    <w:p w14:paraId="26F7199D" w14:textId="77777777" w:rsidR="00AF746C" w:rsidRPr="001E7AA4" w:rsidRDefault="00AF746C" w:rsidP="00AF746C">
      <w:r w:rsidRPr="001E7AA4">
        <w:t>The benefits of WIL are clear but there are numerous barriers preventing its uptake and broader implementation. Developing the necessary mutual understanding and meaningful relationships between universities and industry can require time, expertise and resources that are not always available. Both universities and industry have reported on the difficulty of managing multiple relationships that have individual requirements.</w:t>
      </w:r>
    </w:p>
    <w:p w14:paraId="709E6C6E" w14:textId="27DEF345" w:rsidR="00AF746C" w:rsidRPr="001E7AA4" w:rsidRDefault="00AF746C" w:rsidP="00AF746C">
      <w:r w:rsidRPr="001E7AA4">
        <w:lastRenderedPageBreak/>
        <w:t xml:space="preserve">Commonwealth, </w:t>
      </w:r>
      <w:r w:rsidR="00044486" w:rsidRPr="001E7AA4">
        <w:t>s</w:t>
      </w:r>
      <w:r w:rsidRPr="001E7AA4">
        <w:t xml:space="preserve">tate and </w:t>
      </w:r>
      <w:r w:rsidR="00044486" w:rsidRPr="001E7AA4">
        <w:t>t</w:t>
      </w:r>
      <w:r w:rsidRPr="001E7AA4">
        <w:t xml:space="preserve">erritory governments could support innovative models of WIL with flexibility in relation to regulatory and funding settings and willingness to allocate Commonwealth supported and funded training places to them in areas of priority skills demand. In particular, new models in higher education seeking to combine study and paid employment do not have the same support as VET apprenticeships that are underpinned by National Training Contracts and industrial relations protections. </w:t>
      </w:r>
    </w:p>
    <w:p w14:paraId="08B2B458" w14:textId="77777777" w:rsidR="00AF746C" w:rsidRPr="001E7AA4" w:rsidRDefault="00AF746C" w:rsidP="00AF746C">
      <w:r w:rsidRPr="001E7AA4">
        <w:t>Industry funding, capacity and uptake is another important consideration in increasing the prevalence of WIL. In fields with lower WIL participation, such as commerce, humanities and science, there is scope to increase industry engagement to provide more WIL experience.</w:t>
      </w:r>
    </w:p>
    <w:p w14:paraId="4ABD5B86" w14:textId="6DBC6517" w:rsidR="00AF746C" w:rsidRPr="001E7AA4" w:rsidRDefault="00AF746C" w:rsidP="00AF746C">
      <w:pPr>
        <w:spacing w:after="160" w:line="240" w:lineRule="auto"/>
      </w:pPr>
      <w:r w:rsidRPr="001E7AA4">
        <w:t xml:space="preserve">There is also a need to find more effective methods of organising placement in WIL, possibly through placement brokers working with students, employers (especially </w:t>
      </w:r>
      <w:r w:rsidR="00753D19" w:rsidRPr="001E7AA4">
        <w:t xml:space="preserve">small and medium-sized enterprises </w:t>
      </w:r>
      <w:r w:rsidR="00881BCF" w:rsidRPr="001E7AA4">
        <w:t>(</w:t>
      </w:r>
      <w:r w:rsidR="00753D19" w:rsidRPr="001E7AA4">
        <w:t>SMEs</w:t>
      </w:r>
      <w:r w:rsidR="00881BCF" w:rsidRPr="001E7AA4">
        <w:t>)</w:t>
      </w:r>
      <w:r w:rsidRPr="001E7AA4">
        <w:t>), and higher education institutions. Such a broker could be arranged to cover specific regions or disciplines.</w:t>
      </w:r>
    </w:p>
    <w:p w14:paraId="30DB8F6E" w14:textId="00FCFB55" w:rsidR="00D93BEF" w:rsidRPr="001E7AA4" w:rsidRDefault="00D93BEF" w:rsidP="00D93BEF">
      <w:pPr>
        <w:pStyle w:val="Quote"/>
      </w:pPr>
      <w:r w:rsidRPr="001E7AA4">
        <w:t xml:space="preserve">"One of the major hurdles to student completions in critical areas such as nursing, allied health and teaching is the successful completion of student placements. Too often this represents a key attrition trigger for students, particularly low SES students, who need to pause or give up paid work and sometimes relocate in order to complete the required hours." </w:t>
      </w:r>
      <w:r w:rsidR="003E7410">
        <w:br/>
      </w:r>
      <w:r w:rsidRPr="001E7AA4">
        <w:t>– Charles Darwin University</w:t>
      </w:r>
    </w:p>
    <w:p w14:paraId="5D6D0F6D" w14:textId="77777777" w:rsidR="00AF746C" w:rsidRPr="001E7AA4" w:rsidRDefault="3E543B58" w:rsidP="00F72CFE">
      <w:pPr>
        <w:pStyle w:val="Heading5"/>
      </w:pPr>
      <w:bookmarkStart w:id="138" w:name="_Toc136169142"/>
      <w:bookmarkStart w:id="139" w:name="_Toc137829544"/>
      <w:bookmarkStart w:id="140" w:name="_Toc786915264"/>
      <w:bookmarkStart w:id="141" w:name="_Toc139028876"/>
      <w:bookmarkEnd w:id="131"/>
      <w:r w:rsidRPr="001E7AA4">
        <w:t>2.2.6 Fast, stackable and portable skills pathways</w:t>
      </w:r>
      <w:bookmarkEnd w:id="138"/>
      <w:bookmarkEnd w:id="139"/>
      <w:bookmarkEnd w:id="140"/>
      <w:bookmarkEnd w:id="141"/>
    </w:p>
    <w:p w14:paraId="3BF5AA14" w14:textId="77777777" w:rsidR="00AF746C" w:rsidRPr="001E7AA4" w:rsidRDefault="00AF746C" w:rsidP="00AF746C">
      <w:pPr>
        <w:spacing w:after="160" w:line="240" w:lineRule="auto"/>
        <w:rPr>
          <w:rStyle w:val="normaltextrun"/>
          <w:rFonts w:ascii="Calibri" w:hAnsi="Calibri" w:cs="Calibri"/>
          <w:color w:val="000000" w:themeColor="text1"/>
        </w:rPr>
      </w:pPr>
      <w:r w:rsidRPr="001E7AA4">
        <w:t xml:space="preserve">Traditional degree qualifications do not always supply graduates with all the skills they need. </w:t>
      </w:r>
      <w:r w:rsidRPr="001E7AA4">
        <w:rPr>
          <w:rStyle w:val="normaltextrun"/>
          <w:rFonts w:ascii="Calibri" w:hAnsi="Calibri" w:cs="Calibri"/>
          <w:color w:val="000000" w:themeColor="text1"/>
        </w:rPr>
        <w:t xml:space="preserve">A model of linear progression mainly through three- and four-year degree programs is not sufficient to support the growing demand to update and refresh skills throughout a working lifetime.  </w:t>
      </w:r>
    </w:p>
    <w:p w14:paraId="5A8AA72B" w14:textId="2CAB1EE3" w:rsidR="00AF746C" w:rsidRPr="001E7AA4" w:rsidRDefault="00AF746C" w:rsidP="00AF746C">
      <w:pPr>
        <w:rPr>
          <w:rStyle w:val="normaltextrun"/>
          <w:rFonts w:ascii="Calibri" w:hAnsi="Calibri" w:cs="Calibri"/>
          <w:color w:val="000000" w:themeColor="text1"/>
        </w:rPr>
      </w:pPr>
      <w:r w:rsidRPr="001E7AA4">
        <w:t xml:space="preserve">The Review has heard evidence that there is growing need for people to update and refresh their skills, along with whatever foundational and enduring knowledge they develop from existing higher education and vocational qualifications. </w:t>
      </w:r>
      <w:r w:rsidRPr="001E7AA4">
        <w:rPr>
          <w:rStyle w:val="eop"/>
          <w:rFonts w:ascii="Calibri" w:hAnsi="Calibri" w:cs="Calibri"/>
          <w:color w:val="000000" w:themeColor="text1"/>
        </w:rPr>
        <w:t>Over the next two decades Australian workers will change jobs an estimated 2.4 times and it is estimated that tasks within Australian jobs will change by 18</w:t>
      </w:r>
      <w:r w:rsidRPr="001E7AA4" w:rsidDel="0002240E">
        <w:rPr>
          <w:rStyle w:val="eop"/>
          <w:rFonts w:ascii="Calibri" w:hAnsi="Calibri" w:cs="Calibri"/>
          <w:color w:val="000000" w:themeColor="text1"/>
        </w:rPr>
        <w:t>%</w:t>
      </w:r>
      <w:r w:rsidR="0002240E" w:rsidRPr="001E7AA4">
        <w:rPr>
          <w:rStyle w:val="eop"/>
          <w:rFonts w:ascii="Calibri" w:hAnsi="Calibri" w:cs="Calibri"/>
          <w:color w:val="000000" w:themeColor="text1"/>
        </w:rPr>
        <w:t xml:space="preserve"> </w:t>
      </w:r>
      <w:r w:rsidRPr="001E7AA4">
        <w:rPr>
          <w:rStyle w:val="eop"/>
          <w:rFonts w:ascii="Calibri" w:hAnsi="Calibri" w:cs="Calibri"/>
          <w:color w:val="000000" w:themeColor="text1"/>
        </w:rPr>
        <w:t>every decade, requiring workers who stay in their jobs to update their skills to navigate these changes.</w:t>
      </w:r>
      <w:r w:rsidRPr="001E7AA4">
        <w:rPr>
          <w:rStyle w:val="FootnoteReference"/>
          <w:rFonts w:ascii="Calibri" w:hAnsi="Calibri" w:cs="Calibri"/>
          <w:color w:val="000000" w:themeColor="text1"/>
        </w:rPr>
        <w:footnoteReference w:id="62"/>
      </w:r>
      <w:r w:rsidRPr="001E7AA4">
        <w:rPr>
          <w:rStyle w:val="eop"/>
          <w:rFonts w:ascii="Calibri" w:hAnsi="Calibri" w:cs="Calibri"/>
          <w:color w:val="000000" w:themeColor="text1"/>
        </w:rPr>
        <w:t xml:space="preserve"> </w:t>
      </w:r>
      <w:r w:rsidRPr="001E7AA4">
        <w:rPr>
          <w:rStyle w:val="normaltextrun"/>
          <w:rFonts w:ascii="Calibri" w:hAnsi="Calibri" w:cs="Calibri"/>
          <w:color w:val="000000" w:themeColor="text1"/>
        </w:rPr>
        <w:t>We cannot expect that people will take significant time out of the workforce to obtain the qualifications they need.</w:t>
      </w:r>
    </w:p>
    <w:p w14:paraId="4C1A9FCC" w14:textId="4579DC8D" w:rsidR="005902E2" w:rsidRPr="001E7AA4" w:rsidRDefault="005902E2" w:rsidP="005902E2">
      <w:pPr>
        <w:pStyle w:val="Quote"/>
      </w:pPr>
      <w:r w:rsidRPr="001E7AA4">
        <w:t xml:space="preserve">"Currently there is no incentive for mature age persons in full-time work to access education and reduce their income. Most mature age persons remain outside of the higher education system or do not take the opportunity to reskill because they have no other means of financial support outside of paid work." </w:t>
      </w:r>
      <w:r w:rsidR="00E61ECB">
        <w:br/>
      </w:r>
      <w:r w:rsidRPr="001E7AA4">
        <w:t>– La Trobe University</w:t>
      </w:r>
    </w:p>
    <w:p w14:paraId="143BF7A9" w14:textId="721D64F4" w:rsidR="00AF746C" w:rsidRPr="001E7AA4" w:rsidRDefault="00AF746C" w:rsidP="00AF746C">
      <w:pPr>
        <w:spacing w:after="160" w:line="240" w:lineRule="auto"/>
      </w:pPr>
      <w:r w:rsidRPr="001E7AA4">
        <w:rPr>
          <w:rStyle w:val="normaltextrun"/>
          <w:rFonts w:ascii="Calibri" w:hAnsi="Calibri" w:cs="Calibri"/>
          <w:color w:val="000000" w:themeColor="text1"/>
        </w:rPr>
        <w:t xml:space="preserve">The tertiary sector must adapt to facilitate growth in lifelong learning. Higher education </w:t>
      </w:r>
      <w:r w:rsidRPr="001E7AA4">
        <w:t>will need to provide multiple entry and exit points that allow people to develop skills and build to recognised credentials or qualifications in a modular, more ‘stackable’ way. This could encompass a wide range of qualification types across the tertiary sector, including undergraduate short</w:t>
      </w:r>
      <w:r w:rsidR="000C661D" w:rsidRPr="001E7AA4">
        <w:t xml:space="preserve"> </w:t>
      </w:r>
      <w:r w:rsidRPr="001E7AA4">
        <w:t xml:space="preserve">courses, microcredentials, cadetships or </w:t>
      </w:r>
      <w:r w:rsidR="000C5538" w:rsidRPr="001E7AA4">
        <w:t>WIL</w:t>
      </w:r>
      <w:r w:rsidRPr="001E7AA4">
        <w:t>, associate degrees, diploma</w:t>
      </w:r>
      <w:r w:rsidR="003C7A49" w:rsidRPr="001E7AA4">
        <w:t>-</w:t>
      </w:r>
      <w:r w:rsidRPr="001E7AA4">
        <w:t>level qualifications and advanced degrees.</w:t>
      </w:r>
    </w:p>
    <w:p w14:paraId="5B98DC78" w14:textId="77777777" w:rsidR="00AF746C" w:rsidRPr="001E7AA4" w:rsidRDefault="00AF746C" w:rsidP="00F72CFE">
      <w:pPr>
        <w:pStyle w:val="Heading6"/>
      </w:pPr>
      <w:r w:rsidRPr="001E7AA4">
        <w:lastRenderedPageBreak/>
        <w:t>2.2.6.1 The role of microcredentials</w:t>
      </w:r>
    </w:p>
    <w:p w14:paraId="124ECBC7" w14:textId="734D5C21" w:rsidR="00AF746C" w:rsidRDefault="00AF746C" w:rsidP="00AF746C">
      <w:r w:rsidRPr="001E7AA4">
        <w:t xml:space="preserve">Microcredentials have significant potential to provide stackable learning and training. Nationally and internationally recognised microcredentials are already being developed for this </w:t>
      </w:r>
      <w:r w:rsidR="0025011B" w:rsidRPr="001E7AA4">
        <w:t>purpose and</w:t>
      </w:r>
      <w:r w:rsidRPr="001E7AA4">
        <w:t xml:space="preserve"> are starting to be incorporated into Australia’s tertiary system. In New Zealand, the national qualification authority accredits microcredentials as well as assigning them credit points.</w:t>
      </w:r>
      <w:r w:rsidRPr="001E7AA4">
        <w:rPr>
          <w:rStyle w:val="FootnoteReference"/>
        </w:rPr>
        <w:footnoteReference w:id="63"/>
      </w:r>
      <w:r w:rsidRPr="001E7AA4">
        <w:t xml:space="preserve"> In the United Kingdom, the Government is trialling higher education short courses as part of its approach to delivering a new student finance product, designed to provide learners with shorter, flexible options to develop their skills</w:t>
      </w:r>
      <w:r w:rsidR="00617337" w:rsidRPr="001E7AA4">
        <w:t>.</w:t>
      </w:r>
      <w:r w:rsidRPr="001E7AA4">
        <w:rPr>
          <w:rStyle w:val="FootnoteReference"/>
        </w:rPr>
        <w:footnoteReference w:id="64"/>
      </w:r>
    </w:p>
    <w:tbl>
      <w:tblPr>
        <w:tblStyle w:val="CaseStudy0"/>
        <w:tblW w:w="0" w:type="auto"/>
        <w:tblLook w:val="04A0" w:firstRow="1" w:lastRow="0" w:firstColumn="1" w:lastColumn="0" w:noHBand="0" w:noVBand="1"/>
      </w:tblPr>
      <w:tblGrid>
        <w:gridCol w:w="9016"/>
      </w:tblGrid>
      <w:tr w:rsidR="00FC381C" w14:paraId="63A87454" w14:textId="77777777" w:rsidTr="00272CC8">
        <w:tc>
          <w:tcPr>
            <w:tcW w:w="9016" w:type="dxa"/>
          </w:tcPr>
          <w:p w14:paraId="61BBB4D2" w14:textId="77777777" w:rsidR="00FC381C" w:rsidRPr="00FD482C" w:rsidRDefault="00FC381C" w:rsidP="00FC381C">
            <w:pPr>
              <w:pStyle w:val="CaseStudy-Heading"/>
            </w:pPr>
            <w:r w:rsidRPr="00FD482C">
              <w:t>Case study: NSW Institutes of Applied Technology</w:t>
            </w:r>
          </w:p>
          <w:p w14:paraId="5E0364D5" w14:textId="23D4FF0E" w:rsidR="00FC381C" w:rsidRPr="001E7AA4" w:rsidRDefault="00FC381C" w:rsidP="00FC381C">
            <w:r w:rsidRPr="001E7AA4">
              <w:t>Following the 2020 Gonski-Shergold Review into the New South Wales (NSW) VET sector,</w:t>
            </w:r>
            <w:r w:rsidRPr="001E7AA4">
              <w:rPr>
                <w:rStyle w:val="FootnoteReference"/>
              </w:rPr>
              <w:footnoteReference w:id="65"/>
            </w:r>
            <w:r w:rsidRPr="001E7AA4">
              <w:t xml:space="preserve"> the NSW Government has supported the development of two Institutes of Applied Technology (IATs) focusing on the digital and construction industries, which are both underway. The IATs are established in partnership between industry, universities and TAFE to co-develop and co-deliver microcredentials with a focus on industry skills requirements and attracting students through innovative course design. Students merge the knowledge gained through university study with hands-on technical skills acquired through vocational education.</w:t>
            </w:r>
          </w:p>
          <w:p w14:paraId="43402043" w14:textId="77777777" w:rsidR="00FC381C" w:rsidRPr="001E7AA4" w:rsidRDefault="00FC381C" w:rsidP="00FC381C">
            <w:r w:rsidRPr="001E7AA4">
              <w:t>Submissions to the Review have illustrated the early successes of these programs. The IAT-Digital Foundation partners noted that through the IAT-D program there have been 11,968 enrolments with 5,100 students currently undertaking micro-skills in data analytics, cyber security, cloud computing and artificial intelligence (all critical and emerging areas of need).</w:t>
            </w:r>
            <w:r w:rsidRPr="001E7AA4">
              <w:rPr>
                <w:rStyle w:val="FootnoteReference"/>
              </w:rPr>
              <w:footnoteReference w:id="66"/>
            </w:r>
          </w:p>
          <w:p w14:paraId="72ACA0F9" w14:textId="43DD821A" w:rsidR="00FC381C" w:rsidRDefault="00FC381C" w:rsidP="00FC381C">
            <w:pPr>
              <w:spacing w:after="120"/>
            </w:pPr>
            <w:r w:rsidRPr="001E7AA4">
              <w:t>The Review welcomes this success and supports this level of innovation as a successful model for future collaboration between the education sector and industry partners.</w:t>
            </w:r>
          </w:p>
        </w:tc>
      </w:tr>
    </w:tbl>
    <w:p w14:paraId="41D5019A" w14:textId="6E15904A" w:rsidR="00AF746C" w:rsidRDefault="00490EEC" w:rsidP="00FC381C">
      <w:pPr>
        <w:pStyle w:val="Normal-AfterTable"/>
      </w:pPr>
      <w:r w:rsidRPr="001E7AA4">
        <w:t xml:space="preserve">The </w:t>
      </w:r>
      <w:r w:rsidR="00D21CB8" w:rsidRPr="001E7AA4">
        <w:t xml:space="preserve">Review </w:t>
      </w:r>
      <w:r w:rsidRPr="001E7AA4">
        <w:t>proposes to f</w:t>
      </w:r>
      <w:r w:rsidR="00AF746C" w:rsidRPr="001E7AA4">
        <w:t xml:space="preserve">urther consider </w:t>
      </w:r>
      <w:r w:rsidRPr="001E7AA4">
        <w:t xml:space="preserve">what changes </w:t>
      </w:r>
      <w:r w:rsidR="00AF746C" w:rsidRPr="001E7AA4">
        <w:t xml:space="preserve">should be </w:t>
      </w:r>
      <w:r w:rsidRPr="001E7AA4">
        <w:t xml:space="preserve">made </w:t>
      </w:r>
      <w:r w:rsidR="00AF746C" w:rsidRPr="001E7AA4">
        <w:t xml:space="preserve">to the funding, credit and regulatory </w:t>
      </w:r>
      <w:r w:rsidRPr="001E7AA4">
        <w:t xml:space="preserve">systems </w:t>
      </w:r>
      <w:r w:rsidR="00AF746C" w:rsidRPr="001E7AA4">
        <w:t xml:space="preserve">required to support students to undertake quality, stackable microcredentials in priority skills areas. </w:t>
      </w:r>
      <w:r w:rsidR="53FAC52B" w:rsidRPr="001E7AA4">
        <w:t xml:space="preserve">Similarly, the Review is considering how best to </w:t>
      </w:r>
      <w:r w:rsidR="0B724FE1" w:rsidRPr="001E7AA4">
        <w:t>recognise</w:t>
      </w:r>
      <w:r w:rsidR="00AF746C" w:rsidRPr="001E7AA4">
        <w:t xml:space="preserve"> </w:t>
      </w:r>
      <w:r w:rsidR="006C7E2E" w:rsidRPr="001E7AA4">
        <w:t xml:space="preserve">the need for </w:t>
      </w:r>
      <w:r w:rsidR="00AF746C" w:rsidRPr="001E7AA4">
        <w:t xml:space="preserve">microcredentials so learners can be confident that the skills they gain are recognisable and portable. </w:t>
      </w:r>
    </w:p>
    <w:p w14:paraId="65FAFDFE" w14:textId="267347E7" w:rsidR="00FD482C" w:rsidRPr="001E7AA4" w:rsidRDefault="00FD482C" w:rsidP="00FD482C">
      <w:pPr>
        <w:pStyle w:val="Pulloutboxes"/>
      </w:pPr>
      <w:r w:rsidRPr="00A904D3">
        <w:t>The Review proposes to further consider what changes should be made to the funding, credit and regulatory systems required to support students to undertake quality, stackable microcredentials in priority skills areas.</w:t>
      </w:r>
    </w:p>
    <w:p w14:paraId="23AB5B45" w14:textId="44885426" w:rsidR="00AF746C" w:rsidRPr="001E7AA4" w:rsidRDefault="00AF746C" w:rsidP="00AF746C">
      <w:pPr>
        <w:spacing w:before="120"/>
      </w:pPr>
      <w:r w:rsidRPr="001E7AA4">
        <w:t xml:space="preserve">To be a viable option for people to upskill and reskill, students and employers must be certain that the microcredentials are reputable. Public subsidies, including HELP, should only be provided for microcredentials that have proven quality and which address areas of skill need. </w:t>
      </w:r>
      <w:r w:rsidR="00EA6A5D" w:rsidRPr="001E7AA4">
        <w:t xml:space="preserve">The </w:t>
      </w:r>
      <w:r w:rsidRPr="001E7AA4">
        <w:t xml:space="preserve">work to establish a strong funding framework could be guided by the 2021 Australian Government Microcredentials Framework which provides guidance on the definition and quality standards of accredited microcredentials, including those that may receive public support. </w:t>
      </w:r>
    </w:p>
    <w:p w14:paraId="7FD9363C" w14:textId="77777777" w:rsidR="00AF746C" w:rsidRPr="001E7AA4" w:rsidRDefault="00AF746C" w:rsidP="00F72CFE">
      <w:pPr>
        <w:pStyle w:val="Heading6"/>
      </w:pPr>
      <w:r w:rsidRPr="001E7AA4">
        <w:lastRenderedPageBreak/>
        <w:t>2.2.6.2 Providing nested qualifications</w:t>
      </w:r>
    </w:p>
    <w:p w14:paraId="4B02A9A3" w14:textId="77777777" w:rsidR="00AF746C" w:rsidRDefault="00AF746C" w:rsidP="00AF746C">
      <w:pPr>
        <w:spacing w:after="160" w:line="240" w:lineRule="auto"/>
      </w:pPr>
      <w:r w:rsidRPr="001E7AA4">
        <w:t>The Review notes the recommendation of the Productivity Commission that opportunities to exit higher education with a nested qualification should be expanded.</w:t>
      </w:r>
      <w:r w:rsidRPr="001E7AA4">
        <w:rPr>
          <w:rStyle w:val="FootnoteReference"/>
        </w:rPr>
        <w:footnoteReference w:id="67"/>
      </w:r>
      <w:r w:rsidRPr="001E7AA4">
        <w:t xml:space="preserve"> The Review believes there is substantial merit in shorter, formally recognised qualifications that can provide upskilling opportunities for people, and which can also articulate into longer qualifications if people wish. </w:t>
      </w:r>
    </w:p>
    <w:tbl>
      <w:tblPr>
        <w:tblStyle w:val="CaseStudy0"/>
        <w:tblW w:w="0" w:type="auto"/>
        <w:tblLook w:val="04A0" w:firstRow="1" w:lastRow="0" w:firstColumn="1" w:lastColumn="0" w:noHBand="0" w:noVBand="1"/>
      </w:tblPr>
      <w:tblGrid>
        <w:gridCol w:w="9016"/>
      </w:tblGrid>
      <w:tr w:rsidR="00272CC8" w14:paraId="67E65CF1" w14:textId="77777777" w:rsidTr="00272CC8">
        <w:tc>
          <w:tcPr>
            <w:tcW w:w="9016" w:type="dxa"/>
          </w:tcPr>
          <w:p w14:paraId="364A6F9F" w14:textId="77777777" w:rsidR="00272CC8" w:rsidRPr="00FD482C" w:rsidRDefault="00272CC8" w:rsidP="00272CC8">
            <w:pPr>
              <w:pStyle w:val="CaseStudy-Heading"/>
            </w:pPr>
            <w:r w:rsidRPr="00FD482C">
              <w:t>Case study: Undergraduate Certificate</w:t>
            </w:r>
          </w:p>
          <w:p w14:paraId="60A90941" w14:textId="77777777" w:rsidR="00272CC8" w:rsidRPr="001E7AA4" w:rsidRDefault="00272CC8" w:rsidP="00272CC8">
            <w:r w:rsidRPr="001E7AA4">
              <w:t>The Undergraduate Certificate (UC) was introduced as an AQF qualification in 2020 to support Australians to reskill or upskill in anticipation of an expected economic downturn during the COVID-19 pandemic. UCs are 6 months of full-time study. To date, 8,865 have commenced a UC qualification and 3,229 have been completed. The most popular fields of study have been in education, health, agriculture and environmental studies and IT.</w:t>
            </w:r>
            <w:r w:rsidRPr="001E7AA4">
              <w:rPr>
                <w:rStyle w:val="FootnoteReference"/>
              </w:rPr>
              <w:footnoteReference w:id="68"/>
            </w:r>
            <w:r w:rsidRPr="001E7AA4">
              <w:t xml:space="preserve"> </w:t>
            </w:r>
          </w:p>
          <w:p w14:paraId="74512431" w14:textId="01E0F9D3" w:rsidR="00272CC8" w:rsidRDefault="00272CC8" w:rsidP="00272CC8">
            <w:pPr>
              <w:spacing w:after="120"/>
            </w:pPr>
            <w:r w:rsidRPr="001E7AA4">
              <w:t>UCs can also be awarded as an exit qualification for people who have completed the requirements of qualification nested within a longer course of study. This has the potential for people who attrite from a full course of study to nevertheless obtain a formal qualification.</w:t>
            </w:r>
            <w:r w:rsidRPr="001E7AA4">
              <w:rPr>
                <w:rStyle w:val="FootnoteReference"/>
              </w:rPr>
              <w:footnoteReference w:id="69"/>
            </w:r>
            <w:r w:rsidRPr="001E7AA4">
              <w:t xml:space="preserve"> UCs are still relatively new and are due to be formally reviewed by the end of 2024 to determine their suitability to become a permanent part of the AQF.</w:t>
            </w:r>
          </w:p>
        </w:tc>
      </w:tr>
    </w:tbl>
    <w:p w14:paraId="40ADA938" w14:textId="77777777" w:rsidR="00AF746C" w:rsidRPr="001E7AA4" w:rsidRDefault="3E543B58" w:rsidP="00F72CFE">
      <w:pPr>
        <w:pStyle w:val="Heading5"/>
      </w:pPr>
      <w:bookmarkStart w:id="142" w:name="_Toc136169143"/>
      <w:bookmarkStart w:id="143" w:name="_Toc137829545"/>
      <w:bookmarkStart w:id="144" w:name="_Toc1593126899"/>
      <w:bookmarkStart w:id="145" w:name="_Toc139028877"/>
      <w:r w:rsidRPr="001E7AA4">
        <w:t>2.2.7 National skills passport</w:t>
      </w:r>
      <w:bookmarkEnd w:id="142"/>
      <w:bookmarkEnd w:id="143"/>
      <w:bookmarkEnd w:id="144"/>
      <w:bookmarkEnd w:id="145"/>
    </w:p>
    <w:p w14:paraId="61418D27" w14:textId="0F267A28" w:rsidR="00AF746C" w:rsidRDefault="00AF746C" w:rsidP="00AF746C">
      <w:pPr>
        <w:spacing w:before="120"/>
      </w:pPr>
      <w:r w:rsidRPr="001E7AA4">
        <w:rPr>
          <w:rFonts w:ascii="Calibri" w:eastAsia="Calibri" w:hAnsi="Calibri" w:cs="Calibri"/>
          <w:color w:val="000000" w:themeColor="text1"/>
        </w:rPr>
        <w:t xml:space="preserve">Being able to navigate sectors and pathways will become increasingly important as people undertake more learning across their lifetime and engage more with shorter and modular forms of learning. </w:t>
      </w:r>
      <w:r w:rsidRPr="001E7AA4">
        <w:t>We should facilitate</w:t>
      </w:r>
      <w:r w:rsidR="00BA60E9" w:rsidRPr="001E7AA4">
        <w:t xml:space="preserve"> an</w:t>
      </w:r>
      <w:r w:rsidRPr="001E7AA4">
        <w:t xml:space="preserve"> individual’s ability to build a portfolio of credentials, potentially in the form of a skills passport. This could be used to demonstrate their skills to potential employers, as well a</w:t>
      </w:r>
      <w:r w:rsidR="00844F72" w:rsidRPr="001E7AA4">
        <w:t>s</w:t>
      </w:r>
      <w:r w:rsidRPr="001E7AA4">
        <w:t xml:space="preserve"> identify potential opportunities for further study.</w:t>
      </w:r>
    </w:p>
    <w:p w14:paraId="1EE02AE6" w14:textId="122482FF" w:rsidR="00FD482C" w:rsidRDefault="00FD482C" w:rsidP="00FD482C">
      <w:pPr>
        <w:pStyle w:val="Pulloutboxes"/>
      </w:pPr>
      <w:r w:rsidRPr="00454909">
        <w:t>The Review supports the idea of a national skills passport to help graduates impress their qualifications on employers, become more employable and achieve career progression.</w:t>
      </w:r>
    </w:p>
    <w:p w14:paraId="2AD0F9C5" w14:textId="6C187DCF" w:rsidR="00272CC8" w:rsidRDefault="00AF746C" w:rsidP="00454909">
      <w:pPr>
        <w:spacing w:before="120"/>
        <w:rPr>
          <w:rStyle w:val="normaltextrun"/>
          <w:rFonts w:ascii="Calibri" w:hAnsi="Calibri" w:cs="Calibri"/>
          <w:color w:val="000000"/>
          <w:shd w:val="clear" w:color="auto" w:fill="FFFFFF"/>
        </w:rPr>
      </w:pPr>
      <w:bookmarkStart w:id="146" w:name="_Toc135741137"/>
      <w:r w:rsidRPr="001E7AA4">
        <w:rPr>
          <w:rStyle w:val="normaltextrun"/>
          <w:rFonts w:ascii="Calibri" w:hAnsi="Calibri" w:cs="Calibri"/>
          <w:color w:val="000000"/>
          <w:shd w:val="clear" w:color="auto" w:fill="FFFFFF"/>
        </w:rPr>
        <w:t>A national skills passport could build on the National Credentials Platform (NCP) which aims to be a secure digital platform for students and graduates to access, compile, display, and share their higher education qualifications, microcredentials and general capabilities. Preliminary work on the NCP commenced in 2019, and included research to identify the needs of learners, employers and tertiary education providers in a potential NCP. Further development of the NCP would progress Australia towards international best practice, exemplified by Singapore’s unified credentials platform MySkillsFuture.</w:t>
      </w:r>
      <w:r w:rsidRPr="001E7AA4">
        <w:rPr>
          <w:rStyle w:val="FootnoteReference"/>
          <w:rFonts w:ascii="Calibri" w:hAnsi="Calibri" w:cs="Calibri"/>
          <w:color w:val="000000" w:themeColor="text1"/>
        </w:rPr>
        <w:footnoteReference w:id="70"/>
      </w:r>
    </w:p>
    <w:p w14:paraId="029F584D" w14:textId="77777777" w:rsidR="00272CC8" w:rsidRDefault="00272CC8">
      <w:pPr>
        <w:spacing w:after="160"/>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br w:type="page"/>
      </w:r>
    </w:p>
    <w:tbl>
      <w:tblPr>
        <w:tblStyle w:val="CaseStudy0"/>
        <w:tblW w:w="0" w:type="auto"/>
        <w:tblLook w:val="04A0" w:firstRow="1" w:lastRow="0" w:firstColumn="1" w:lastColumn="0" w:noHBand="0" w:noVBand="1"/>
      </w:tblPr>
      <w:tblGrid>
        <w:gridCol w:w="9016"/>
      </w:tblGrid>
      <w:tr w:rsidR="00272CC8" w14:paraId="56F7F6DC" w14:textId="77777777" w:rsidTr="00272CC8">
        <w:tc>
          <w:tcPr>
            <w:tcW w:w="9016" w:type="dxa"/>
          </w:tcPr>
          <w:p w14:paraId="4093289E" w14:textId="77777777" w:rsidR="00272CC8" w:rsidRPr="00FD482C" w:rsidRDefault="00272CC8" w:rsidP="00272CC8">
            <w:pPr>
              <w:pStyle w:val="CaseStudy-Heading"/>
            </w:pPr>
            <w:r w:rsidRPr="00FD482C">
              <w:lastRenderedPageBreak/>
              <w:t>Case study: Singapore Government’s MySkillsFuture</w:t>
            </w:r>
          </w:p>
          <w:p w14:paraId="688A0199" w14:textId="77777777" w:rsidR="00272CC8" w:rsidRPr="001E7AA4" w:rsidRDefault="00272CC8" w:rsidP="00272CC8">
            <w:r w:rsidRPr="001E7AA4">
              <w:t xml:space="preserve">MySkillsFuture is a comprehensive government portal that enables Singaporeans to make informed learning and career choices to pursue their skills and career development throughout their lifetime. The online portal connects learners with information on education and training opportunities, employment resources and job opportunities as well as providing insights on industries and potential educational pathways into gaining careers in those industries. </w:t>
            </w:r>
          </w:p>
          <w:p w14:paraId="116C405F" w14:textId="77777777" w:rsidR="00272CC8" w:rsidRPr="001E7AA4" w:rsidRDefault="00272CC8" w:rsidP="00272CC8">
            <w:r w:rsidRPr="001E7AA4">
              <w:t>The Skills Passport is part of MySkillsFuture which allows students’ skills (language, technical, competencies), certificates (education and/or professional) and licences (driving, vocational). Information stored in the Skills Passport can be used to build a professional profile which can be shared with employers.</w:t>
            </w:r>
          </w:p>
          <w:p w14:paraId="51161387" w14:textId="4FCD2AE3" w:rsidR="00272CC8" w:rsidRPr="00272CC8" w:rsidRDefault="00272CC8" w:rsidP="00272CC8">
            <w:pPr>
              <w:spacing w:after="120"/>
              <w:rPr>
                <w:rFonts w:ascii="Calibri" w:hAnsi="Calibri" w:cs="Calibri"/>
                <w:color w:val="000000"/>
                <w:shd w:val="clear" w:color="auto" w:fill="FFFFFF"/>
              </w:rPr>
            </w:pPr>
            <w:r w:rsidRPr="001E7AA4">
              <w:t>The Review considers that a similar approach that brings together the disparate information available to learners in one platform and links to a national skills passport could be adopted in Australia.</w:t>
            </w:r>
          </w:p>
        </w:tc>
      </w:tr>
    </w:tbl>
    <w:p w14:paraId="6E73E3C2" w14:textId="77777777" w:rsidR="00AF746C" w:rsidRPr="001E7AA4" w:rsidRDefault="3E543B58" w:rsidP="00F72CFE">
      <w:pPr>
        <w:pStyle w:val="Heading5"/>
      </w:pPr>
      <w:bookmarkStart w:id="147" w:name="_Toc136169148"/>
      <w:bookmarkStart w:id="148" w:name="_Toc137829546"/>
      <w:bookmarkStart w:id="149" w:name="_Toc1216072140"/>
      <w:bookmarkStart w:id="150" w:name="_Toc139028878"/>
      <w:bookmarkEnd w:id="146"/>
      <w:r w:rsidRPr="001E7AA4">
        <w:t>2.2.8 Helping students understand and navigate pathways</w:t>
      </w:r>
      <w:bookmarkEnd w:id="147"/>
      <w:bookmarkEnd w:id="148"/>
      <w:bookmarkEnd w:id="149"/>
      <w:bookmarkEnd w:id="150"/>
    </w:p>
    <w:p w14:paraId="6EF5749F" w14:textId="6F0ED514" w:rsidR="00AF746C" w:rsidRPr="001E7AA4" w:rsidRDefault="00AF746C" w:rsidP="00F84D79">
      <w:pPr>
        <w:pStyle w:val="Quote"/>
      </w:pPr>
      <w:r w:rsidRPr="001E7AA4">
        <w:t>“</w:t>
      </w:r>
      <w:r w:rsidR="00F84D79" w:rsidRPr="001E7AA4">
        <w:t>By supporting those students who may not otherwise have attended university, TAFEs are both enhancing the diversity of and expanding the tertiary education sector through the provision of new and innovative pathways into higher education</w:t>
      </w:r>
      <w:r w:rsidR="00C764B5" w:rsidRPr="001E7AA4">
        <w:t>.</w:t>
      </w:r>
      <w:r w:rsidRPr="001E7AA4">
        <w:t xml:space="preserve">” </w:t>
      </w:r>
      <w:r w:rsidR="00E61ECB">
        <w:br/>
      </w:r>
      <w:r w:rsidR="00102FE6" w:rsidRPr="001E7AA4">
        <w:t>–</w:t>
      </w:r>
      <w:r w:rsidRPr="001E7AA4">
        <w:t xml:space="preserve"> </w:t>
      </w:r>
      <w:r w:rsidR="004206DF" w:rsidRPr="001E7AA4">
        <w:t>TAFE Directors Australia</w:t>
      </w:r>
    </w:p>
    <w:p w14:paraId="5987EE5F" w14:textId="4C2D776E" w:rsidR="00AF746C" w:rsidRPr="001E7AA4" w:rsidRDefault="00AF746C" w:rsidP="00AF746C">
      <w:r w:rsidRPr="001E7AA4">
        <w:t>Navigating pathways in and across the tertiary education sector is needlessly complicated for students. Information available to students is spread across too many disparate platforms to be useful. Linkages to careers advice or occupational information is inconsistent and difficult for students to identify potential skilling needs and opportunities. More accessible and navigable information, including digital platforms that identify learning opportunities, could be unified across higher education and VET to better support students better pursue pathways across the tertiary education sector that suit their circumstances. Government websites that identify upskilling and reskilling options across VET and higher education, and which identify potential links to careers</w:t>
      </w:r>
      <w:r w:rsidR="00DB43B3" w:rsidRPr="001E7AA4">
        <w:t>,</w:t>
      </w:r>
      <w:r w:rsidRPr="001E7AA4">
        <w:t xml:space="preserve"> must also connect</w:t>
      </w:r>
      <w:r w:rsidR="00770220" w:rsidRPr="001E7AA4">
        <w:t xml:space="preserve"> better</w:t>
      </w:r>
      <w:r w:rsidRPr="001E7AA4">
        <w:t xml:space="preserve">. This will improve learners’ ability to navigate available options and identify potential occupations of interest, </w:t>
      </w:r>
      <w:r w:rsidR="00770220" w:rsidRPr="001E7AA4">
        <w:t xml:space="preserve">and </w:t>
      </w:r>
      <w:r w:rsidRPr="001E7AA4">
        <w:t xml:space="preserve">then understand the skills required and how these can be obtained. </w:t>
      </w:r>
    </w:p>
    <w:p w14:paraId="4ED0A108" w14:textId="1FF80079" w:rsidR="00AF746C" w:rsidRPr="001E7AA4" w:rsidRDefault="00AF746C" w:rsidP="00AF746C">
      <w:r w:rsidRPr="001E7AA4">
        <w:t xml:space="preserve">Over time, the ASC integrated with a unified national credentials platform would allow digital access to </w:t>
      </w:r>
      <w:r w:rsidR="00C02045" w:rsidRPr="001E7AA4">
        <w:t>targeted</w:t>
      </w:r>
      <w:r w:rsidRPr="001E7AA4">
        <w:t xml:space="preserve"> information about different credentials and learning opportunities and the job opportunities they could be applied to. </w:t>
      </w:r>
    </w:p>
    <w:p w14:paraId="34BE86AD" w14:textId="22E6F2B9" w:rsidR="00AF746C" w:rsidRPr="001E7AA4" w:rsidRDefault="3E543B58" w:rsidP="00F72CFE">
      <w:pPr>
        <w:pStyle w:val="Heading5"/>
      </w:pPr>
      <w:bookmarkStart w:id="151" w:name="_Toc136169149"/>
      <w:bookmarkStart w:id="152" w:name="_Toc137829547"/>
      <w:bookmarkStart w:id="153" w:name="_Toc2089445567"/>
      <w:bookmarkStart w:id="154" w:name="_Toc139028879"/>
      <w:r w:rsidRPr="001E7AA4">
        <w:t>2.2.9 The role of migration in addressing skills needs</w:t>
      </w:r>
      <w:bookmarkEnd w:id="151"/>
      <w:bookmarkEnd w:id="152"/>
      <w:bookmarkEnd w:id="153"/>
      <w:bookmarkEnd w:id="154"/>
    </w:p>
    <w:p w14:paraId="52575B66" w14:textId="64FDD002" w:rsidR="002B015D" w:rsidRPr="001E7AA4" w:rsidRDefault="002B015D" w:rsidP="00AF746C">
      <w:r w:rsidRPr="001E7AA4">
        <w:t xml:space="preserve">Skilled migrants </w:t>
      </w:r>
      <w:r w:rsidR="00A54262" w:rsidRPr="001E7AA4">
        <w:t>play an important role in addressing Australia’s skills needs</w:t>
      </w:r>
      <w:r w:rsidR="00423B24" w:rsidRPr="001E7AA4">
        <w:t xml:space="preserve"> and will continue to do so in the future</w:t>
      </w:r>
      <w:r w:rsidR="00A54262" w:rsidRPr="001E7AA4">
        <w:t>.</w:t>
      </w:r>
      <w:r w:rsidR="00A86DBC" w:rsidRPr="001E7AA4">
        <w:t xml:space="preserve"> </w:t>
      </w:r>
    </w:p>
    <w:p w14:paraId="0C415B5D" w14:textId="074B98F9" w:rsidR="00AF746C" w:rsidRPr="001E7AA4" w:rsidRDefault="00AF746C" w:rsidP="00AF746C">
      <w:r w:rsidRPr="001E7AA4">
        <w:t xml:space="preserve">The extension of post-study work rights (PSWR) for international graduates with degrees corresponding to areas of skills shortage was announced at the Jobs and Skills Summit and will be implemented by the Department of Home Affairs from 1 July 2023. This will contribute to addressing </w:t>
      </w:r>
      <w:r w:rsidRPr="001E7AA4">
        <w:lastRenderedPageBreak/>
        <w:t xml:space="preserve">Australia’s critical skills shortage, </w:t>
      </w:r>
      <w:r w:rsidR="00092D40" w:rsidRPr="001E7AA4">
        <w:t xml:space="preserve">and </w:t>
      </w:r>
      <w:r w:rsidRPr="001E7AA4">
        <w:t>also contribute to the broader network of Australia’s international connections. </w:t>
      </w:r>
    </w:p>
    <w:p w14:paraId="17B4D0BF" w14:textId="27114186" w:rsidR="001B6836" w:rsidRDefault="001B6836" w:rsidP="001B6836">
      <w:pPr>
        <w:pStyle w:val="Quote"/>
      </w:pPr>
      <w:r w:rsidRPr="001B6836">
        <w:t xml:space="preserve">"[Overseas] students offer a significant source of talent to address the social needs of Australia particularly in terms of skills shortages and the development of new knowledge" </w:t>
      </w:r>
      <w:r w:rsidR="00E61ECB">
        <w:br/>
      </w:r>
      <w:r w:rsidRPr="001B6836">
        <w:t>- International Education Association of Australia</w:t>
      </w:r>
    </w:p>
    <w:p w14:paraId="425AC152" w14:textId="3C51584A" w:rsidR="00AF746C" w:rsidRPr="001E7AA4" w:rsidRDefault="00AF746C" w:rsidP="00AF746C">
      <w:r w:rsidRPr="001E7AA4">
        <w:t xml:space="preserve">The Government’s </w:t>
      </w:r>
      <w:r w:rsidR="00EC7E05">
        <w:t>M</w:t>
      </w:r>
      <w:r w:rsidRPr="001E7AA4">
        <w:t xml:space="preserve">igration </w:t>
      </w:r>
      <w:r w:rsidR="00EC7E05">
        <w:t>R</w:t>
      </w:r>
      <w:r w:rsidRPr="001E7AA4">
        <w:t xml:space="preserve">eview outline sets out policy directions regarding international students such as providing faster pathways to permanent residence for the skilled migrants and graduates Australia </w:t>
      </w:r>
      <w:r w:rsidR="00914141" w:rsidRPr="001E7AA4">
        <w:t>needs and</w:t>
      </w:r>
      <w:r w:rsidR="00524276" w:rsidRPr="001E7AA4">
        <w:t xml:space="preserve"> increasing integrity in the visa system</w:t>
      </w:r>
      <w:r w:rsidRPr="001E7AA4">
        <w:t>.</w:t>
      </w:r>
      <w:r w:rsidR="009058B0" w:rsidRPr="001E7AA4">
        <w:rPr>
          <w:rStyle w:val="FootnoteReference"/>
        </w:rPr>
        <w:footnoteReference w:id="71"/>
      </w:r>
      <w:r w:rsidRPr="001E7AA4">
        <w:t xml:space="preserve"> Ongoing investment</w:t>
      </w:r>
      <w:r w:rsidR="000801DF" w:rsidRPr="001E7AA4">
        <w:t xml:space="preserve"> in</w:t>
      </w:r>
      <w:r w:rsidRPr="001E7AA4">
        <w:t xml:space="preserve"> and support </w:t>
      </w:r>
      <w:r w:rsidR="0087215A" w:rsidRPr="001E7AA4">
        <w:t xml:space="preserve">for </w:t>
      </w:r>
      <w:r w:rsidRPr="001E7AA4">
        <w:t>educational pipelines that support key sectors and priorities for the government will ensure the ongoing safety and security of the workforce. </w:t>
      </w:r>
    </w:p>
    <w:p w14:paraId="2EB74C05" w14:textId="603C5DDB" w:rsidR="00AF746C" w:rsidRPr="001E7AA4" w:rsidRDefault="00AF746C" w:rsidP="00AF746C">
      <w:r w:rsidRPr="001E7AA4">
        <w:t>Industry attitudes towards hiring international students and graduates requires significant attention. Universities play a pivotal role in connect</w:t>
      </w:r>
      <w:r w:rsidR="004532E4" w:rsidRPr="001E7AA4">
        <w:t>ing</w:t>
      </w:r>
      <w:r w:rsidRPr="001E7AA4">
        <w:t xml:space="preserve"> industry with international students, including communicating the benefits of employing international students and addressing misinformation regarding international visa limitations. They also play a role in supporting international students who may not always be aware of what employment opportunities exist for them both during and post-study. Ensuring international students, particularly those studying in areas of Australia’s skills needs, are connected to industry throughout their education will facilitate better pathways into employment and therefore help meet workforce shortages. </w:t>
      </w:r>
    </w:p>
    <w:p w14:paraId="48EC1E81" w14:textId="7AD35E6C" w:rsidR="00AF746C" w:rsidRPr="001E7AA4" w:rsidRDefault="00045EB9" w:rsidP="00F72CFE">
      <w:pPr>
        <w:pStyle w:val="Heading5"/>
        <w:rPr>
          <w:rFonts w:ascii="Calibri" w:eastAsia="Calibri" w:hAnsi="Calibri" w:cs="Calibri"/>
          <w:sz w:val="22"/>
        </w:rPr>
      </w:pPr>
      <w:bookmarkStart w:id="155" w:name="_Toc139028880"/>
      <w:r w:rsidRPr="001E7AA4">
        <w:t>Considerations for change</w:t>
      </w:r>
      <w:bookmarkEnd w:id="155"/>
    </w:p>
    <w:p w14:paraId="7109C3F1" w14:textId="030B950C" w:rsidR="00060A85" w:rsidRPr="001E7AA4" w:rsidRDefault="00AF746C" w:rsidP="00FC48E8">
      <w:pPr>
        <w:spacing w:line="276" w:lineRule="auto"/>
      </w:pPr>
      <w:r w:rsidRPr="001E7AA4">
        <w:t xml:space="preserve">To ensure Australia’s skills and workforce needs can be met now and into the future, and to safeguard our national prosperity, </w:t>
      </w:r>
      <w:r w:rsidR="00490EEC" w:rsidRPr="001E7AA4">
        <w:t xml:space="preserve">the </w:t>
      </w:r>
      <w:r w:rsidR="004104C4" w:rsidRPr="001E7AA4">
        <w:t xml:space="preserve">Review </w:t>
      </w:r>
      <w:r w:rsidR="00490EEC" w:rsidRPr="001E7AA4">
        <w:t xml:space="preserve">will continue to give </w:t>
      </w:r>
      <w:r w:rsidRPr="001E7AA4">
        <w:t>consideration to</w:t>
      </w:r>
      <w:r w:rsidR="0026145E" w:rsidRPr="001E7AA4">
        <w:t xml:space="preserve"> the following policy areas</w:t>
      </w:r>
      <w:r w:rsidRPr="001E7AA4">
        <w:t>:</w:t>
      </w:r>
      <w:r w:rsidR="00490EEC" w:rsidRPr="001E7AA4">
        <w:rPr>
          <w:rFonts w:ascii="Calibri" w:eastAsia="Calibri" w:hAnsi="Calibri" w:cs="Calibri"/>
        </w:rPr>
        <w:t xml:space="preserve"> </w:t>
      </w:r>
    </w:p>
    <w:p w14:paraId="31DAE20B" w14:textId="77777777" w:rsidR="006241EF" w:rsidRPr="001E7AA4" w:rsidRDefault="15E36F61" w:rsidP="00A025B1">
      <w:pPr>
        <w:pStyle w:val="ListParagraph"/>
        <w:numPr>
          <w:ilvl w:val="0"/>
          <w:numId w:val="52"/>
        </w:numPr>
        <w:spacing w:after="0" w:line="240" w:lineRule="auto"/>
      </w:pPr>
      <w:r w:rsidRPr="001E7AA4">
        <w:t>new policy levers to enhance capability across the tertiary education sector, enabling it to respond rapidly to Australia’s skills needs and deliver the necessary numbers of graduates with professional, disciplinary and high order generic skills</w:t>
      </w:r>
    </w:p>
    <w:p w14:paraId="351E7DAA" w14:textId="77777777" w:rsidR="006241EF" w:rsidRPr="001E7AA4" w:rsidRDefault="15E36F61" w:rsidP="00A025B1">
      <w:pPr>
        <w:pStyle w:val="ListParagraph"/>
        <w:numPr>
          <w:ilvl w:val="0"/>
          <w:numId w:val="52"/>
        </w:numPr>
        <w:spacing w:after="0" w:line="240" w:lineRule="auto"/>
      </w:pPr>
      <w:r w:rsidRPr="001E7AA4">
        <w:t>the creation of a universal learning entitlement that helps all Australians access high-quality tertiary education and makes lifelong learning a reality</w:t>
      </w:r>
    </w:p>
    <w:p w14:paraId="6DC7A90A" w14:textId="77777777" w:rsidR="006241EF" w:rsidRPr="001E7AA4" w:rsidRDefault="15E36F61" w:rsidP="00A025B1">
      <w:pPr>
        <w:pStyle w:val="ListParagraph"/>
        <w:numPr>
          <w:ilvl w:val="0"/>
          <w:numId w:val="52"/>
        </w:numPr>
        <w:spacing w:after="0" w:line="240" w:lineRule="auto"/>
      </w:pPr>
      <w:r w:rsidRPr="001E7AA4">
        <w:t xml:space="preserve">examining new and effective mechanisms for rapid reskilling, including microcredentials </w:t>
      </w:r>
    </w:p>
    <w:p w14:paraId="1FACCD03" w14:textId="678F6EDD" w:rsidR="006241EF" w:rsidRPr="001E7AA4" w:rsidRDefault="15E36F61" w:rsidP="00A025B1">
      <w:pPr>
        <w:pStyle w:val="ListParagraph"/>
        <w:numPr>
          <w:ilvl w:val="0"/>
          <w:numId w:val="52"/>
        </w:numPr>
        <w:spacing w:after="0" w:line="240" w:lineRule="auto"/>
      </w:pPr>
      <w:r w:rsidRPr="001E7AA4">
        <w:t>improving the integration of higher education and VET to create new types of qualifications –</w:t>
      </w:r>
      <w:r w:rsidR="00EC7E05">
        <w:t xml:space="preserve"> </w:t>
      </w:r>
      <w:r w:rsidRPr="001E7AA4">
        <w:t>starting in areas of national priority – like clean energy, the care economy, and defence</w:t>
      </w:r>
    </w:p>
    <w:p w14:paraId="4341A09D" w14:textId="77777777" w:rsidR="006241EF" w:rsidRPr="001E7AA4" w:rsidRDefault="15E36F61" w:rsidP="00A025B1">
      <w:pPr>
        <w:pStyle w:val="ListParagraph"/>
        <w:numPr>
          <w:ilvl w:val="0"/>
          <w:numId w:val="52"/>
        </w:numPr>
        <w:spacing w:after="0" w:line="240" w:lineRule="auto"/>
      </w:pPr>
      <w:r w:rsidRPr="001E7AA4">
        <w:t xml:space="preserve">improving skills pathways by creating qualifications that are more modular, stackable and transferable between institutions and institution types </w:t>
      </w:r>
    </w:p>
    <w:p w14:paraId="47BB8D89" w14:textId="77777777" w:rsidR="006241EF" w:rsidRPr="001E7AA4" w:rsidRDefault="15E36F61" w:rsidP="00A025B1">
      <w:pPr>
        <w:pStyle w:val="ListParagraph"/>
        <w:numPr>
          <w:ilvl w:val="0"/>
          <w:numId w:val="52"/>
        </w:numPr>
        <w:spacing w:after="0" w:line="240" w:lineRule="auto"/>
      </w:pPr>
      <w:r w:rsidRPr="001E7AA4">
        <w:t>addressing barriers that prevent VET and higher education working together, especially in courses and institutions that involve both sectors</w:t>
      </w:r>
    </w:p>
    <w:p w14:paraId="0131AD32" w14:textId="180ADC66" w:rsidR="006241EF" w:rsidRPr="001E7AA4" w:rsidRDefault="15E36F61" w:rsidP="00A025B1">
      <w:pPr>
        <w:pStyle w:val="ListParagraph"/>
        <w:numPr>
          <w:ilvl w:val="0"/>
          <w:numId w:val="52"/>
        </w:numPr>
        <w:spacing w:after="0" w:line="240" w:lineRule="auto"/>
      </w:pPr>
      <w:r w:rsidRPr="001E7AA4">
        <w:t xml:space="preserve">using arrangements between industry, unions and governments to progress the recommendations of the </w:t>
      </w:r>
      <w:r w:rsidRPr="001E7AA4">
        <w:rPr>
          <w:i/>
          <w:iCs/>
        </w:rPr>
        <w:t>Review of the Australian Qualifications Framework</w:t>
      </w:r>
      <w:r w:rsidRPr="001E7AA4">
        <w:t xml:space="preserve"> – this should be a matter of priority</w:t>
      </w:r>
    </w:p>
    <w:p w14:paraId="69CE0445" w14:textId="2FC344EF" w:rsidR="006241EF" w:rsidRPr="001E7AA4" w:rsidRDefault="15E36F61" w:rsidP="00A025B1">
      <w:pPr>
        <w:pStyle w:val="ListParagraph"/>
        <w:numPr>
          <w:ilvl w:val="0"/>
          <w:numId w:val="52"/>
        </w:numPr>
        <w:spacing w:line="240" w:lineRule="auto"/>
      </w:pPr>
      <w:r w:rsidRPr="001E7AA4">
        <w:t>extending CSPs at some AQF levels to the TAFE sector in areas of crucial skill</w:t>
      </w:r>
      <w:r w:rsidR="006C4D42" w:rsidRPr="001E7AA4">
        <w:t>s</w:t>
      </w:r>
      <w:r w:rsidRPr="001E7AA4">
        <w:t xml:space="preserve"> need</w:t>
      </w:r>
    </w:p>
    <w:p w14:paraId="1F86B23F" w14:textId="6BCCB953" w:rsidR="006241EF" w:rsidRPr="001E7AA4" w:rsidRDefault="15E36F61" w:rsidP="00A025B1">
      <w:pPr>
        <w:pStyle w:val="ListParagraph"/>
        <w:numPr>
          <w:ilvl w:val="0"/>
          <w:numId w:val="52"/>
        </w:numPr>
        <w:spacing w:after="0" w:line="240" w:lineRule="auto"/>
      </w:pPr>
      <w:r w:rsidRPr="001E7AA4">
        <w:t>improving the RPL and relevant work experience through a national skills passport or similar mechanism</w:t>
      </w:r>
    </w:p>
    <w:p w14:paraId="0D70DE67" w14:textId="77777777" w:rsidR="006241EF" w:rsidRPr="001E7AA4" w:rsidRDefault="15E36F61" w:rsidP="00A025B1">
      <w:pPr>
        <w:pStyle w:val="ListParagraph"/>
        <w:numPr>
          <w:ilvl w:val="0"/>
          <w:numId w:val="52"/>
        </w:numPr>
        <w:spacing w:after="0" w:line="240" w:lineRule="auto"/>
      </w:pPr>
      <w:r w:rsidRPr="001E7AA4">
        <w:lastRenderedPageBreak/>
        <w:t>increasing the absorptive capacity of new knowledge by Australian employers through greater collaboration with universities</w:t>
      </w:r>
    </w:p>
    <w:p w14:paraId="3E10BBC8" w14:textId="6BE5AC61" w:rsidR="006241EF" w:rsidRPr="001E7AA4" w:rsidRDefault="006241EF" w:rsidP="00A025B1">
      <w:pPr>
        <w:pStyle w:val="ListParagraph"/>
        <w:numPr>
          <w:ilvl w:val="0"/>
          <w:numId w:val="52"/>
        </w:numPr>
        <w:spacing w:after="0" w:line="240" w:lineRule="auto"/>
      </w:pPr>
      <w:r w:rsidRPr="001E7AA4">
        <w:t>improving WIL and placements by providing participating students with better incentives and financial support</w:t>
      </w:r>
    </w:p>
    <w:p w14:paraId="5A385E95" w14:textId="06E97407" w:rsidR="006241EF" w:rsidRPr="001E7AA4" w:rsidRDefault="15E36F61" w:rsidP="00A025B1">
      <w:pPr>
        <w:pStyle w:val="ListParagraph"/>
        <w:numPr>
          <w:ilvl w:val="0"/>
          <w:numId w:val="52"/>
        </w:numPr>
        <w:spacing w:after="0" w:line="240" w:lineRule="auto"/>
      </w:pPr>
      <w:r w:rsidRPr="001E7AA4">
        <w:rPr>
          <w:rFonts w:ascii="Calibri" w:eastAsia="Calibri" w:hAnsi="Calibri" w:cs="Calibri"/>
        </w:rPr>
        <w:t xml:space="preserve">establishing a national </w:t>
      </w:r>
      <w:r w:rsidR="4C673B68" w:rsidRPr="001E7AA4">
        <w:rPr>
          <w:rFonts w:ascii="Calibri" w:eastAsia="Calibri" w:hAnsi="Calibri" w:cs="Calibri"/>
        </w:rPr>
        <w:t xml:space="preserve">jobs </w:t>
      </w:r>
      <w:r w:rsidRPr="001E7AA4">
        <w:rPr>
          <w:rFonts w:ascii="Calibri" w:eastAsia="Calibri" w:hAnsi="Calibri" w:cs="Calibri"/>
        </w:rPr>
        <w:t>broker system, to assist students to find work placements and part-time jobs in their fields of study.</w:t>
      </w:r>
    </w:p>
    <w:p w14:paraId="504C63B8" w14:textId="77777777" w:rsidR="0053014A" w:rsidRDefault="0053014A" w:rsidP="00513DF4">
      <w:pPr>
        <w:spacing w:after="0" w:line="240" w:lineRule="auto"/>
      </w:pPr>
    </w:p>
    <w:p w14:paraId="00DAC213" w14:textId="01345422" w:rsidR="0095563C" w:rsidRPr="00272CC8" w:rsidRDefault="0095563C" w:rsidP="00272CC8">
      <w:pPr>
        <w:pStyle w:val="BlueShadedBox-Body"/>
        <w:rPr>
          <w:rStyle w:val="Strong"/>
        </w:rPr>
      </w:pPr>
      <w:r w:rsidRPr="00272CC8">
        <w:rPr>
          <w:rStyle w:val="Strong"/>
        </w:rPr>
        <w:t>Potential proposals the Review may also consider for the Final Report, and that reflect the broad themes outlined above, include:</w:t>
      </w:r>
    </w:p>
    <w:p w14:paraId="635414EA" w14:textId="77777777" w:rsidR="0095563C" w:rsidRPr="006200D3" w:rsidRDefault="0095563C" w:rsidP="00560132">
      <w:pPr>
        <w:pStyle w:val="BlueShadedBox-Body"/>
        <w:spacing w:after="120"/>
      </w:pPr>
      <w:r w:rsidRPr="006200D3">
        <w:t>Increasing our understanding of future skills needs:</w:t>
      </w:r>
    </w:p>
    <w:p w14:paraId="2BB32FD3" w14:textId="77777777" w:rsidR="0095563C" w:rsidRPr="001E7AA4" w:rsidRDefault="0095563C" w:rsidP="00A025B1">
      <w:pPr>
        <w:pStyle w:val="BlueShadedBox-ListLetterstest"/>
        <w:numPr>
          <w:ilvl w:val="0"/>
          <w:numId w:val="25"/>
        </w:numPr>
        <w:ind w:left="570"/>
      </w:pPr>
      <w:r w:rsidRPr="001E7AA4">
        <w:t>utilising advice from JSA through a Tertiary Education Commission on Australia’s future skills needs and actions needed to meet them</w:t>
      </w:r>
    </w:p>
    <w:p w14:paraId="143E764A" w14:textId="77777777" w:rsidR="0095563C" w:rsidRPr="001E7AA4" w:rsidRDefault="0095563C" w:rsidP="00A025B1">
      <w:pPr>
        <w:pStyle w:val="BlueShadedBox-ListLetterstest"/>
        <w:numPr>
          <w:ilvl w:val="0"/>
          <w:numId w:val="25"/>
        </w:numPr>
        <w:ind w:left="570"/>
      </w:pPr>
      <w:r w:rsidRPr="001E7AA4">
        <w:t>improving workforce planning through mapping all AQF qualifications across higher education and VET, building on the ASC</w:t>
      </w:r>
    </w:p>
    <w:p w14:paraId="3B4CB70C" w14:textId="77777777" w:rsidR="0095563C" w:rsidRDefault="0095563C" w:rsidP="00A025B1">
      <w:pPr>
        <w:pStyle w:val="BlueShadedBox-ListLetterstest"/>
        <w:numPr>
          <w:ilvl w:val="0"/>
          <w:numId w:val="25"/>
        </w:numPr>
        <w:ind w:left="570"/>
      </w:pPr>
      <w:r w:rsidRPr="001E7AA4">
        <w:t>expanding and updating flexible modular qualifications and programs in key areas of workforce demand, with increased development of microcredentials, associate degrees and advanced diplomas.</w:t>
      </w:r>
    </w:p>
    <w:p w14:paraId="091709C0" w14:textId="77777777" w:rsidR="0095563C" w:rsidRDefault="0095563C" w:rsidP="00560132">
      <w:pPr>
        <w:pStyle w:val="BlueShadedBox-Body"/>
        <w:spacing w:after="120"/>
      </w:pPr>
      <w:r w:rsidRPr="006200D3">
        <w:t>Driving greater alignment and enhancing coordination and collaboration between the higher education and VET systems:</w:t>
      </w:r>
    </w:p>
    <w:p w14:paraId="53DDBBAD" w14:textId="03712090" w:rsidR="0095563C" w:rsidRPr="001E7AA4" w:rsidRDefault="0095563C" w:rsidP="00A025B1">
      <w:pPr>
        <w:pStyle w:val="BlueShadedBox-ListLetterstest"/>
        <w:numPr>
          <w:ilvl w:val="0"/>
          <w:numId w:val="26"/>
        </w:numPr>
        <w:ind w:left="570"/>
      </w:pPr>
      <w:r w:rsidRPr="001E7AA4">
        <w:t>governments, regulators, employers, labour movement, peak bodies for the professions and education institutions, working under an Accord process to increase systemic investment (from multiple sources)</w:t>
      </w:r>
    </w:p>
    <w:p w14:paraId="7C75CD23" w14:textId="77777777" w:rsidR="0095563C" w:rsidRPr="001E7AA4" w:rsidRDefault="0095563C" w:rsidP="00A025B1">
      <w:pPr>
        <w:pStyle w:val="BlueShadedBox-ListLetterstest"/>
        <w:numPr>
          <w:ilvl w:val="0"/>
          <w:numId w:val="26"/>
        </w:numPr>
        <w:ind w:left="570"/>
      </w:pPr>
      <w:r w:rsidRPr="001E7AA4">
        <w:t>increasing student mobility and pathways across sectors through cultural and institutional arrangements, enabling consistency in RPL and credit recognition and greater levels of course co-design with RPL built in</w:t>
      </w:r>
    </w:p>
    <w:p w14:paraId="4E4BAA21" w14:textId="77777777" w:rsidR="0095563C" w:rsidRPr="001E7AA4" w:rsidRDefault="0095563C" w:rsidP="00A025B1">
      <w:pPr>
        <w:pStyle w:val="BlueShadedBox-ListLetterstest"/>
        <w:numPr>
          <w:ilvl w:val="0"/>
          <w:numId w:val="26"/>
        </w:numPr>
        <w:ind w:left="570"/>
      </w:pPr>
      <w:r w:rsidRPr="001E7AA4">
        <w:t>extending eligibility for CSPs to other institutions, notably TAFEs</w:t>
      </w:r>
    </w:p>
    <w:p w14:paraId="47CA9BEA" w14:textId="77777777" w:rsidR="0095563C" w:rsidRPr="001E7AA4" w:rsidRDefault="0095563C" w:rsidP="00A025B1">
      <w:pPr>
        <w:pStyle w:val="BlueShadedBox-ListLetterstest"/>
        <w:numPr>
          <w:ilvl w:val="0"/>
          <w:numId w:val="26"/>
        </w:numPr>
        <w:ind w:left="570"/>
      </w:pPr>
      <w:r w:rsidRPr="001E7AA4">
        <w:t>developing better models of RPL and experience as part of training pathways, including establishing competency-based standards to accelerate skills development</w:t>
      </w:r>
    </w:p>
    <w:p w14:paraId="42CC3760" w14:textId="77777777" w:rsidR="0095563C" w:rsidRPr="001E7AA4" w:rsidRDefault="0095563C" w:rsidP="00A025B1">
      <w:pPr>
        <w:pStyle w:val="BlueShadedBox-ListLetterstest"/>
        <w:numPr>
          <w:ilvl w:val="0"/>
          <w:numId w:val="26"/>
        </w:numPr>
        <w:ind w:left="570"/>
      </w:pPr>
      <w:r w:rsidRPr="001E7AA4">
        <w:t>introducing Cooperative Skills Centres (modelled on the Cooperative Research Centres Program) as university/industry/union joint ventures for fast skilling up in areas of urgent industry need</w:t>
      </w:r>
    </w:p>
    <w:p w14:paraId="2F752FC6" w14:textId="77777777" w:rsidR="0095563C" w:rsidRPr="001E7AA4" w:rsidRDefault="0095563C" w:rsidP="00A025B1">
      <w:pPr>
        <w:pStyle w:val="BlueShadedBox-ListLetterstest"/>
        <w:numPr>
          <w:ilvl w:val="0"/>
          <w:numId w:val="26"/>
        </w:numPr>
        <w:ind w:left="570"/>
      </w:pPr>
      <w:r w:rsidRPr="001E7AA4">
        <w:t>requiring higher education and VET sectors to work together under a more aligned system.</w:t>
      </w:r>
    </w:p>
    <w:p w14:paraId="3DB686DC" w14:textId="668E4AC7" w:rsidR="0095563C" w:rsidRDefault="0095563C" w:rsidP="00560132">
      <w:pPr>
        <w:pStyle w:val="BlueShadedBox-Body"/>
        <w:spacing w:after="120"/>
      </w:pPr>
      <w:r w:rsidRPr="006200D3">
        <w:t xml:space="preserve">Ensuring rigorous, consistent levels of skill, knowledge and transferability of courses: </w:t>
      </w:r>
    </w:p>
    <w:p w14:paraId="1E608E26" w14:textId="77777777" w:rsidR="0095563C" w:rsidRPr="001E7AA4" w:rsidRDefault="0095563C" w:rsidP="00A025B1">
      <w:pPr>
        <w:pStyle w:val="BlueShadedBox-ListLetterstest"/>
        <w:numPr>
          <w:ilvl w:val="0"/>
          <w:numId w:val="27"/>
        </w:numPr>
        <w:ind w:left="570"/>
      </w:pPr>
      <w:r w:rsidRPr="001E7AA4">
        <w:t xml:space="preserve">progressing the intent of the recommendations from the </w:t>
      </w:r>
      <w:r w:rsidRPr="00272CC8">
        <w:rPr>
          <w:i/>
        </w:rPr>
        <w:t>Review of the Australian Qualifications Framework</w:t>
      </w:r>
      <w:r w:rsidRPr="001E7AA4">
        <w:t xml:space="preserve"> through arrangements with industry, unions and governments, as a matter of priority</w:t>
      </w:r>
    </w:p>
    <w:p w14:paraId="793A14AE" w14:textId="77777777" w:rsidR="0095563C" w:rsidRPr="001E7AA4" w:rsidRDefault="0095563C" w:rsidP="00A025B1">
      <w:pPr>
        <w:pStyle w:val="BlueShadedBox-ListLetterstest"/>
        <w:numPr>
          <w:ilvl w:val="0"/>
          <w:numId w:val="27"/>
        </w:numPr>
        <w:ind w:left="570"/>
      </w:pPr>
      <w:r w:rsidRPr="001E7AA4">
        <w:t>providing more flexible approaches to qualifications design that allows skill levels to be better recognised, including for microcredentials</w:t>
      </w:r>
    </w:p>
    <w:p w14:paraId="44383EFD" w14:textId="0FBCED0C" w:rsidR="00272CC8" w:rsidRDefault="0095563C" w:rsidP="00A025B1">
      <w:pPr>
        <w:pStyle w:val="BlueShadedBox-ListLetterstest"/>
        <w:numPr>
          <w:ilvl w:val="0"/>
          <w:numId w:val="27"/>
        </w:numPr>
        <w:ind w:left="570"/>
      </w:pPr>
      <w:r w:rsidRPr="001E7AA4">
        <w:t>developing a modular, stackable, integrated approach to qualification design, credit and articulation processes.</w:t>
      </w:r>
    </w:p>
    <w:p w14:paraId="5DDEA50C" w14:textId="77777777" w:rsidR="00272CC8" w:rsidRDefault="00272CC8">
      <w:pPr>
        <w:spacing w:after="160"/>
      </w:pPr>
      <w:r>
        <w:br w:type="page"/>
      </w:r>
    </w:p>
    <w:p w14:paraId="3CD5396A" w14:textId="77777777" w:rsidR="0095563C" w:rsidRDefault="0095563C" w:rsidP="00560132">
      <w:pPr>
        <w:pStyle w:val="BlueShadedBox-Body"/>
        <w:spacing w:after="120"/>
      </w:pPr>
      <w:r w:rsidRPr="006200D3">
        <w:lastRenderedPageBreak/>
        <w:t>Ensuring Australia’s workforce is absorbing and utilising new knowledge:</w:t>
      </w:r>
    </w:p>
    <w:p w14:paraId="5B08789D" w14:textId="77777777" w:rsidR="0095563C" w:rsidRPr="001E7AA4" w:rsidRDefault="0095563C" w:rsidP="00A025B1">
      <w:pPr>
        <w:pStyle w:val="BlueShadedBox-ListLetterstest"/>
        <w:numPr>
          <w:ilvl w:val="0"/>
          <w:numId w:val="28"/>
        </w:numPr>
        <w:ind w:left="570"/>
      </w:pPr>
      <w:r w:rsidRPr="001E7AA4">
        <w:t>encouraging higher education providers working with industry and leading-edge researchers to revise curricula on a regular basis to check for new knowledge inclusion  especially in high priority disciplines (utilising data and analysis from JSA and others as appropriate</w:t>
      </w:r>
    </w:p>
    <w:p w14:paraId="6F080875" w14:textId="77777777" w:rsidR="0095563C" w:rsidRDefault="0095563C" w:rsidP="00A025B1">
      <w:pPr>
        <w:pStyle w:val="BlueShadedBox-ListLetterstest"/>
        <w:numPr>
          <w:ilvl w:val="0"/>
          <w:numId w:val="28"/>
        </w:numPr>
        <w:ind w:left="570"/>
      </w:pPr>
      <w:r w:rsidRPr="001E7AA4">
        <w:t>increasing the absorptive capacity of Australian businesses through greater university-industry collaboration.</w:t>
      </w:r>
    </w:p>
    <w:p w14:paraId="22396026" w14:textId="77777777" w:rsidR="0095563C" w:rsidRDefault="0095563C" w:rsidP="00560132">
      <w:pPr>
        <w:pStyle w:val="BlueShadedBox-Body"/>
        <w:spacing w:after="120"/>
      </w:pPr>
      <w:r w:rsidRPr="006200D3">
        <w:t>Providing better access to, and support for, students undertaking WIL and placements:</w:t>
      </w:r>
    </w:p>
    <w:p w14:paraId="0E2A5E29" w14:textId="77777777" w:rsidR="0095563C" w:rsidRPr="001E7AA4" w:rsidRDefault="0095563C" w:rsidP="00A025B1">
      <w:pPr>
        <w:pStyle w:val="BlueShadedBox-ListLetterstest"/>
        <w:numPr>
          <w:ilvl w:val="0"/>
          <w:numId w:val="29"/>
        </w:numPr>
        <w:ind w:left="570"/>
      </w:pPr>
      <w:r w:rsidRPr="001E7AA4">
        <w:t xml:space="preserve">co-designing a framework to guide WIL and placement experience with higher education institutions, VET, industry, employers, professional accreditation bodies and governments </w:t>
      </w:r>
    </w:p>
    <w:p w14:paraId="0A6B01E5" w14:textId="77777777" w:rsidR="0095563C" w:rsidRPr="001E7AA4" w:rsidRDefault="0095563C" w:rsidP="00A025B1">
      <w:pPr>
        <w:pStyle w:val="BlueShadedBox-ListLetterstest"/>
        <w:numPr>
          <w:ilvl w:val="0"/>
          <w:numId w:val="29"/>
        </w:numPr>
        <w:ind w:left="570"/>
      </w:pPr>
      <w:r w:rsidRPr="001E7AA4">
        <w:t xml:space="preserve">providing appropriate financial support to students on compulsory placements, particularly to address urgent skills shortages </w:t>
      </w:r>
    </w:p>
    <w:p w14:paraId="13358FC7" w14:textId="46346E1B" w:rsidR="00FD482C" w:rsidRDefault="0095563C" w:rsidP="00A025B1">
      <w:pPr>
        <w:pStyle w:val="BlueShadedBox-ListLetterstest"/>
        <w:numPr>
          <w:ilvl w:val="0"/>
          <w:numId w:val="29"/>
        </w:numPr>
        <w:ind w:left="570"/>
      </w:pPr>
      <w:r w:rsidRPr="001E7AA4">
        <w:t>exploring pre-vocational ‘cadetship’ roles in key industries and models and pathways which support ‘earning while learning’ models in key industry sectors, such as advanced apprenticeships.</w:t>
      </w:r>
    </w:p>
    <w:p w14:paraId="074A28E3" w14:textId="77777777" w:rsidR="00A05474" w:rsidRPr="001E7AA4" w:rsidRDefault="00A05474">
      <w:pPr>
        <w:spacing w:after="160"/>
        <w:rPr>
          <w:rFonts w:ascii="Calibri" w:eastAsia="Calibri" w:hAnsi="Calibri" w:cs="Calibri"/>
          <w:b/>
          <w:color w:val="4472C4"/>
          <w:sz w:val="60"/>
          <w:szCs w:val="32"/>
        </w:rPr>
      </w:pPr>
      <w:r w:rsidRPr="001E7AA4">
        <w:rPr>
          <w:rFonts w:eastAsia="Calibri" w:cs="Calibri"/>
          <w:color w:val="4472C4"/>
        </w:rPr>
        <w:br w:type="page"/>
      </w:r>
    </w:p>
    <w:p w14:paraId="4659C85D" w14:textId="10753B90" w:rsidR="008B1A15" w:rsidRPr="001E7AA4" w:rsidRDefault="5BAAEE5A" w:rsidP="00F72CFE">
      <w:pPr>
        <w:pStyle w:val="Heading4"/>
      </w:pPr>
      <w:bookmarkStart w:id="156" w:name="_Toc137829549"/>
      <w:bookmarkStart w:id="157" w:name="_Toc1839912988"/>
      <w:bookmarkStart w:id="158" w:name="_Toc139028881"/>
      <w:r w:rsidRPr="001E7AA4">
        <w:lastRenderedPageBreak/>
        <w:t>2.3: Equity in participation, access and opportunity</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156"/>
      <w:bookmarkEnd w:id="157"/>
      <w:bookmarkEnd w:id="158"/>
      <w:r w:rsidRPr="001E7AA4">
        <w:t xml:space="preserve"> </w:t>
      </w:r>
    </w:p>
    <w:p w14:paraId="5B5B4040" w14:textId="77777777" w:rsidR="008B1A15" w:rsidRPr="001E7AA4" w:rsidRDefault="008B1A15" w:rsidP="008B1A15">
      <w:pPr>
        <w:pStyle w:val="Quote"/>
      </w:pPr>
    </w:p>
    <w:p w14:paraId="7D688374" w14:textId="55996693" w:rsidR="008B1A15" w:rsidRPr="001E7AA4" w:rsidRDefault="008B1A15" w:rsidP="008B1A15">
      <w:pPr>
        <w:pStyle w:val="Quote"/>
      </w:pPr>
      <w:r w:rsidRPr="001E7AA4">
        <w:t>“Australia needs a higher education system that offers the same opportunities regardless of someone’s location, financial circumstances, or cultural background</w:t>
      </w:r>
      <w:r w:rsidR="007B19D5" w:rsidRPr="001E7AA4">
        <w:t>.</w:t>
      </w:r>
      <w:r w:rsidRPr="001E7AA4">
        <w:t xml:space="preserve">” </w:t>
      </w:r>
      <w:r w:rsidR="003E7410">
        <w:br/>
      </w:r>
      <w:r w:rsidRPr="001E7AA4">
        <w:t>– Verity Firth</w:t>
      </w:r>
      <w:r w:rsidR="001A6F92" w:rsidRPr="001E7AA4">
        <w:t xml:space="preserve"> AM, Pro Vice-Chancellor</w:t>
      </w:r>
      <w:r w:rsidR="00E3562A" w:rsidRPr="001E7AA4">
        <w:t>,</w:t>
      </w:r>
      <w:r w:rsidR="001A6F92" w:rsidRPr="001E7AA4">
        <w:t xml:space="preserve"> University of Technology Sydney</w:t>
      </w:r>
    </w:p>
    <w:p w14:paraId="2D87FA05" w14:textId="77777777" w:rsidR="008B1A15" w:rsidRPr="001E7AA4" w:rsidRDefault="5BAAEE5A" w:rsidP="00F72CFE">
      <w:pPr>
        <w:pStyle w:val="Heading5"/>
      </w:pPr>
      <w:bookmarkStart w:id="159" w:name="_Toc137829550"/>
      <w:bookmarkStart w:id="160" w:name="_Toc1573477457"/>
      <w:bookmarkStart w:id="161" w:name="_Toc139028882"/>
      <w:bookmarkStart w:id="162" w:name="_Toc136259191"/>
      <w:r w:rsidRPr="001E7AA4">
        <w:t>Issues</w:t>
      </w:r>
      <w:bookmarkEnd w:id="159"/>
      <w:bookmarkEnd w:id="160"/>
      <w:bookmarkEnd w:id="161"/>
      <w:r w:rsidRPr="001E7AA4">
        <w:t xml:space="preserve"> </w:t>
      </w:r>
      <w:bookmarkEnd w:id="162"/>
    </w:p>
    <w:p w14:paraId="0BEE2D70" w14:textId="2C5DDA5C" w:rsidR="00A1409A" w:rsidRPr="001E7AA4" w:rsidRDefault="00A1409A" w:rsidP="008B1A15">
      <w:r w:rsidRPr="001E7AA4">
        <w:t>Australian higher education attainment has risen significantly over the last 30 years, allowing millions of people who would otherwise have missed out to experience the transformative power</w:t>
      </w:r>
      <w:r w:rsidR="008B1A15" w:rsidRPr="001E7AA4">
        <w:t xml:space="preserve"> of higher education.</w:t>
      </w:r>
      <w:r w:rsidRPr="001E7AA4">
        <w:t xml:space="preserve"> This is a magnificent national achievement, </w:t>
      </w:r>
      <w:r w:rsidR="008B1A15" w:rsidRPr="001E7AA4">
        <w:t xml:space="preserve">but too many people are still missing out. Australia’s </w:t>
      </w:r>
      <w:r w:rsidRPr="001E7AA4">
        <w:t xml:space="preserve">increasingly diverse </w:t>
      </w:r>
      <w:r w:rsidR="008B1A15" w:rsidRPr="001E7AA4">
        <w:t xml:space="preserve">population is a </w:t>
      </w:r>
      <w:r w:rsidRPr="001E7AA4">
        <w:t>major</w:t>
      </w:r>
      <w:r w:rsidR="008B1A15" w:rsidRPr="001E7AA4">
        <w:t xml:space="preserve"> asset and </w:t>
      </w:r>
      <w:r w:rsidRPr="001E7AA4">
        <w:t xml:space="preserve">to succeed as a nation </w:t>
      </w:r>
      <w:r w:rsidR="008B1A15" w:rsidRPr="001E7AA4">
        <w:t xml:space="preserve">we must ensure that everyone, regardless of their background, financial circumstances or where they live, </w:t>
      </w:r>
      <w:r w:rsidRPr="001E7AA4">
        <w:t xml:space="preserve">can </w:t>
      </w:r>
      <w:r w:rsidR="002B1A6D" w:rsidRPr="001E7AA4">
        <w:t xml:space="preserve">participate </w:t>
      </w:r>
      <w:r w:rsidR="00C27BFA" w:rsidRPr="001E7AA4">
        <w:t>in</w:t>
      </w:r>
      <w:r w:rsidR="006408CE" w:rsidRPr="001E7AA4">
        <w:t>,</w:t>
      </w:r>
      <w:r w:rsidR="00C27BFA" w:rsidRPr="001E7AA4">
        <w:t xml:space="preserve"> </w:t>
      </w:r>
      <w:r w:rsidR="002B1A6D" w:rsidRPr="001E7AA4">
        <w:t xml:space="preserve">and </w:t>
      </w:r>
      <w:r w:rsidRPr="001E7AA4">
        <w:t>be empowered by</w:t>
      </w:r>
      <w:r w:rsidR="006408CE" w:rsidRPr="001E7AA4">
        <w:t>,</w:t>
      </w:r>
      <w:r w:rsidRPr="001E7AA4">
        <w:t xml:space="preserve"> </w:t>
      </w:r>
      <w:r w:rsidR="008B1A15" w:rsidRPr="001E7AA4">
        <w:t xml:space="preserve">higher education. </w:t>
      </w:r>
    </w:p>
    <w:p w14:paraId="19CF03FC" w14:textId="42FF1AB7" w:rsidR="008B1A15" w:rsidRPr="001E7AA4" w:rsidRDefault="00A1409A" w:rsidP="008B1A15">
      <w:pPr>
        <w:rPr>
          <w:rFonts w:ascii="Arial" w:eastAsia="Arial" w:hAnsi="Arial" w:cs="Arial"/>
        </w:rPr>
      </w:pPr>
      <w:r w:rsidRPr="001E7AA4">
        <w:t xml:space="preserve">This </w:t>
      </w:r>
      <w:r w:rsidR="00EA375F" w:rsidRPr="001E7AA4">
        <w:t xml:space="preserve">section </w:t>
      </w:r>
      <w:r w:rsidRPr="001E7AA4">
        <w:t xml:space="preserve">discusses several crucial issues. How can our higher education institutions </w:t>
      </w:r>
      <w:r w:rsidR="008B1A15" w:rsidRPr="001E7AA4">
        <w:t>provide a strong foundation for First Nations people to succeed</w:t>
      </w:r>
      <w:r w:rsidRPr="001E7AA4">
        <w:t xml:space="preserve"> and help us meet currently stalling Closing the Gap targets? How do we increase participation and advance student success for disadvantaged groups? What can we do to tackle the dismayingly high cost of living that deters many students and makes it difficult to continue their important and potentially life-transforming studies?</w:t>
      </w:r>
    </w:p>
    <w:p w14:paraId="5450D9DD" w14:textId="4FB0BB9E" w:rsidR="008B1A15" w:rsidRPr="001E7AA4" w:rsidRDefault="5BAAEE5A" w:rsidP="00F72CFE">
      <w:pPr>
        <w:pStyle w:val="Heading5"/>
      </w:pPr>
      <w:bookmarkStart w:id="163" w:name="_Toc136259193"/>
      <w:bookmarkStart w:id="164" w:name="_Toc137829551"/>
      <w:bookmarkStart w:id="165" w:name="_Toc92161189"/>
      <w:bookmarkStart w:id="166" w:name="_Toc139028883"/>
      <w:r w:rsidRPr="001E7AA4">
        <w:t xml:space="preserve">2.3.1 </w:t>
      </w:r>
      <w:bookmarkEnd w:id="163"/>
      <w:r w:rsidRPr="001E7AA4">
        <w:t>A system-wide approach to increasing access and equity</w:t>
      </w:r>
      <w:bookmarkEnd w:id="164"/>
      <w:bookmarkEnd w:id="165"/>
      <w:bookmarkEnd w:id="166"/>
    </w:p>
    <w:p w14:paraId="3CC2C5A2" w14:textId="0F125025" w:rsidR="008B1A15" w:rsidRPr="001E7AA4" w:rsidRDefault="00C70424" w:rsidP="008B1A15">
      <w:r w:rsidRPr="001E7AA4">
        <w:t xml:space="preserve">With a bigger higher education system, it </w:t>
      </w:r>
      <w:r w:rsidR="00A1409A" w:rsidRPr="001E7AA4">
        <w:t>must be made more accessible and equitable as a matter of urgency. Old approaches are not working</w:t>
      </w:r>
      <w:r w:rsidR="00914141" w:rsidRPr="001E7AA4">
        <w:t>,</w:t>
      </w:r>
      <w:r w:rsidR="00A1409A" w:rsidRPr="001E7AA4">
        <w:t xml:space="preserve"> and innovation and evidence must be employed in this important task. The challenge is stark. </w:t>
      </w:r>
      <w:r w:rsidR="008B1A15" w:rsidRPr="001E7AA4">
        <w:t>While 44.6</w:t>
      </w:r>
      <w:r w:rsidR="008B1A15" w:rsidRPr="001E7AA4" w:rsidDel="0002240E">
        <w:t>%</w:t>
      </w:r>
      <w:r w:rsidR="008B1A15" w:rsidRPr="001E7AA4">
        <w:t xml:space="preserve"> of people aged 25</w:t>
      </w:r>
      <w:r w:rsidR="003816FB" w:rsidRPr="001E7AA4">
        <w:t xml:space="preserve"> </w:t>
      </w:r>
      <w:r w:rsidR="008B1A15" w:rsidRPr="001E7AA4">
        <w:t>to</w:t>
      </w:r>
      <w:r w:rsidR="003816FB" w:rsidRPr="001E7AA4">
        <w:t xml:space="preserve"> </w:t>
      </w:r>
      <w:r w:rsidR="008B1A15" w:rsidRPr="001E7AA4">
        <w:t xml:space="preserve">34 years currently have bachelor-level knowledge and skills, this falls to </w:t>
      </w:r>
      <w:r w:rsidR="00465CA7" w:rsidRPr="001E7AA4">
        <w:t>32</w:t>
      </w:r>
      <w:r w:rsidR="008B1A15" w:rsidRPr="001E7AA4" w:rsidDel="0002240E">
        <w:t>%</w:t>
      </w:r>
      <w:r w:rsidR="0002240E" w:rsidRPr="001E7AA4">
        <w:t xml:space="preserve"> </w:t>
      </w:r>
      <w:r w:rsidR="008B1A15" w:rsidRPr="001E7AA4">
        <w:t xml:space="preserve">for </w:t>
      </w:r>
      <w:r w:rsidR="000E0622" w:rsidRPr="001E7AA4">
        <w:t>the whole population (</w:t>
      </w:r>
      <w:r w:rsidR="008B1A15" w:rsidRPr="001E7AA4">
        <w:t>those aged over 15</w:t>
      </w:r>
      <w:r w:rsidR="000E0622" w:rsidRPr="001E7AA4">
        <w:t>)</w:t>
      </w:r>
      <w:r w:rsidR="008B1A15" w:rsidRPr="001E7AA4">
        <w:t>.</w:t>
      </w:r>
      <w:r w:rsidR="006B0B0E" w:rsidRPr="001E7AA4">
        <w:rPr>
          <w:rStyle w:val="FootnoteReference"/>
        </w:rPr>
        <w:footnoteReference w:id="72"/>
      </w:r>
      <w:r w:rsidR="008B1A15" w:rsidRPr="001E7AA4">
        <w:t xml:space="preserve"> Only 17.3</w:t>
      </w:r>
      <w:r w:rsidR="008B1A15" w:rsidRPr="001E7AA4" w:rsidDel="0002240E">
        <w:t>%</w:t>
      </w:r>
      <w:r w:rsidR="0002240E" w:rsidRPr="001E7AA4">
        <w:t xml:space="preserve"> </w:t>
      </w:r>
      <w:r w:rsidR="008B1A15" w:rsidRPr="001E7AA4">
        <w:t>of people aged over 15 living in low</w:t>
      </w:r>
      <w:r w:rsidR="00DE4AF2" w:rsidRPr="001E7AA4">
        <w:t xml:space="preserve"> </w:t>
      </w:r>
      <w:r w:rsidR="008B1A15" w:rsidRPr="001E7AA4">
        <w:t>socioeconomic areas, 15.2</w:t>
      </w:r>
      <w:r w:rsidR="008B1A15" w:rsidRPr="001E7AA4" w:rsidDel="0002240E">
        <w:t>%</w:t>
      </w:r>
      <w:r w:rsidR="0002240E" w:rsidRPr="001E7AA4">
        <w:t xml:space="preserve"> </w:t>
      </w:r>
      <w:r w:rsidR="008B1A15" w:rsidRPr="001E7AA4">
        <w:t>of people living in regional and remote Australia</w:t>
      </w:r>
      <w:r w:rsidR="00A1409A" w:rsidRPr="001E7AA4">
        <w:t>,</w:t>
      </w:r>
      <w:r w:rsidR="008B1A15" w:rsidRPr="001E7AA4">
        <w:t xml:space="preserve"> and </w:t>
      </w:r>
      <w:r w:rsidR="00C02045" w:rsidRPr="001E7AA4">
        <w:t>only</w:t>
      </w:r>
      <w:r w:rsidR="008B1A15" w:rsidRPr="001E7AA4">
        <w:t xml:space="preserve"> 7.4</w:t>
      </w:r>
      <w:r w:rsidR="008B1A15" w:rsidRPr="001E7AA4" w:rsidDel="0002240E">
        <w:t>%</w:t>
      </w:r>
      <w:r w:rsidR="0002240E" w:rsidRPr="001E7AA4">
        <w:t xml:space="preserve"> </w:t>
      </w:r>
      <w:r w:rsidR="008B1A15" w:rsidRPr="001E7AA4">
        <w:t xml:space="preserve">of First Nations </w:t>
      </w:r>
      <w:r w:rsidR="000A1B62" w:rsidRPr="001E7AA4">
        <w:rPr>
          <w:rFonts w:ascii="Calibri" w:eastAsia="Calibri" w:hAnsi="Calibri" w:cs="Calibri"/>
        </w:rPr>
        <w:t xml:space="preserve">people </w:t>
      </w:r>
      <w:r w:rsidR="008B1A15" w:rsidRPr="001E7AA4">
        <w:t>have a bachelor degree.</w:t>
      </w:r>
      <w:r w:rsidR="005F472F" w:rsidRPr="001E7AA4">
        <w:rPr>
          <w:rStyle w:val="FootnoteReference"/>
        </w:rPr>
        <w:footnoteReference w:id="73"/>
      </w:r>
      <w:r w:rsidR="00A1409A" w:rsidRPr="001E7AA4">
        <w:t xml:space="preserve"> This inequity is unsustainable in a fast-evolving, knowledge-based global economy and society.</w:t>
      </w:r>
    </w:p>
    <w:p w14:paraId="2B492E38" w14:textId="63C6613F" w:rsidR="00A1409A" w:rsidRDefault="00A1409A" w:rsidP="008B1A15">
      <w:pPr>
        <w:rPr>
          <w:rStyle w:val="normaltextrun"/>
          <w:color w:val="000000" w:themeColor="text1"/>
        </w:rPr>
      </w:pPr>
      <w:r w:rsidRPr="001E7AA4">
        <w:t>I</w:t>
      </w:r>
      <w:r w:rsidR="008B1A15" w:rsidRPr="001E7AA4">
        <w:t xml:space="preserve">ncreasing participation </w:t>
      </w:r>
      <w:r w:rsidRPr="001E7AA4">
        <w:t xml:space="preserve">rates </w:t>
      </w:r>
      <w:r w:rsidR="008B1A15" w:rsidRPr="001E7AA4">
        <w:t xml:space="preserve">requires a deep commitment to student success. </w:t>
      </w:r>
      <w:r w:rsidRPr="001E7AA4">
        <w:t>Too m</w:t>
      </w:r>
      <w:r w:rsidR="008B1A15" w:rsidRPr="001E7AA4">
        <w:t xml:space="preserve">any students </w:t>
      </w:r>
      <w:r w:rsidRPr="001E7AA4">
        <w:t xml:space="preserve">with lesser means </w:t>
      </w:r>
      <w:r w:rsidR="008B1A15" w:rsidRPr="001E7AA4">
        <w:t>do not complete their studies</w:t>
      </w:r>
      <w:r w:rsidRPr="001E7AA4">
        <w:t xml:space="preserve"> due to financial and family pressures that combine to lure them back to full-time work. </w:t>
      </w:r>
      <w:r w:rsidR="008B1A15" w:rsidRPr="001E7AA4">
        <w:t>In 2020</w:t>
      </w:r>
      <w:r w:rsidR="009864FE" w:rsidRPr="001E7AA4">
        <w:t>,</w:t>
      </w:r>
      <w:r w:rsidR="008B1A15" w:rsidRPr="001E7AA4">
        <w:t xml:space="preserve"> 16</w:t>
      </w:r>
      <w:r w:rsidR="008B1A15" w:rsidRPr="001E7AA4" w:rsidDel="0002240E">
        <w:t>%</w:t>
      </w:r>
      <w:r w:rsidR="008B1A15" w:rsidRPr="001E7AA4">
        <w:t xml:space="preserve"> of low</w:t>
      </w:r>
      <w:r w:rsidR="000A4A85" w:rsidRPr="001E7AA4">
        <w:t xml:space="preserve"> </w:t>
      </w:r>
      <w:r w:rsidR="008B1A15" w:rsidRPr="001E7AA4">
        <w:t>SES commencing bachelor students left study without completing their course, compared to 14</w:t>
      </w:r>
      <w:r w:rsidR="008B1A15" w:rsidRPr="001E7AA4" w:rsidDel="0002240E">
        <w:t>%</w:t>
      </w:r>
      <w:r w:rsidR="0002240E" w:rsidRPr="001E7AA4">
        <w:t xml:space="preserve"> </w:t>
      </w:r>
      <w:r w:rsidR="008B1A15" w:rsidRPr="001E7AA4">
        <w:t>for medium SES and 9</w:t>
      </w:r>
      <w:r w:rsidR="008B1A15" w:rsidRPr="001E7AA4" w:rsidDel="0002240E">
        <w:t>%</w:t>
      </w:r>
      <w:r w:rsidR="0002240E" w:rsidRPr="001E7AA4">
        <w:t xml:space="preserve"> </w:t>
      </w:r>
      <w:r w:rsidR="008B1A15" w:rsidRPr="001E7AA4">
        <w:t>for high SES students.</w:t>
      </w:r>
      <w:r w:rsidR="00927C03" w:rsidRPr="001E7AA4">
        <w:rPr>
          <w:rStyle w:val="FootnoteReference"/>
        </w:rPr>
        <w:footnoteReference w:id="74"/>
      </w:r>
      <w:r w:rsidR="008B1A15" w:rsidRPr="001E7AA4">
        <w:t xml:space="preserve"> </w:t>
      </w:r>
      <w:r w:rsidRPr="001E7AA4">
        <w:t>Students from</w:t>
      </w:r>
      <w:r w:rsidR="008B1A15" w:rsidRPr="001E7AA4">
        <w:rPr>
          <w:rStyle w:val="normaltextrun"/>
          <w:color w:val="000000" w:themeColor="text1"/>
        </w:rPr>
        <w:t xml:space="preserve"> underrepresented background</w:t>
      </w:r>
      <w:r w:rsidRPr="001E7AA4">
        <w:rPr>
          <w:rStyle w:val="normaltextrun"/>
          <w:color w:val="000000" w:themeColor="text1"/>
        </w:rPr>
        <w:t>s</w:t>
      </w:r>
      <w:r w:rsidR="008B1A15" w:rsidRPr="001E7AA4">
        <w:rPr>
          <w:rStyle w:val="normaltextrun"/>
          <w:color w:val="000000" w:themeColor="text1"/>
        </w:rPr>
        <w:t xml:space="preserve"> </w:t>
      </w:r>
      <w:r w:rsidRPr="001E7AA4">
        <w:rPr>
          <w:rStyle w:val="normaltextrun"/>
          <w:color w:val="000000" w:themeColor="text1"/>
        </w:rPr>
        <w:t xml:space="preserve">are not spread evenly </w:t>
      </w:r>
      <w:r w:rsidR="008B1A15" w:rsidRPr="001E7AA4">
        <w:rPr>
          <w:rStyle w:val="normaltextrun"/>
          <w:color w:val="000000" w:themeColor="text1"/>
        </w:rPr>
        <w:t xml:space="preserve">across institutions (refer Table </w:t>
      </w:r>
      <w:r w:rsidR="002108BA" w:rsidRPr="001E7AA4">
        <w:rPr>
          <w:rStyle w:val="normaltextrun"/>
          <w:color w:val="000000" w:themeColor="text1"/>
        </w:rPr>
        <w:t>2.3-</w:t>
      </w:r>
      <w:r w:rsidR="008B1A15" w:rsidRPr="001E7AA4">
        <w:rPr>
          <w:rStyle w:val="normaltextrun"/>
          <w:color w:val="000000" w:themeColor="text1"/>
        </w:rPr>
        <w:t>1).</w:t>
      </w:r>
    </w:p>
    <w:p w14:paraId="1C565423" w14:textId="36E692BD" w:rsidR="0095563C" w:rsidRDefault="0095563C" w:rsidP="0095563C">
      <w:pPr>
        <w:pStyle w:val="Pulloutboxes"/>
        <w:rPr>
          <w:rStyle w:val="normaltextrun"/>
        </w:rPr>
      </w:pPr>
      <w:r w:rsidRPr="00F658A6">
        <w:rPr>
          <w:rStyle w:val="normaltextrun"/>
        </w:rPr>
        <w:t>Tackling this participation problem will require all institutions to actively support students from all backgrounds to enrol and succeed. Every part of the higher education system must set out to achieve greater equity.</w:t>
      </w:r>
    </w:p>
    <w:p w14:paraId="7396DDEE" w14:textId="5C64663B" w:rsidR="008B1A15" w:rsidRPr="001E7AA4" w:rsidRDefault="002108BA" w:rsidP="00E74934">
      <w:pPr>
        <w:pStyle w:val="Caption"/>
      </w:pPr>
      <w:r w:rsidRPr="001E7AA4">
        <w:lastRenderedPageBreak/>
        <w:t xml:space="preserve">Table </w:t>
      </w:r>
      <w:r w:rsidR="008B1A15" w:rsidRPr="001E7AA4">
        <w:t xml:space="preserve">2.3-1: Equity participation and representation in 2021 domestic undergraduate student population by institution affiliation.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266"/>
        <w:gridCol w:w="1569"/>
        <w:gridCol w:w="1620"/>
        <w:gridCol w:w="1500"/>
        <w:gridCol w:w="1410"/>
        <w:gridCol w:w="1620"/>
      </w:tblGrid>
      <w:tr w:rsidR="008B1A15" w:rsidRPr="001E7AA4" w14:paraId="2CB948E9" w14:textId="77777777" w:rsidTr="00BC654C">
        <w:trPr>
          <w:trHeight w:val="300"/>
        </w:trPr>
        <w:tc>
          <w:tcPr>
            <w:tcW w:w="1266" w:type="dxa"/>
            <w:tcBorders>
              <w:top w:val="single" w:sz="8" w:space="0" w:color="auto"/>
              <w:left w:val="single" w:sz="8" w:space="0" w:color="auto"/>
              <w:bottom w:val="single" w:sz="8" w:space="0" w:color="auto"/>
              <w:right w:val="single" w:sz="8" w:space="0" w:color="auto"/>
            </w:tcBorders>
            <w:shd w:val="clear" w:color="auto" w:fill="00254A" w:themeFill="text2"/>
            <w:vAlign w:val="center"/>
          </w:tcPr>
          <w:p w14:paraId="7DCCE8F2" w14:textId="77777777" w:rsidR="008B1A15" w:rsidRPr="001E7AA4" w:rsidRDefault="008B1A15" w:rsidP="0097318D">
            <w:r w:rsidRPr="001E7AA4">
              <w:rPr>
                <w:rFonts w:ascii="Calibri" w:eastAsia="Calibri" w:hAnsi="Calibri" w:cs="Calibri"/>
                <w:color w:val="FFFFFF" w:themeColor="background1"/>
              </w:rPr>
              <w:t xml:space="preserve">University Network </w:t>
            </w:r>
          </w:p>
        </w:tc>
        <w:tc>
          <w:tcPr>
            <w:tcW w:w="1569" w:type="dxa"/>
            <w:tcBorders>
              <w:top w:val="single" w:sz="8" w:space="0" w:color="auto"/>
              <w:left w:val="single" w:sz="8" w:space="0" w:color="auto"/>
              <w:bottom w:val="single" w:sz="8" w:space="0" w:color="auto"/>
              <w:right w:val="single" w:sz="8" w:space="0" w:color="auto"/>
            </w:tcBorders>
            <w:shd w:val="clear" w:color="auto" w:fill="00254A" w:themeFill="text2"/>
            <w:vAlign w:val="center"/>
          </w:tcPr>
          <w:p w14:paraId="391184ED" w14:textId="3135F661" w:rsidR="008B1A15" w:rsidRPr="001E7AA4" w:rsidRDefault="008B1A15" w:rsidP="0097318D">
            <w:pPr>
              <w:jc w:val="center"/>
              <w:rPr>
                <w:rFonts w:ascii="Calibri" w:eastAsia="Calibri" w:hAnsi="Calibri" w:cs="Calibri"/>
                <w:color w:val="FFFFFF" w:themeColor="background1"/>
              </w:rPr>
            </w:pPr>
            <w:r w:rsidRPr="001E7AA4">
              <w:rPr>
                <w:rFonts w:ascii="Calibri" w:eastAsia="Calibri" w:hAnsi="Calibri" w:cs="Calibri"/>
                <w:color w:val="FFFFFF" w:themeColor="background1"/>
              </w:rPr>
              <w:t>Low</w:t>
            </w:r>
            <w:r w:rsidR="00487B59" w:rsidRPr="001E7AA4">
              <w:rPr>
                <w:rFonts w:ascii="Calibri" w:eastAsia="Calibri" w:hAnsi="Calibri" w:cs="Calibri"/>
                <w:color w:val="FFFFFF" w:themeColor="background1"/>
              </w:rPr>
              <w:t xml:space="preserve"> </w:t>
            </w:r>
            <w:r w:rsidRPr="001E7AA4">
              <w:rPr>
                <w:rFonts w:ascii="Calibri" w:eastAsia="Calibri" w:hAnsi="Calibri" w:cs="Calibri"/>
                <w:color w:val="FFFFFF" w:themeColor="background1"/>
              </w:rPr>
              <w:t xml:space="preserve">SES </w:t>
            </w:r>
          </w:p>
        </w:tc>
        <w:tc>
          <w:tcPr>
            <w:tcW w:w="1620" w:type="dxa"/>
            <w:tcBorders>
              <w:top w:val="single" w:sz="8" w:space="0" w:color="auto"/>
              <w:left w:val="single" w:sz="8" w:space="0" w:color="auto"/>
              <w:bottom w:val="single" w:sz="8" w:space="0" w:color="auto"/>
              <w:right w:val="single" w:sz="8" w:space="0" w:color="auto"/>
            </w:tcBorders>
            <w:shd w:val="clear" w:color="auto" w:fill="00254A" w:themeFill="text2"/>
            <w:vAlign w:val="center"/>
          </w:tcPr>
          <w:p w14:paraId="7025390F" w14:textId="77777777" w:rsidR="008B1A15" w:rsidRPr="001E7AA4" w:rsidRDefault="008B1A15" w:rsidP="0097318D">
            <w:pPr>
              <w:jc w:val="center"/>
              <w:rPr>
                <w:rFonts w:ascii="Calibri" w:eastAsia="Calibri" w:hAnsi="Calibri" w:cs="Calibri"/>
                <w:color w:val="FFFFFF" w:themeColor="background1"/>
              </w:rPr>
            </w:pPr>
            <w:r w:rsidRPr="001E7AA4">
              <w:rPr>
                <w:rFonts w:ascii="Calibri" w:eastAsia="Calibri" w:hAnsi="Calibri" w:cs="Calibri"/>
                <w:color w:val="FFFFFF" w:themeColor="background1"/>
              </w:rPr>
              <w:t xml:space="preserve">Regional and Remote </w:t>
            </w:r>
          </w:p>
        </w:tc>
        <w:tc>
          <w:tcPr>
            <w:tcW w:w="1500" w:type="dxa"/>
            <w:tcBorders>
              <w:top w:val="single" w:sz="8" w:space="0" w:color="auto"/>
              <w:left w:val="single" w:sz="8" w:space="0" w:color="auto"/>
              <w:bottom w:val="single" w:sz="8" w:space="0" w:color="auto"/>
              <w:right w:val="single" w:sz="8" w:space="0" w:color="auto"/>
            </w:tcBorders>
            <w:shd w:val="clear" w:color="auto" w:fill="00254A" w:themeFill="text2"/>
            <w:vAlign w:val="center"/>
          </w:tcPr>
          <w:p w14:paraId="5F0AE0CB" w14:textId="77777777" w:rsidR="008B1A15" w:rsidRPr="001E7AA4" w:rsidRDefault="008B1A15" w:rsidP="0097318D">
            <w:pPr>
              <w:jc w:val="center"/>
              <w:rPr>
                <w:rFonts w:ascii="Calibri" w:eastAsia="Calibri" w:hAnsi="Calibri" w:cs="Calibri"/>
                <w:color w:val="FFFFFF" w:themeColor="background1"/>
              </w:rPr>
            </w:pPr>
            <w:r w:rsidRPr="001E7AA4">
              <w:rPr>
                <w:rFonts w:ascii="Calibri" w:eastAsia="Calibri" w:hAnsi="Calibri" w:cs="Calibri"/>
                <w:color w:val="FFFFFF" w:themeColor="background1"/>
              </w:rPr>
              <w:t xml:space="preserve">Students with disability </w:t>
            </w:r>
          </w:p>
        </w:tc>
        <w:tc>
          <w:tcPr>
            <w:tcW w:w="1410" w:type="dxa"/>
            <w:tcBorders>
              <w:top w:val="single" w:sz="8" w:space="0" w:color="auto"/>
              <w:left w:val="single" w:sz="8" w:space="0" w:color="auto"/>
              <w:bottom w:val="single" w:sz="8" w:space="0" w:color="auto"/>
              <w:right w:val="single" w:sz="8" w:space="0" w:color="auto"/>
            </w:tcBorders>
            <w:shd w:val="clear" w:color="auto" w:fill="00254A" w:themeFill="text2"/>
            <w:vAlign w:val="center"/>
          </w:tcPr>
          <w:p w14:paraId="3F5EBEC3" w14:textId="3721BE12" w:rsidR="008B1A15" w:rsidRPr="001E7AA4" w:rsidRDefault="13356D42" w:rsidP="0097318D">
            <w:pPr>
              <w:jc w:val="center"/>
              <w:rPr>
                <w:rFonts w:ascii="Calibri" w:eastAsia="Calibri" w:hAnsi="Calibri" w:cs="Calibri"/>
                <w:color w:val="FFFFFF" w:themeColor="background1"/>
              </w:rPr>
            </w:pPr>
            <w:r w:rsidRPr="001E7AA4">
              <w:rPr>
                <w:rFonts w:ascii="Calibri" w:eastAsia="Calibri" w:hAnsi="Calibri" w:cs="Calibri"/>
                <w:color w:val="FFFFFF" w:themeColor="background1"/>
              </w:rPr>
              <w:t>First Nations</w:t>
            </w:r>
          </w:p>
        </w:tc>
        <w:tc>
          <w:tcPr>
            <w:tcW w:w="1620" w:type="dxa"/>
            <w:tcBorders>
              <w:top w:val="single" w:sz="8" w:space="0" w:color="auto"/>
              <w:left w:val="single" w:sz="8" w:space="0" w:color="auto"/>
              <w:bottom w:val="single" w:sz="8" w:space="0" w:color="auto"/>
              <w:right w:val="single" w:sz="8" w:space="0" w:color="auto"/>
            </w:tcBorders>
            <w:shd w:val="clear" w:color="auto" w:fill="00254A" w:themeFill="text2"/>
            <w:vAlign w:val="center"/>
          </w:tcPr>
          <w:p w14:paraId="30C911B6" w14:textId="77777777" w:rsidR="008B1A15" w:rsidRPr="001E7AA4" w:rsidRDefault="008B1A15" w:rsidP="0097318D">
            <w:pPr>
              <w:jc w:val="center"/>
              <w:rPr>
                <w:rFonts w:ascii="Calibri" w:eastAsia="Calibri" w:hAnsi="Calibri" w:cs="Calibri"/>
                <w:color w:val="FFFFFF" w:themeColor="background1"/>
              </w:rPr>
            </w:pPr>
            <w:r w:rsidRPr="001E7AA4">
              <w:rPr>
                <w:rFonts w:ascii="Calibri" w:eastAsia="Calibri" w:hAnsi="Calibri" w:cs="Calibri"/>
                <w:color w:val="FFFFFF" w:themeColor="background1"/>
              </w:rPr>
              <w:t xml:space="preserve">Total Domestic Undergraduate Students </w:t>
            </w:r>
          </w:p>
        </w:tc>
      </w:tr>
      <w:tr w:rsidR="008B1A15" w:rsidRPr="001E7AA4" w14:paraId="16149EA9" w14:textId="77777777" w:rsidTr="00BC654C">
        <w:trPr>
          <w:trHeight w:val="300"/>
        </w:trPr>
        <w:tc>
          <w:tcPr>
            <w:tcW w:w="1266" w:type="dxa"/>
            <w:tcBorders>
              <w:top w:val="single" w:sz="8" w:space="0" w:color="auto"/>
              <w:left w:val="single" w:sz="8" w:space="0" w:color="auto"/>
              <w:bottom w:val="single" w:sz="8" w:space="0" w:color="auto"/>
              <w:right w:val="single" w:sz="8" w:space="0" w:color="auto"/>
            </w:tcBorders>
            <w:vAlign w:val="center"/>
          </w:tcPr>
          <w:p w14:paraId="5B2EEBA8" w14:textId="7E39B90E" w:rsidR="008B1A15" w:rsidRPr="001E7AA4" w:rsidRDefault="008B1A15" w:rsidP="0097318D">
            <w:r w:rsidRPr="001E7AA4">
              <w:rPr>
                <w:rFonts w:ascii="Calibri" w:eastAsia="Calibri" w:hAnsi="Calibri" w:cs="Calibri"/>
              </w:rPr>
              <w:t>G</w:t>
            </w:r>
            <w:r w:rsidR="00C03A97" w:rsidRPr="001E7AA4">
              <w:rPr>
                <w:rFonts w:ascii="Calibri" w:eastAsia="Calibri" w:hAnsi="Calibri" w:cs="Calibri"/>
              </w:rPr>
              <w:t xml:space="preserve">roup </w:t>
            </w:r>
            <w:r w:rsidRPr="001E7AA4">
              <w:rPr>
                <w:rFonts w:ascii="Calibri" w:eastAsia="Calibri" w:hAnsi="Calibri" w:cs="Calibri"/>
              </w:rPr>
              <w:t>o</w:t>
            </w:r>
            <w:r w:rsidR="00C03A97" w:rsidRPr="001E7AA4">
              <w:rPr>
                <w:rFonts w:ascii="Calibri" w:eastAsia="Calibri" w:hAnsi="Calibri" w:cs="Calibri"/>
              </w:rPr>
              <w:t>f Eight</w:t>
            </w:r>
            <w:r w:rsidRPr="001E7AA4">
              <w:rPr>
                <w:rFonts w:ascii="Calibri" w:eastAsia="Calibri" w:hAnsi="Calibri" w:cs="Calibri"/>
              </w:rPr>
              <w:t xml:space="preserve"> </w:t>
            </w:r>
          </w:p>
        </w:tc>
        <w:tc>
          <w:tcPr>
            <w:tcW w:w="1569" w:type="dxa"/>
            <w:tcBorders>
              <w:top w:val="single" w:sz="8" w:space="0" w:color="auto"/>
              <w:left w:val="single" w:sz="8" w:space="0" w:color="auto"/>
              <w:bottom w:val="single" w:sz="8" w:space="0" w:color="auto"/>
              <w:right w:val="single" w:sz="8" w:space="0" w:color="auto"/>
            </w:tcBorders>
            <w:vAlign w:val="center"/>
          </w:tcPr>
          <w:p w14:paraId="32138424" w14:textId="77777777" w:rsidR="008B1A15" w:rsidRPr="001E7AA4" w:rsidRDefault="008B1A15" w:rsidP="0097318D">
            <w:pPr>
              <w:jc w:val="center"/>
              <w:rPr>
                <w:rFonts w:ascii="Calibri" w:eastAsia="Calibri" w:hAnsi="Calibri" w:cs="Calibri"/>
                <w:color w:val="000000" w:themeColor="text1"/>
              </w:rPr>
            </w:pPr>
            <w:r w:rsidRPr="001E7AA4">
              <w:rPr>
                <w:rFonts w:ascii="Calibri" w:eastAsia="Calibri" w:hAnsi="Calibri" w:cs="Calibri"/>
                <w:color w:val="000000" w:themeColor="text1"/>
              </w:rPr>
              <w:t xml:space="preserve">10.4% </w:t>
            </w:r>
          </w:p>
        </w:tc>
        <w:tc>
          <w:tcPr>
            <w:tcW w:w="1620" w:type="dxa"/>
            <w:tcBorders>
              <w:top w:val="single" w:sz="8" w:space="0" w:color="auto"/>
              <w:left w:val="single" w:sz="8" w:space="0" w:color="auto"/>
              <w:bottom w:val="single" w:sz="8" w:space="0" w:color="auto"/>
              <w:right w:val="single" w:sz="8" w:space="0" w:color="auto"/>
            </w:tcBorders>
            <w:vAlign w:val="center"/>
          </w:tcPr>
          <w:p w14:paraId="31C13970" w14:textId="77777777" w:rsidR="008B1A15" w:rsidRPr="001E7AA4" w:rsidRDefault="008B1A15" w:rsidP="0097318D">
            <w:pPr>
              <w:jc w:val="center"/>
              <w:rPr>
                <w:rFonts w:ascii="Calibri" w:eastAsia="Calibri" w:hAnsi="Calibri" w:cs="Calibri"/>
                <w:color w:val="000000" w:themeColor="text1"/>
              </w:rPr>
            </w:pPr>
            <w:r w:rsidRPr="001E7AA4">
              <w:rPr>
                <w:rFonts w:ascii="Calibri" w:eastAsia="Calibri" w:hAnsi="Calibri" w:cs="Calibri"/>
                <w:color w:val="000000" w:themeColor="text1"/>
              </w:rPr>
              <w:t>11.0%</w:t>
            </w:r>
          </w:p>
        </w:tc>
        <w:tc>
          <w:tcPr>
            <w:tcW w:w="1500" w:type="dxa"/>
            <w:tcBorders>
              <w:top w:val="single" w:sz="8" w:space="0" w:color="auto"/>
              <w:left w:val="single" w:sz="8" w:space="0" w:color="auto"/>
              <w:bottom w:val="single" w:sz="8" w:space="0" w:color="auto"/>
              <w:right w:val="single" w:sz="8" w:space="0" w:color="auto"/>
            </w:tcBorders>
            <w:vAlign w:val="center"/>
          </w:tcPr>
          <w:p w14:paraId="5CC547CA" w14:textId="77777777" w:rsidR="008B1A15" w:rsidRPr="001E7AA4" w:rsidRDefault="008B1A15" w:rsidP="0097318D">
            <w:pPr>
              <w:jc w:val="center"/>
              <w:rPr>
                <w:rFonts w:ascii="Calibri" w:eastAsia="Calibri" w:hAnsi="Calibri" w:cs="Calibri"/>
                <w:color w:val="000000" w:themeColor="text1"/>
              </w:rPr>
            </w:pPr>
            <w:r w:rsidRPr="001E7AA4">
              <w:rPr>
                <w:rFonts w:ascii="Calibri" w:eastAsia="Calibri" w:hAnsi="Calibri" w:cs="Calibri"/>
                <w:color w:val="000000" w:themeColor="text1"/>
              </w:rPr>
              <w:t>11.8%</w:t>
            </w:r>
          </w:p>
        </w:tc>
        <w:tc>
          <w:tcPr>
            <w:tcW w:w="1410" w:type="dxa"/>
            <w:tcBorders>
              <w:top w:val="single" w:sz="8" w:space="0" w:color="auto"/>
              <w:left w:val="single" w:sz="8" w:space="0" w:color="auto"/>
              <w:bottom w:val="single" w:sz="8" w:space="0" w:color="auto"/>
              <w:right w:val="single" w:sz="8" w:space="0" w:color="auto"/>
            </w:tcBorders>
            <w:vAlign w:val="center"/>
          </w:tcPr>
          <w:p w14:paraId="176002E0" w14:textId="77777777" w:rsidR="008B1A15" w:rsidRPr="001E7AA4" w:rsidRDefault="008B1A15" w:rsidP="0097318D">
            <w:pPr>
              <w:jc w:val="center"/>
              <w:rPr>
                <w:rFonts w:ascii="Calibri" w:eastAsia="Calibri" w:hAnsi="Calibri" w:cs="Calibri"/>
                <w:color w:val="000000" w:themeColor="text1"/>
              </w:rPr>
            </w:pPr>
            <w:r w:rsidRPr="001E7AA4">
              <w:rPr>
                <w:rFonts w:ascii="Calibri" w:eastAsia="Calibri" w:hAnsi="Calibri" w:cs="Calibri"/>
                <w:color w:val="000000" w:themeColor="text1"/>
              </w:rPr>
              <w:t xml:space="preserve">1.1% </w:t>
            </w:r>
          </w:p>
        </w:tc>
        <w:tc>
          <w:tcPr>
            <w:tcW w:w="1620" w:type="dxa"/>
            <w:tcBorders>
              <w:top w:val="single" w:sz="8" w:space="0" w:color="auto"/>
              <w:left w:val="single" w:sz="8" w:space="0" w:color="auto"/>
              <w:bottom w:val="single" w:sz="8" w:space="0" w:color="auto"/>
              <w:right w:val="single" w:sz="8" w:space="0" w:color="auto"/>
            </w:tcBorders>
            <w:vAlign w:val="center"/>
          </w:tcPr>
          <w:p w14:paraId="595B13D4" w14:textId="77777777" w:rsidR="008B1A15" w:rsidRPr="001E7AA4" w:rsidRDefault="008B1A15" w:rsidP="0097318D">
            <w:pPr>
              <w:jc w:val="center"/>
              <w:rPr>
                <w:rFonts w:ascii="Calibri" w:eastAsia="Calibri" w:hAnsi="Calibri" w:cs="Calibri"/>
                <w:color w:val="000000" w:themeColor="text1"/>
              </w:rPr>
            </w:pPr>
            <w:r w:rsidRPr="001E7AA4">
              <w:rPr>
                <w:rFonts w:ascii="Calibri" w:eastAsia="Calibri" w:hAnsi="Calibri" w:cs="Calibri"/>
                <w:color w:val="000000" w:themeColor="text1"/>
              </w:rPr>
              <w:t xml:space="preserve">20.3% </w:t>
            </w:r>
          </w:p>
        </w:tc>
      </w:tr>
      <w:tr w:rsidR="008B1A15" w:rsidRPr="001E7AA4" w14:paraId="0CB252EC" w14:textId="77777777" w:rsidTr="00BC654C">
        <w:trPr>
          <w:trHeight w:val="300"/>
        </w:trPr>
        <w:tc>
          <w:tcPr>
            <w:tcW w:w="1266" w:type="dxa"/>
            <w:tcBorders>
              <w:top w:val="single" w:sz="8" w:space="0" w:color="auto"/>
              <w:left w:val="single" w:sz="8" w:space="0" w:color="auto"/>
              <w:bottom w:val="single" w:sz="8" w:space="0" w:color="auto"/>
              <w:right w:val="single" w:sz="8" w:space="0" w:color="auto"/>
            </w:tcBorders>
            <w:vAlign w:val="center"/>
          </w:tcPr>
          <w:p w14:paraId="3017696D" w14:textId="077D5BC7" w:rsidR="008B1A15" w:rsidRPr="001E7AA4" w:rsidRDefault="009C6D3A" w:rsidP="0097318D">
            <w:r w:rsidRPr="001E7AA4">
              <w:rPr>
                <w:rFonts w:ascii="Calibri" w:eastAsia="Calibri" w:hAnsi="Calibri" w:cs="Calibri"/>
              </w:rPr>
              <w:t>Innovative Research Universities</w:t>
            </w:r>
          </w:p>
        </w:tc>
        <w:tc>
          <w:tcPr>
            <w:tcW w:w="1569" w:type="dxa"/>
            <w:tcBorders>
              <w:top w:val="single" w:sz="8" w:space="0" w:color="auto"/>
              <w:left w:val="single" w:sz="8" w:space="0" w:color="auto"/>
              <w:bottom w:val="single" w:sz="8" w:space="0" w:color="auto"/>
              <w:right w:val="single" w:sz="8" w:space="0" w:color="auto"/>
            </w:tcBorders>
            <w:vAlign w:val="center"/>
          </w:tcPr>
          <w:p w14:paraId="0D343EA3" w14:textId="77777777" w:rsidR="008B1A15" w:rsidRPr="001E7AA4" w:rsidRDefault="008B1A15" w:rsidP="0097318D">
            <w:pPr>
              <w:jc w:val="center"/>
              <w:rPr>
                <w:rFonts w:ascii="Calibri" w:eastAsia="Calibri" w:hAnsi="Calibri" w:cs="Calibri"/>
                <w:color w:val="000000" w:themeColor="text1"/>
              </w:rPr>
            </w:pPr>
            <w:r w:rsidRPr="001E7AA4">
              <w:rPr>
                <w:rFonts w:ascii="Calibri" w:eastAsia="Calibri" w:hAnsi="Calibri" w:cs="Calibri"/>
                <w:color w:val="000000" w:themeColor="text1"/>
              </w:rPr>
              <w:t xml:space="preserve">22.2% </w:t>
            </w:r>
          </w:p>
        </w:tc>
        <w:tc>
          <w:tcPr>
            <w:tcW w:w="1620" w:type="dxa"/>
            <w:tcBorders>
              <w:top w:val="single" w:sz="8" w:space="0" w:color="auto"/>
              <w:left w:val="single" w:sz="8" w:space="0" w:color="auto"/>
              <w:bottom w:val="single" w:sz="8" w:space="0" w:color="auto"/>
              <w:right w:val="single" w:sz="8" w:space="0" w:color="auto"/>
            </w:tcBorders>
            <w:vAlign w:val="center"/>
          </w:tcPr>
          <w:p w14:paraId="2853A3FF" w14:textId="77777777" w:rsidR="008B1A15" w:rsidRPr="001E7AA4" w:rsidRDefault="008B1A15" w:rsidP="0097318D">
            <w:pPr>
              <w:jc w:val="center"/>
              <w:rPr>
                <w:rFonts w:ascii="Calibri" w:eastAsia="Calibri" w:hAnsi="Calibri" w:cs="Calibri"/>
                <w:color w:val="000000" w:themeColor="text1"/>
              </w:rPr>
            </w:pPr>
            <w:r w:rsidRPr="001E7AA4">
              <w:rPr>
                <w:rFonts w:ascii="Calibri" w:eastAsia="Calibri" w:hAnsi="Calibri" w:cs="Calibri"/>
                <w:color w:val="000000" w:themeColor="text1"/>
              </w:rPr>
              <w:t>22.5%</w:t>
            </w:r>
          </w:p>
        </w:tc>
        <w:tc>
          <w:tcPr>
            <w:tcW w:w="1500" w:type="dxa"/>
            <w:tcBorders>
              <w:top w:val="single" w:sz="8" w:space="0" w:color="auto"/>
              <w:left w:val="single" w:sz="8" w:space="0" w:color="auto"/>
              <w:bottom w:val="single" w:sz="8" w:space="0" w:color="auto"/>
              <w:right w:val="single" w:sz="8" w:space="0" w:color="auto"/>
            </w:tcBorders>
            <w:vAlign w:val="center"/>
          </w:tcPr>
          <w:p w14:paraId="2BC72AA1" w14:textId="77777777" w:rsidR="008B1A15" w:rsidRPr="001E7AA4" w:rsidRDefault="008B1A15" w:rsidP="0097318D">
            <w:pPr>
              <w:jc w:val="center"/>
              <w:rPr>
                <w:rFonts w:ascii="Calibri" w:eastAsia="Calibri" w:hAnsi="Calibri" w:cs="Calibri"/>
                <w:color w:val="000000" w:themeColor="text1"/>
              </w:rPr>
            </w:pPr>
            <w:r w:rsidRPr="001E7AA4">
              <w:rPr>
                <w:rFonts w:ascii="Calibri" w:eastAsia="Calibri" w:hAnsi="Calibri" w:cs="Calibri"/>
                <w:color w:val="000000" w:themeColor="text1"/>
              </w:rPr>
              <w:t>9.1%</w:t>
            </w:r>
          </w:p>
        </w:tc>
        <w:tc>
          <w:tcPr>
            <w:tcW w:w="1410" w:type="dxa"/>
            <w:tcBorders>
              <w:top w:val="single" w:sz="8" w:space="0" w:color="auto"/>
              <w:left w:val="single" w:sz="8" w:space="0" w:color="auto"/>
              <w:bottom w:val="single" w:sz="8" w:space="0" w:color="auto"/>
              <w:right w:val="single" w:sz="8" w:space="0" w:color="auto"/>
            </w:tcBorders>
            <w:vAlign w:val="center"/>
          </w:tcPr>
          <w:p w14:paraId="12BB36C9" w14:textId="77777777" w:rsidR="008B1A15" w:rsidRPr="001E7AA4" w:rsidRDefault="008B1A15" w:rsidP="0097318D">
            <w:pPr>
              <w:jc w:val="center"/>
              <w:rPr>
                <w:rFonts w:ascii="Calibri" w:eastAsia="Calibri" w:hAnsi="Calibri" w:cs="Calibri"/>
                <w:color w:val="000000" w:themeColor="text1"/>
              </w:rPr>
            </w:pPr>
            <w:r w:rsidRPr="001E7AA4">
              <w:rPr>
                <w:rFonts w:ascii="Calibri" w:eastAsia="Calibri" w:hAnsi="Calibri" w:cs="Calibri"/>
                <w:color w:val="000000" w:themeColor="text1"/>
              </w:rPr>
              <w:t xml:space="preserve">2.8% </w:t>
            </w:r>
          </w:p>
        </w:tc>
        <w:tc>
          <w:tcPr>
            <w:tcW w:w="1620" w:type="dxa"/>
            <w:tcBorders>
              <w:top w:val="single" w:sz="8" w:space="0" w:color="auto"/>
              <w:left w:val="single" w:sz="8" w:space="0" w:color="auto"/>
              <w:bottom w:val="single" w:sz="8" w:space="0" w:color="auto"/>
              <w:right w:val="single" w:sz="8" w:space="0" w:color="auto"/>
            </w:tcBorders>
            <w:vAlign w:val="center"/>
          </w:tcPr>
          <w:p w14:paraId="33317DC2" w14:textId="77777777" w:rsidR="008B1A15" w:rsidRPr="001E7AA4" w:rsidRDefault="008B1A15" w:rsidP="0097318D">
            <w:pPr>
              <w:jc w:val="center"/>
              <w:rPr>
                <w:rFonts w:ascii="Calibri" w:eastAsia="Calibri" w:hAnsi="Calibri" w:cs="Calibri"/>
                <w:color w:val="000000" w:themeColor="text1"/>
              </w:rPr>
            </w:pPr>
            <w:r w:rsidRPr="001E7AA4">
              <w:rPr>
                <w:rFonts w:ascii="Calibri" w:eastAsia="Calibri" w:hAnsi="Calibri" w:cs="Calibri"/>
                <w:color w:val="000000" w:themeColor="text1"/>
              </w:rPr>
              <w:t xml:space="preserve">16.4% </w:t>
            </w:r>
          </w:p>
        </w:tc>
      </w:tr>
      <w:tr w:rsidR="008B1A15" w:rsidRPr="001E7AA4" w14:paraId="2C6F8E83" w14:textId="77777777" w:rsidTr="00BC654C">
        <w:trPr>
          <w:trHeight w:val="300"/>
        </w:trPr>
        <w:tc>
          <w:tcPr>
            <w:tcW w:w="1266" w:type="dxa"/>
            <w:tcBorders>
              <w:top w:val="single" w:sz="8" w:space="0" w:color="auto"/>
              <w:left w:val="single" w:sz="8" w:space="0" w:color="auto"/>
              <w:bottom w:val="single" w:sz="8" w:space="0" w:color="auto"/>
              <w:right w:val="single" w:sz="8" w:space="0" w:color="auto"/>
            </w:tcBorders>
            <w:vAlign w:val="center"/>
          </w:tcPr>
          <w:p w14:paraId="3023DA3D" w14:textId="6F36A759" w:rsidR="008B1A15" w:rsidRPr="001E7AA4" w:rsidRDefault="00B11D85" w:rsidP="0097318D">
            <w:r w:rsidRPr="001E7AA4">
              <w:rPr>
                <w:rFonts w:ascii="Calibri" w:eastAsia="Calibri" w:hAnsi="Calibri" w:cs="Calibri"/>
              </w:rPr>
              <w:t>Australian Technology Network of Universities</w:t>
            </w:r>
          </w:p>
        </w:tc>
        <w:tc>
          <w:tcPr>
            <w:tcW w:w="1569" w:type="dxa"/>
            <w:tcBorders>
              <w:top w:val="single" w:sz="8" w:space="0" w:color="auto"/>
              <w:left w:val="single" w:sz="8" w:space="0" w:color="auto"/>
              <w:bottom w:val="single" w:sz="8" w:space="0" w:color="auto"/>
              <w:right w:val="single" w:sz="8" w:space="0" w:color="auto"/>
            </w:tcBorders>
            <w:vAlign w:val="center"/>
          </w:tcPr>
          <w:p w14:paraId="6A7819F8" w14:textId="77777777" w:rsidR="008B1A15" w:rsidRPr="001E7AA4" w:rsidRDefault="008B1A15" w:rsidP="0097318D">
            <w:pPr>
              <w:jc w:val="center"/>
              <w:rPr>
                <w:rFonts w:ascii="Calibri" w:eastAsia="Calibri" w:hAnsi="Calibri" w:cs="Calibri"/>
                <w:color w:val="000000" w:themeColor="text1"/>
              </w:rPr>
            </w:pPr>
            <w:r w:rsidRPr="001E7AA4">
              <w:rPr>
                <w:rFonts w:ascii="Calibri" w:eastAsia="Calibri" w:hAnsi="Calibri" w:cs="Calibri"/>
                <w:color w:val="000000" w:themeColor="text1"/>
              </w:rPr>
              <w:t xml:space="preserve">17.7% </w:t>
            </w:r>
          </w:p>
        </w:tc>
        <w:tc>
          <w:tcPr>
            <w:tcW w:w="1620" w:type="dxa"/>
            <w:tcBorders>
              <w:top w:val="single" w:sz="8" w:space="0" w:color="auto"/>
              <w:left w:val="single" w:sz="8" w:space="0" w:color="auto"/>
              <w:bottom w:val="single" w:sz="8" w:space="0" w:color="auto"/>
              <w:right w:val="single" w:sz="8" w:space="0" w:color="auto"/>
            </w:tcBorders>
            <w:vAlign w:val="center"/>
          </w:tcPr>
          <w:p w14:paraId="1C8927B2" w14:textId="77777777" w:rsidR="008B1A15" w:rsidRPr="001E7AA4" w:rsidRDefault="008B1A15" w:rsidP="0097318D">
            <w:pPr>
              <w:jc w:val="center"/>
              <w:rPr>
                <w:rFonts w:ascii="Calibri" w:eastAsia="Calibri" w:hAnsi="Calibri" w:cs="Calibri"/>
                <w:color w:val="000000" w:themeColor="text1"/>
              </w:rPr>
            </w:pPr>
            <w:r w:rsidRPr="001E7AA4">
              <w:rPr>
                <w:rFonts w:ascii="Calibri" w:eastAsia="Calibri" w:hAnsi="Calibri" w:cs="Calibri"/>
                <w:color w:val="000000" w:themeColor="text1"/>
              </w:rPr>
              <w:t>11.6%</w:t>
            </w:r>
          </w:p>
        </w:tc>
        <w:tc>
          <w:tcPr>
            <w:tcW w:w="1500" w:type="dxa"/>
            <w:tcBorders>
              <w:top w:val="single" w:sz="8" w:space="0" w:color="auto"/>
              <w:left w:val="single" w:sz="8" w:space="0" w:color="auto"/>
              <w:bottom w:val="single" w:sz="8" w:space="0" w:color="auto"/>
              <w:right w:val="single" w:sz="8" w:space="0" w:color="auto"/>
            </w:tcBorders>
            <w:vAlign w:val="center"/>
          </w:tcPr>
          <w:p w14:paraId="54C4A105" w14:textId="77777777" w:rsidR="008B1A15" w:rsidRPr="001E7AA4" w:rsidRDefault="008B1A15" w:rsidP="0097318D">
            <w:pPr>
              <w:jc w:val="center"/>
              <w:rPr>
                <w:rFonts w:ascii="Calibri" w:eastAsia="Calibri" w:hAnsi="Calibri" w:cs="Calibri"/>
                <w:color w:val="000000" w:themeColor="text1"/>
              </w:rPr>
            </w:pPr>
            <w:r w:rsidRPr="001E7AA4">
              <w:rPr>
                <w:rFonts w:ascii="Calibri" w:eastAsia="Calibri" w:hAnsi="Calibri" w:cs="Calibri"/>
                <w:color w:val="000000" w:themeColor="text1"/>
              </w:rPr>
              <w:t>11.1%</w:t>
            </w:r>
          </w:p>
        </w:tc>
        <w:tc>
          <w:tcPr>
            <w:tcW w:w="1410" w:type="dxa"/>
            <w:tcBorders>
              <w:top w:val="single" w:sz="8" w:space="0" w:color="auto"/>
              <w:left w:val="single" w:sz="8" w:space="0" w:color="auto"/>
              <w:bottom w:val="single" w:sz="8" w:space="0" w:color="auto"/>
              <w:right w:val="single" w:sz="8" w:space="0" w:color="auto"/>
            </w:tcBorders>
            <w:vAlign w:val="center"/>
          </w:tcPr>
          <w:p w14:paraId="16620FFD" w14:textId="77777777" w:rsidR="008B1A15" w:rsidRPr="001E7AA4" w:rsidRDefault="008B1A15" w:rsidP="0097318D">
            <w:pPr>
              <w:jc w:val="center"/>
              <w:rPr>
                <w:rFonts w:ascii="Calibri" w:eastAsia="Calibri" w:hAnsi="Calibri" w:cs="Calibri"/>
                <w:color w:val="000000" w:themeColor="text1"/>
              </w:rPr>
            </w:pPr>
            <w:r w:rsidRPr="001E7AA4">
              <w:rPr>
                <w:rFonts w:ascii="Calibri" w:eastAsia="Calibri" w:hAnsi="Calibri" w:cs="Calibri"/>
                <w:color w:val="000000" w:themeColor="text1"/>
              </w:rPr>
              <w:t xml:space="preserve">1.2% </w:t>
            </w:r>
          </w:p>
        </w:tc>
        <w:tc>
          <w:tcPr>
            <w:tcW w:w="1620" w:type="dxa"/>
            <w:tcBorders>
              <w:top w:val="single" w:sz="8" w:space="0" w:color="auto"/>
              <w:left w:val="single" w:sz="8" w:space="0" w:color="auto"/>
              <w:bottom w:val="single" w:sz="8" w:space="0" w:color="auto"/>
              <w:right w:val="single" w:sz="8" w:space="0" w:color="auto"/>
            </w:tcBorders>
            <w:vAlign w:val="center"/>
          </w:tcPr>
          <w:p w14:paraId="4B0C2836" w14:textId="77777777" w:rsidR="008B1A15" w:rsidRPr="001E7AA4" w:rsidRDefault="008B1A15" w:rsidP="0097318D">
            <w:pPr>
              <w:jc w:val="center"/>
              <w:rPr>
                <w:rFonts w:ascii="Calibri" w:eastAsia="Calibri" w:hAnsi="Calibri" w:cs="Calibri"/>
                <w:color w:val="000000" w:themeColor="text1"/>
              </w:rPr>
            </w:pPr>
            <w:r w:rsidRPr="001E7AA4">
              <w:rPr>
                <w:rFonts w:ascii="Calibri" w:eastAsia="Calibri" w:hAnsi="Calibri" w:cs="Calibri"/>
                <w:color w:val="000000" w:themeColor="text1"/>
              </w:rPr>
              <w:t xml:space="preserve">13.4% </w:t>
            </w:r>
          </w:p>
        </w:tc>
      </w:tr>
      <w:tr w:rsidR="008B1A15" w:rsidRPr="001E7AA4" w14:paraId="46492AD0" w14:textId="77777777" w:rsidTr="00BC654C">
        <w:trPr>
          <w:trHeight w:val="300"/>
        </w:trPr>
        <w:tc>
          <w:tcPr>
            <w:tcW w:w="1266" w:type="dxa"/>
            <w:tcBorders>
              <w:top w:val="single" w:sz="8" w:space="0" w:color="auto"/>
              <w:left w:val="single" w:sz="8" w:space="0" w:color="auto"/>
              <w:bottom w:val="single" w:sz="8" w:space="0" w:color="auto"/>
              <w:right w:val="single" w:sz="8" w:space="0" w:color="auto"/>
            </w:tcBorders>
            <w:vAlign w:val="center"/>
          </w:tcPr>
          <w:p w14:paraId="4EBB0AD6" w14:textId="1EBEFB2B" w:rsidR="008B1A15" w:rsidRPr="001E7AA4" w:rsidRDefault="008B2879" w:rsidP="0097318D">
            <w:r w:rsidRPr="001E7AA4">
              <w:rPr>
                <w:rFonts w:ascii="Calibri" w:eastAsia="Calibri" w:hAnsi="Calibri" w:cs="Calibri"/>
              </w:rPr>
              <w:t xml:space="preserve">Regional Universities Network </w:t>
            </w:r>
          </w:p>
        </w:tc>
        <w:tc>
          <w:tcPr>
            <w:tcW w:w="1569" w:type="dxa"/>
            <w:tcBorders>
              <w:top w:val="single" w:sz="8" w:space="0" w:color="auto"/>
              <w:left w:val="single" w:sz="8" w:space="0" w:color="auto"/>
              <w:bottom w:val="single" w:sz="8" w:space="0" w:color="auto"/>
              <w:right w:val="single" w:sz="8" w:space="0" w:color="auto"/>
            </w:tcBorders>
            <w:vAlign w:val="center"/>
          </w:tcPr>
          <w:p w14:paraId="789B8603" w14:textId="77777777" w:rsidR="008B1A15" w:rsidRPr="001E7AA4" w:rsidRDefault="008B1A15" w:rsidP="0097318D">
            <w:pPr>
              <w:jc w:val="center"/>
              <w:rPr>
                <w:rFonts w:ascii="Calibri" w:eastAsia="Calibri" w:hAnsi="Calibri" w:cs="Calibri"/>
                <w:color w:val="000000" w:themeColor="text1"/>
              </w:rPr>
            </w:pPr>
            <w:r w:rsidRPr="001E7AA4">
              <w:rPr>
                <w:rFonts w:ascii="Calibri" w:eastAsia="Calibri" w:hAnsi="Calibri" w:cs="Calibri"/>
                <w:color w:val="000000" w:themeColor="text1"/>
              </w:rPr>
              <w:t xml:space="preserve">27.0% </w:t>
            </w:r>
          </w:p>
        </w:tc>
        <w:tc>
          <w:tcPr>
            <w:tcW w:w="1620" w:type="dxa"/>
            <w:tcBorders>
              <w:top w:val="single" w:sz="8" w:space="0" w:color="auto"/>
              <w:left w:val="single" w:sz="8" w:space="0" w:color="auto"/>
              <w:bottom w:val="single" w:sz="8" w:space="0" w:color="auto"/>
              <w:right w:val="single" w:sz="8" w:space="0" w:color="auto"/>
            </w:tcBorders>
            <w:vAlign w:val="center"/>
          </w:tcPr>
          <w:p w14:paraId="01710BDE" w14:textId="77777777" w:rsidR="008B1A15" w:rsidRPr="001E7AA4" w:rsidRDefault="008B1A15" w:rsidP="0097318D">
            <w:pPr>
              <w:jc w:val="center"/>
              <w:rPr>
                <w:rFonts w:ascii="Calibri" w:eastAsia="Calibri" w:hAnsi="Calibri" w:cs="Calibri"/>
                <w:color w:val="000000" w:themeColor="text1"/>
              </w:rPr>
            </w:pPr>
            <w:r w:rsidRPr="001E7AA4">
              <w:rPr>
                <w:rFonts w:ascii="Calibri" w:eastAsia="Calibri" w:hAnsi="Calibri" w:cs="Calibri"/>
                <w:color w:val="000000" w:themeColor="text1"/>
              </w:rPr>
              <w:t>48.3%</w:t>
            </w:r>
          </w:p>
        </w:tc>
        <w:tc>
          <w:tcPr>
            <w:tcW w:w="1500" w:type="dxa"/>
            <w:tcBorders>
              <w:top w:val="single" w:sz="8" w:space="0" w:color="auto"/>
              <w:left w:val="single" w:sz="8" w:space="0" w:color="auto"/>
              <w:bottom w:val="single" w:sz="8" w:space="0" w:color="auto"/>
              <w:right w:val="single" w:sz="8" w:space="0" w:color="auto"/>
            </w:tcBorders>
            <w:vAlign w:val="center"/>
          </w:tcPr>
          <w:p w14:paraId="68E0F0FA" w14:textId="77777777" w:rsidR="008B1A15" w:rsidRPr="001E7AA4" w:rsidRDefault="008B1A15" w:rsidP="0097318D">
            <w:pPr>
              <w:jc w:val="center"/>
              <w:rPr>
                <w:rFonts w:ascii="Calibri" w:eastAsia="Calibri" w:hAnsi="Calibri" w:cs="Calibri"/>
                <w:color w:val="000000" w:themeColor="text1"/>
              </w:rPr>
            </w:pPr>
            <w:r w:rsidRPr="001E7AA4">
              <w:rPr>
                <w:rFonts w:ascii="Calibri" w:eastAsia="Calibri" w:hAnsi="Calibri" w:cs="Calibri"/>
                <w:color w:val="000000" w:themeColor="text1"/>
              </w:rPr>
              <w:t>11.3%</w:t>
            </w:r>
          </w:p>
        </w:tc>
        <w:tc>
          <w:tcPr>
            <w:tcW w:w="1410" w:type="dxa"/>
            <w:tcBorders>
              <w:top w:val="single" w:sz="8" w:space="0" w:color="auto"/>
              <w:left w:val="single" w:sz="8" w:space="0" w:color="auto"/>
              <w:bottom w:val="single" w:sz="8" w:space="0" w:color="auto"/>
              <w:right w:val="single" w:sz="8" w:space="0" w:color="auto"/>
            </w:tcBorders>
            <w:vAlign w:val="center"/>
          </w:tcPr>
          <w:p w14:paraId="1889A2E8" w14:textId="77777777" w:rsidR="008B1A15" w:rsidRPr="001E7AA4" w:rsidRDefault="008B1A15" w:rsidP="0097318D">
            <w:pPr>
              <w:jc w:val="center"/>
              <w:rPr>
                <w:rFonts w:ascii="Calibri" w:eastAsia="Calibri" w:hAnsi="Calibri" w:cs="Calibri"/>
                <w:color w:val="000000" w:themeColor="text1"/>
              </w:rPr>
            </w:pPr>
            <w:r w:rsidRPr="001E7AA4">
              <w:rPr>
                <w:rFonts w:ascii="Calibri" w:eastAsia="Calibri" w:hAnsi="Calibri" w:cs="Calibri"/>
                <w:color w:val="000000" w:themeColor="text1"/>
              </w:rPr>
              <w:t xml:space="preserve">4.1% </w:t>
            </w:r>
          </w:p>
        </w:tc>
        <w:tc>
          <w:tcPr>
            <w:tcW w:w="1620" w:type="dxa"/>
            <w:tcBorders>
              <w:top w:val="single" w:sz="8" w:space="0" w:color="auto"/>
              <w:left w:val="single" w:sz="8" w:space="0" w:color="auto"/>
              <w:bottom w:val="single" w:sz="8" w:space="0" w:color="auto"/>
              <w:right w:val="single" w:sz="8" w:space="0" w:color="auto"/>
            </w:tcBorders>
            <w:vAlign w:val="center"/>
          </w:tcPr>
          <w:p w14:paraId="733B556D" w14:textId="77777777" w:rsidR="008B1A15" w:rsidRPr="001E7AA4" w:rsidRDefault="008B1A15" w:rsidP="0097318D">
            <w:pPr>
              <w:jc w:val="center"/>
              <w:rPr>
                <w:rFonts w:ascii="Calibri" w:eastAsia="Calibri" w:hAnsi="Calibri" w:cs="Calibri"/>
                <w:color w:val="000000" w:themeColor="text1"/>
              </w:rPr>
            </w:pPr>
            <w:r w:rsidRPr="001E7AA4">
              <w:rPr>
                <w:rFonts w:ascii="Calibri" w:eastAsia="Calibri" w:hAnsi="Calibri" w:cs="Calibri"/>
                <w:color w:val="000000" w:themeColor="text1"/>
              </w:rPr>
              <w:t xml:space="preserve">12.0% </w:t>
            </w:r>
          </w:p>
        </w:tc>
      </w:tr>
      <w:tr w:rsidR="008B1A15" w:rsidRPr="001E7AA4" w14:paraId="0FE54A6C" w14:textId="77777777" w:rsidTr="00BC654C">
        <w:trPr>
          <w:trHeight w:val="75"/>
        </w:trPr>
        <w:tc>
          <w:tcPr>
            <w:tcW w:w="1266" w:type="dxa"/>
            <w:tcBorders>
              <w:top w:val="single" w:sz="8" w:space="0" w:color="auto"/>
              <w:left w:val="single" w:sz="8" w:space="0" w:color="auto"/>
              <w:bottom w:val="single" w:sz="8" w:space="0" w:color="auto"/>
              <w:right w:val="single" w:sz="8" w:space="0" w:color="auto"/>
            </w:tcBorders>
            <w:vAlign w:val="center"/>
          </w:tcPr>
          <w:p w14:paraId="7FFC3CE8" w14:textId="77777777" w:rsidR="008B1A15" w:rsidRPr="001E7AA4" w:rsidRDefault="008B1A15" w:rsidP="0097318D">
            <w:r w:rsidRPr="001E7AA4">
              <w:rPr>
                <w:rFonts w:ascii="Calibri" w:eastAsia="Calibri" w:hAnsi="Calibri" w:cs="Calibri"/>
              </w:rPr>
              <w:t xml:space="preserve">Unaligned </w:t>
            </w:r>
          </w:p>
        </w:tc>
        <w:tc>
          <w:tcPr>
            <w:tcW w:w="1569" w:type="dxa"/>
            <w:tcBorders>
              <w:top w:val="single" w:sz="8" w:space="0" w:color="auto"/>
              <w:left w:val="single" w:sz="8" w:space="0" w:color="auto"/>
              <w:bottom w:val="single" w:sz="8" w:space="0" w:color="auto"/>
              <w:right w:val="single" w:sz="8" w:space="0" w:color="auto"/>
            </w:tcBorders>
            <w:vAlign w:val="center"/>
          </w:tcPr>
          <w:p w14:paraId="0AB99E33" w14:textId="77777777" w:rsidR="008B1A15" w:rsidRPr="001E7AA4" w:rsidRDefault="008B1A15" w:rsidP="0097318D">
            <w:pPr>
              <w:jc w:val="center"/>
              <w:rPr>
                <w:rFonts w:ascii="Calibri" w:eastAsia="Calibri" w:hAnsi="Calibri" w:cs="Calibri"/>
                <w:color w:val="000000" w:themeColor="text1"/>
              </w:rPr>
            </w:pPr>
            <w:r w:rsidRPr="001E7AA4">
              <w:rPr>
                <w:rFonts w:ascii="Calibri" w:eastAsia="Calibri" w:hAnsi="Calibri" w:cs="Calibri"/>
                <w:color w:val="000000" w:themeColor="text1"/>
              </w:rPr>
              <w:t>15.7%</w:t>
            </w:r>
          </w:p>
        </w:tc>
        <w:tc>
          <w:tcPr>
            <w:tcW w:w="1620" w:type="dxa"/>
            <w:tcBorders>
              <w:top w:val="single" w:sz="8" w:space="0" w:color="auto"/>
              <w:left w:val="single" w:sz="8" w:space="0" w:color="auto"/>
              <w:bottom w:val="single" w:sz="8" w:space="0" w:color="auto"/>
              <w:right w:val="single" w:sz="8" w:space="0" w:color="auto"/>
            </w:tcBorders>
            <w:vAlign w:val="center"/>
          </w:tcPr>
          <w:p w14:paraId="0DF6BF35" w14:textId="77777777" w:rsidR="008B1A15" w:rsidRPr="001E7AA4" w:rsidRDefault="008B1A15" w:rsidP="0097318D">
            <w:pPr>
              <w:jc w:val="center"/>
              <w:rPr>
                <w:rFonts w:ascii="Calibri" w:eastAsia="Calibri" w:hAnsi="Calibri" w:cs="Calibri"/>
                <w:color w:val="000000" w:themeColor="text1"/>
              </w:rPr>
            </w:pPr>
            <w:r w:rsidRPr="001E7AA4">
              <w:rPr>
                <w:rFonts w:ascii="Calibri" w:eastAsia="Calibri" w:hAnsi="Calibri" w:cs="Calibri"/>
                <w:color w:val="000000" w:themeColor="text1"/>
              </w:rPr>
              <w:t>19.8%</w:t>
            </w:r>
          </w:p>
        </w:tc>
        <w:tc>
          <w:tcPr>
            <w:tcW w:w="1500" w:type="dxa"/>
            <w:tcBorders>
              <w:top w:val="single" w:sz="8" w:space="0" w:color="auto"/>
              <w:left w:val="single" w:sz="8" w:space="0" w:color="auto"/>
              <w:bottom w:val="single" w:sz="8" w:space="0" w:color="auto"/>
              <w:right w:val="single" w:sz="8" w:space="0" w:color="auto"/>
            </w:tcBorders>
            <w:vAlign w:val="center"/>
          </w:tcPr>
          <w:p w14:paraId="4E11FBF7" w14:textId="77777777" w:rsidR="008B1A15" w:rsidRPr="001E7AA4" w:rsidRDefault="008B1A15" w:rsidP="0097318D">
            <w:pPr>
              <w:jc w:val="center"/>
              <w:rPr>
                <w:rFonts w:ascii="Calibri" w:eastAsia="Calibri" w:hAnsi="Calibri" w:cs="Calibri"/>
                <w:color w:val="000000" w:themeColor="text1"/>
              </w:rPr>
            </w:pPr>
            <w:r w:rsidRPr="001E7AA4">
              <w:rPr>
                <w:rFonts w:ascii="Calibri" w:eastAsia="Calibri" w:hAnsi="Calibri" w:cs="Calibri"/>
                <w:color w:val="000000" w:themeColor="text1"/>
              </w:rPr>
              <w:t>9.6%</w:t>
            </w:r>
          </w:p>
        </w:tc>
        <w:tc>
          <w:tcPr>
            <w:tcW w:w="1410" w:type="dxa"/>
            <w:tcBorders>
              <w:top w:val="single" w:sz="8" w:space="0" w:color="auto"/>
              <w:left w:val="single" w:sz="8" w:space="0" w:color="auto"/>
              <w:bottom w:val="single" w:sz="8" w:space="0" w:color="auto"/>
              <w:right w:val="single" w:sz="8" w:space="0" w:color="auto"/>
            </w:tcBorders>
            <w:vAlign w:val="center"/>
          </w:tcPr>
          <w:p w14:paraId="22FC16E9" w14:textId="77777777" w:rsidR="008B1A15" w:rsidRPr="001E7AA4" w:rsidRDefault="008B1A15" w:rsidP="0097318D">
            <w:pPr>
              <w:jc w:val="center"/>
              <w:rPr>
                <w:rFonts w:ascii="Calibri" w:eastAsia="Calibri" w:hAnsi="Calibri" w:cs="Calibri"/>
                <w:color w:val="000000" w:themeColor="text1"/>
              </w:rPr>
            </w:pPr>
            <w:r w:rsidRPr="001E7AA4">
              <w:rPr>
                <w:rFonts w:ascii="Calibri" w:eastAsia="Calibri" w:hAnsi="Calibri" w:cs="Calibri"/>
                <w:color w:val="000000" w:themeColor="text1"/>
              </w:rPr>
              <w:t xml:space="preserve">2.1% </w:t>
            </w:r>
          </w:p>
        </w:tc>
        <w:tc>
          <w:tcPr>
            <w:tcW w:w="1620" w:type="dxa"/>
            <w:tcBorders>
              <w:top w:val="single" w:sz="8" w:space="0" w:color="auto"/>
              <w:left w:val="single" w:sz="8" w:space="0" w:color="auto"/>
              <w:bottom w:val="single" w:sz="8" w:space="0" w:color="auto"/>
              <w:right w:val="single" w:sz="8" w:space="0" w:color="auto"/>
            </w:tcBorders>
            <w:vAlign w:val="center"/>
          </w:tcPr>
          <w:p w14:paraId="3C07BCDD" w14:textId="77777777" w:rsidR="008B1A15" w:rsidRPr="001E7AA4" w:rsidRDefault="008B1A15" w:rsidP="0097318D">
            <w:pPr>
              <w:jc w:val="center"/>
              <w:rPr>
                <w:rFonts w:ascii="Calibri" w:eastAsia="Calibri" w:hAnsi="Calibri" w:cs="Calibri"/>
                <w:color w:val="000000" w:themeColor="text1"/>
              </w:rPr>
            </w:pPr>
            <w:r w:rsidRPr="001E7AA4">
              <w:rPr>
                <w:rFonts w:ascii="Calibri" w:eastAsia="Calibri" w:hAnsi="Calibri" w:cs="Calibri"/>
                <w:color w:val="000000" w:themeColor="text1"/>
              </w:rPr>
              <w:t xml:space="preserve">33.4% </w:t>
            </w:r>
          </w:p>
        </w:tc>
      </w:tr>
      <w:tr w:rsidR="008B1A15" w:rsidRPr="001E7AA4" w14:paraId="272FCB77" w14:textId="77777777" w:rsidTr="00BC654C">
        <w:trPr>
          <w:trHeight w:val="300"/>
        </w:trPr>
        <w:tc>
          <w:tcPr>
            <w:tcW w:w="1266" w:type="dxa"/>
            <w:tcBorders>
              <w:top w:val="single" w:sz="8" w:space="0" w:color="auto"/>
              <w:left w:val="single" w:sz="8" w:space="0" w:color="auto"/>
              <w:bottom w:val="single" w:sz="8" w:space="0" w:color="auto"/>
              <w:right w:val="single" w:sz="8" w:space="0" w:color="auto"/>
            </w:tcBorders>
            <w:vAlign w:val="center"/>
          </w:tcPr>
          <w:p w14:paraId="6A64C66E" w14:textId="58EA10BA" w:rsidR="008B1A15" w:rsidRPr="001E7AA4" w:rsidRDefault="008B1A15" w:rsidP="0097318D">
            <w:r w:rsidRPr="001E7AA4">
              <w:rPr>
                <w:rFonts w:ascii="Calibri" w:eastAsia="Calibri" w:hAnsi="Calibri" w:cs="Calibri"/>
              </w:rPr>
              <w:t xml:space="preserve">NUHEPs </w:t>
            </w:r>
            <w:r w:rsidR="009A0AF2" w:rsidRPr="001E7AA4">
              <w:rPr>
                <w:rFonts w:ascii="Calibri" w:eastAsia="Calibri" w:hAnsi="Calibri" w:cs="Calibri"/>
              </w:rPr>
              <w:t>*</w:t>
            </w:r>
            <w:r w:rsidR="00E065E0" w:rsidRPr="001E7AA4">
              <w:rPr>
                <w:rFonts w:ascii="Calibri" w:eastAsia="Calibri" w:hAnsi="Calibri" w:cs="Calibri"/>
              </w:rPr>
              <w:t>**</w:t>
            </w:r>
          </w:p>
        </w:tc>
        <w:tc>
          <w:tcPr>
            <w:tcW w:w="1569" w:type="dxa"/>
            <w:tcBorders>
              <w:top w:val="single" w:sz="8" w:space="0" w:color="auto"/>
              <w:left w:val="single" w:sz="8" w:space="0" w:color="auto"/>
              <w:bottom w:val="single" w:sz="8" w:space="0" w:color="auto"/>
              <w:right w:val="single" w:sz="8" w:space="0" w:color="auto"/>
            </w:tcBorders>
            <w:vAlign w:val="center"/>
          </w:tcPr>
          <w:p w14:paraId="371D68D1" w14:textId="77777777" w:rsidR="008B1A15" w:rsidRPr="001E7AA4" w:rsidRDefault="008B1A15" w:rsidP="0097318D">
            <w:pPr>
              <w:jc w:val="center"/>
              <w:rPr>
                <w:rFonts w:ascii="Calibri" w:eastAsia="Calibri" w:hAnsi="Calibri" w:cs="Calibri"/>
                <w:color w:val="000000" w:themeColor="text1"/>
              </w:rPr>
            </w:pPr>
            <w:r w:rsidRPr="001E7AA4">
              <w:rPr>
                <w:rFonts w:ascii="Calibri" w:eastAsia="Calibri" w:hAnsi="Calibri" w:cs="Calibri"/>
                <w:color w:val="000000" w:themeColor="text1"/>
              </w:rPr>
              <w:t>16.4%</w:t>
            </w:r>
          </w:p>
        </w:tc>
        <w:tc>
          <w:tcPr>
            <w:tcW w:w="1620" w:type="dxa"/>
            <w:tcBorders>
              <w:top w:val="single" w:sz="8" w:space="0" w:color="auto"/>
              <w:left w:val="single" w:sz="8" w:space="0" w:color="auto"/>
              <w:bottom w:val="single" w:sz="8" w:space="0" w:color="auto"/>
              <w:right w:val="single" w:sz="8" w:space="0" w:color="auto"/>
            </w:tcBorders>
            <w:vAlign w:val="center"/>
          </w:tcPr>
          <w:p w14:paraId="7E4AE141" w14:textId="77777777" w:rsidR="008B1A15" w:rsidRPr="001E7AA4" w:rsidRDefault="008B1A15" w:rsidP="0097318D">
            <w:pPr>
              <w:jc w:val="center"/>
              <w:rPr>
                <w:rFonts w:ascii="Calibri" w:eastAsia="Calibri" w:hAnsi="Calibri" w:cs="Calibri"/>
                <w:color w:val="000000" w:themeColor="text1"/>
              </w:rPr>
            </w:pPr>
            <w:r w:rsidRPr="001E7AA4">
              <w:rPr>
                <w:rFonts w:ascii="Calibri" w:eastAsia="Calibri" w:hAnsi="Calibri" w:cs="Calibri"/>
                <w:color w:val="000000" w:themeColor="text1"/>
              </w:rPr>
              <w:t xml:space="preserve">13.6% </w:t>
            </w:r>
          </w:p>
        </w:tc>
        <w:tc>
          <w:tcPr>
            <w:tcW w:w="1500" w:type="dxa"/>
            <w:tcBorders>
              <w:top w:val="single" w:sz="8" w:space="0" w:color="auto"/>
              <w:left w:val="single" w:sz="8" w:space="0" w:color="auto"/>
              <w:bottom w:val="single" w:sz="8" w:space="0" w:color="auto"/>
              <w:right w:val="single" w:sz="8" w:space="0" w:color="auto"/>
            </w:tcBorders>
            <w:vAlign w:val="center"/>
          </w:tcPr>
          <w:p w14:paraId="19B077D2" w14:textId="77777777" w:rsidR="008B1A15" w:rsidRPr="001E7AA4" w:rsidRDefault="008B1A15" w:rsidP="0097318D">
            <w:pPr>
              <w:jc w:val="center"/>
              <w:rPr>
                <w:rFonts w:ascii="Calibri" w:eastAsia="Calibri" w:hAnsi="Calibri" w:cs="Calibri"/>
                <w:color w:val="000000" w:themeColor="text1"/>
              </w:rPr>
            </w:pPr>
            <w:r w:rsidRPr="001E7AA4">
              <w:rPr>
                <w:rFonts w:ascii="Calibri" w:eastAsia="Calibri" w:hAnsi="Calibri" w:cs="Calibri"/>
                <w:color w:val="000000" w:themeColor="text1"/>
              </w:rPr>
              <w:t>7.3%</w:t>
            </w:r>
          </w:p>
        </w:tc>
        <w:tc>
          <w:tcPr>
            <w:tcW w:w="1410" w:type="dxa"/>
            <w:tcBorders>
              <w:top w:val="single" w:sz="8" w:space="0" w:color="auto"/>
              <w:left w:val="single" w:sz="8" w:space="0" w:color="auto"/>
              <w:bottom w:val="single" w:sz="8" w:space="0" w:color="auto"/>
              <w:right w:val="single" w:sz="8" w:space="0" w:color="auto"/>
            </w:tcBorders>
            <w:vAlign w:val="center"/>
          </w:tcPr>
          <w:p w14:paraId="21F17AD9" w14:textId="77777777" w:rsidR="008B1A15" w:rsidRPr="001E7AA4" w:rsidRDefault="008B1A15" w:rsidP="0097318D">
            <w:pPr>
              <w:jc w:val="center"/>
              <w:rPr>
                <w:rFonts w:ascii="Calibri" w:eastAsia="Calibri" w:hAnsi="Calibri" w:cs="Calibri"/>
                <w:color w:val="000000" w:themeColor="text1"/>
              </w:rPr>
            </w:pPr>
            <w:r w:rsidRPr="001E7AA4">
              <w:rPr>
                <w:rFonts w:ascii="Calibri" w:eastAsia="Calibri" w:hAnsi="Calibri" w:cs="Calibri"/>
                <w:color w:val="000000" w:themeColor="text1"/>
              </w:rPr>
              <w:t xml:space="preserve">1.9% </w:t>
            </w:r>
          </w:p>
        </w:tc>
        <w:tc>
          <w:tcPr>
            <w:tcW w:w="1620" w:type="dxa"/>
            <w:tcBorders>
              <w:top w:val="single" w:sz="8" w:space="0" w:color="auto"/>
              <w:left w:val="single" w:sz="8" w:space="0" w:color="auto"/>
              <w:bottom w:val="single" w:sz="8" w:space="0" w:color="auto"/>
              <w:right w:val="single" w:sz="8" w:space="0" w:color="auto"/>
            </w:tcBorders>
            <w:vAlign w:val="center"/>
          </w:tcPr>
          <w:p w14:paraId="48029C37" w14:textId="77777777" w:rsidR="008B1A15" w:rsidRPr="001E7AA4" w:rsidRDefault="008B1A15" w:rsidP="0097318D">
            <w:pPr>
              <w:jc w:val="center"/>
              <w:rPr>
                <w:rFonts w:ascii="Calibri" w:eastAsia="Calibri" w:hAnsi="Calibri" w:cs="Calibri"/>
                <w:color w:val="000000" w:themeColor="text1"/>
              </w:rPr>
            </w:pPr>
            <w:r w:rsidRPr="001E7AA4">
              <w:rPr>
                <w:rFonts w:ascii="Calibri" w:eastAsia="Calibri" w:hAnsi="Calibri" w:cs="Calibri"/>
                <w:color w:val="000000" w:themeColor="text1"/>
              </w:rPr>
              <w:t xml:space="preserve">4.5% </w:t>
            </w:r>
          </w:p>
        </w:tc>
      </w:tr>
      <w:tr w:rsidR="008B1A15" w:rsidRPr="001E7AA4" w14:paraId="1E847C53" w14:textId="77777777" w:rsidTr="00BC654C">
        <w:trPr>
          <w:trHeight w:val="300"/>
        </w:trPr>
        <w:tc>
          <w:tcPr>
            <w:tcW w:w="1266" w:type="dxa"/>
            <w:tcBorders>
              <w:top w:val="single" w:sz="8" w:space="0" w:color="auto"/>
              <w:left w:val="single" w:sz="8" w:space="0" w:color="auto"/>
              <w:bottom w:val="single" w:sz="8" w:space="0" w:color="auto"/>
              <w:right w:val="single" w:sz="8" w:space="0" w:color="auto"/>
            </w:tcBorders>
            <w:vAlign w:val="center"/>
          </w:tcPr>
          <w:p w14:paraId="6F9D53C4" w14:textId="77777777" w:rsidR="008B1A15" w:rsidRPr="001E7AA4" w:rsidRDefault="008B1A15" w:rsidP="0097318D">
            <w:r w:rsidRPr="001E7AA4">
              <w:rPr>
                <w:rFonts w:ascii="Calibri" w:eastAsia="Calibri" w:hAnsi="Calibri" w:cs="Calibri"/>
              </w:rPr>
              <w:t xml:space="preserve">Total </w:t>
            </w:r>
          </w:p>
        </w:tc>
        <w:tc>
          <w:tcPr>
            <w:tcW w:w="1569" w:type="dxa"/>
            <w:tcBorders>
              <w:top w:val="single" w:sz="8" w:space="0" w:color="auto"/>
              <w:left w:val="single" w:sz="8" w:space="0" w:color="auto"/>
              <w:bottom w:val="single" w:sz="8" w:space="0" w:color="auto"/>
              <w:right w:val="single" w:sz="8" w:space="0" w:color="auto"/>
            </w:tcBorders>
            <w:vAlign w:val="center"/>
          </w:tcPr>
          <w:p w14:paraId="01A3879C" w14:textId="77777777" w:rsidR="008B1A15" w:rsidRPr="001E7AA4" w:rsidRDefault="008B1A15" w:rsidP="0097318D">
            <w:pPr>
              <w:jc w:val="center"/>
              <w:rPr>
                <w:rFonts w:ascii="Calibri" w:eastAsia="Calibri" w:hAnsi="Calibri" w:cs="Calibri"/>
                <w:color w:val="000000" w:themeColor="text1"/>
              </w:rPr>
            </w:pPr>
            <w:r w:rsidRPr="001E7AA4">
              <w:rPr>
                <w:rFonts w:ascii="Calibri" w:eastAsia="Calibri" w:hAnsi="Calibri" w:cs="Calibri"/>
                <w:color w:val="000000" w:themeColor="text1"/>
              </w:rPr>
              <w:t>17.4%</w:t>
            </w:r>
          </w:p>
        </w:tc>
        <w:tc>
          <w:tcPr>
            <w:tcW w:w="1620" w:type="dxa"/>
            <w:tcBorders>
              <w:top w:val="single" w:sz="8" w:space="0" w:color="auto"/>
              <w:left w:val="single" w:sz="8" w:space="0" w:color="auto"/>
              <w:bottom w:val="single" w:sz="8" w:space="0" w:color="auto"/>
              <w:right w:val="single" w:sz="8" w:space="0" w:color="auto"/>
            </w:tcBorders>
            <w:vAlign w:val="center"/>
          </w:tcPr>
          <w:p w14:paraId="79961375" w14:textId="77777777" w:rsidR="008B1A15" w:rsidRPr="001E7AA4" w:rsidRDefault="008B1A15" w:rsidP="0097318D">
            <w:pPr>
              <w:jc w:val="center"/>
              <w:rPr>
                <w:rFonts w:ascii="Calibri" w:eastAsia="Calibri" w:hAnsi="Calibri" w:cs="Calibri"/>
                <w:color w:val="000000" w:themeColor="text1"/>
              </w:rPr>
            </w:pPr>
            <w:r w:rsidRPr="001E7AA4">
              <w:rPr>
                <w:rFonts w:ascii="Calibri" w:eastAsia="Calibri" w:hAnsi="Calibri" w:cs="Calibri"/>
                <w:color w:val="000000" w:themeColor="text1"/>
              </w:rPr>
              <w:t xml:space="preserve">20.5% </w:t>
            </w:r>
          </w:p>
        </w:tc>
        <w:tc>
          <w:tcPr>
            <w:tcW w:w="1500" w:type="dxa"/>
            <w:tcBorders>
              <w:top w:val="single" w:sz="8" w:space="0" w:color="auto"/>
              <w:left w:val="single" w:sz="8" w:space="0" w:color="auto"/>
              <w:bottom w:val="single" w:sz="8" w:space="0" w:color="auto"/>
              <w:right w:val="single" w:sz="8" w:space="0" w:color="auto"/>
            </w:tcBorders>
            <w:vAlign w:val="center"/>
          </w:tcPr>
          <w:p w14:paraId="0D755AA8" w14:textId="77777777" w:rsidR="008B1A15" w:rsidRPr="001E7AA4" w:rsidRDefault="008B1A15" w:rsidP="0097318D">
            <w:pPr>
              <w:jc w:val="center"/>
              <w:rPr>
                <w:rFonts w:ascii="Calibri" w:eastAsia="Calibri" w:hAnsi="Calibri" w:cs="Calibri"/>
                <w:color w:val="000000" w:themeColor="text1"/>
              </w:rPr>
            </w:pPr>
            <w:r w:rsidRPr="001E7AA4" w:rsidDel="0027424A">
              <w:rPr>
                <w:rFonts w:ascii="Calibri" w:eastAsia="Calibri" w:hAnsi="Calibri" w:cs="Calibri"/>
                <w:color w:val="000000" w:themeColor="text1"/>
              </w:rPr>
              <w:t xml:space="preserve"> </w:t>
            </w:r>
            <w:r w:rsidRPr="001E7AA4">
              <w:rPr>
                <w:rFonts w:ascii="Calibri" w:eastAsia="Calibri" w:hAnsi="Calibri" w:cs="Calibri"/>
                <w:color w:val="000000" w:themeColor="text1"/>
              </w:rPr>
              <w:t xml:space="preserve">10.3% </w:t>
            </w:r>
          </w:p>
        </w:tc>
        <w:tc>
          <w:tcPr>
            <w:tcW w:w="1410" w:type="dxa"/>
            <w:tcBorders>
              <w:top w:val="single" w:sz="8" w:space="0" w:color="auto"/>
              <w:left w:val="single" w:sz="8" w:space="0" w:color="auto"/>
              <w:bottom w:val="single" w:sz="8" w:space="0" w:color="auto"/>
              <w:right w:val="single" w:sz="8" w:space="0" w:color="auto"/>
            </w:tcBorders>
            <w:vAlign w:val="center"/>
          </w:tcPr>
          <w:p w14:paraId="6A23944E" w14:textId="77777777" w:rsidR="008B1A15" w:rsidRPr="001E7AA4" w:rsidRDefault="008B1A15" w:rsidP="0097318D">
            <w:pPr>
              <w:jc w:val="center"/>
              <w:rPr>
                <w:rFonts w:ascii="Calibri" w:eastAsia="Calibri" w:hAnsi="Calibri" w:cs="Calibri"/>
                <w:color w:val="000000" w:themeColor="text1"/>
              </w:rPr>
            </w:pPr>
            <w:r w:rsidRPr="001E7AA4">
              <w:rPr>
                <w:rFonts w:ascii="Calibri" w:eastAsia="Calibri" w:hAnsi="Calibri" w:cs="Calibri"/>
                <w:color w:val="000000" w:themeColor="text1"/>
              </w:rPr>
              <w:t xml:space="preserve">2.1% </w:t>
            </w:r>
          </w:p>
        </w:tc>
        <w:tc>
          <w:tcPr>
            <w:tcW w:w="1620" w:type="dxa"/>
            <w:tcBorders>
              <w:top w:val="single" w:sz="8" w:space="0" w:color="auto"/>
              <w:left w:val="single" w:sz="8" w:space="0" w:color="auto"/>
              <w:bottom w:val="single" w:sz="8" w:space="0" w:color="auto"/>
              <w:right w:val="single" w:sz="8" w:space="0" w:color="auto"/>
            </w:tcBorders>
            <w:vAlign w:val="center"/>
          </w:tcPr>
          <w:p w14:paraId="71FD53CB" w14:textId="77777777" w:rsidR="008B1A15" w:rsidRPr="001E7AA4" w:rsidRDefault="008B1A15" w:rsidP="0097318D">
            <w:pPr>
              <w:jc w:val="center"/>
              <w:rPr>
                <w:rFonts w:ascii="Calibri" w:eastAsia="Calibri" w:hAnsi="Calibri" w:cs="Calibri"/>
                <w:color w:val="000000" w:themeColor="text1"/>
              </w:rPr>
            </w:pPr>
            <w:r w:rsidRPr="001E7AA4">
              <w:rPr>
                <w:rFonts w:ascii="Calibri" w:eastAsia="Calibri" w:hAnsi="Calibri" w:cs="Calibri"/>
                <w:color w:val="000000" w:themeColor="text1"/>
              </w:rPr>
              <w:t>-</w:t>
            </w:r>
          </w:p>
        </w:tc>
      </w:tr>
      <w:tr w:rsidR="00C12653" w:rsidRPr="001E7AA4" w14:paraId="5B92134C" w14:textId="77777777" w:rsidTr="00BC654C">
        <w:trPr>
          <w:trHeight w:val="300"/>
        </w:trPr>
        <w:tc>
          <w:tcPr>
            <w:tcW w:w="1266" w:type="dxa"/>
            <w:tcBorders>
              <w:top w:val="single" w:sz="8" w:space="0" w:color="auto"/>
              <w:left w:val="single" w:sz="8" w:space="0" w:color="auto"/>
              <w:bottom w:val="single" w:sz="8" w:space="0" w:color="auto"/>
              <w:right w:val="single" w:sz="8" w:space="0" w:color="auto"/>
            </w:tcBorders>
            <w:vAlign w:val="center"/>
          </w:tcPr>
          <w:p w14:paraId="630E1659" w14:textId="052A5D3C" w:rsidR="00C12653" w:rsidRPr="001E7AA4" w:rsidRDefault="00596C7B" w:rsidP="0097318D">
            <w:pPr>
              <w:rPr>
                <w:rFonts w:ascii="Calibri" w:eastAsia="Calibri" w:hAnsi="Calibri" w:cs="Calibri"/>
              </w:rPr>
            </w:pPr>
            <w:r w:rsidRPr="001E7AA4">
              <w:rPr>
                <w:rFonts w:ascii="Calibri" w:eastAsia="Calibri" w:hAnsi="Calibri" w:cs="Calibri"/>
              </w:rPr>
              <w:t>Population parity</w:t>
            </w:r>
            <w:r w:rsidR="00E065E0" w:rsidRPr="001E7AA4">
              <w:rPr>
                <w:rFonts w:ascii="Calibri" w:eastAsia="Calibri" w:hAnsi="Calibri" w:cs="Calibri"/>
              </w:rPr>
              <w:t>*</w:t>
            </w:r>
          </w:p>
        </w:tc>
        <w:tc>
          <w:tcPr>
            <w:tcW w:w="1569" w:type="dxa"/>
            <w:tcBorders>
              <w:top w:val="single" w:sz="8" w:space="0" w:color="auto"/>
              <w:left w:val="single" w:sz="8" w:space="0" w:color="auto"/>
              <w:bottom w:val="single" w:sz="8" w:space="0" w:color="auto"/>
              <w:right w:val="single" w:sz="8" w:space="0" w:color="auto"/>
            </w:tcBorders>
            <w:vAlign w:val="center"/>
          </w:tcPr>
          <w:p w14:paraId="2E7C3F7C" w14:textId="321D603C" w:rsidR="00C12653" w:rsidRPr="001E7AA4" w:rsidRDefault="00596C7B" w:rsidP="0097318D">
            <w:pPr>
              <w:jc w:val="center"/>
              <w:rPr>
                <w:rFonts w:ascii="Calibri" w:eastAsia="Calibri" w:hAnsi="Calibri" w:cs="Calibri"/>
                <w:color w:val="000000" w:themeColor="text1"/>
              </w:rPr>
            </w:pPr>
            <w:r w:rsidRPr="001E7AA4">
              <w:rPr>
                <w:rFonts w:ascii="Calibri" w:eastAsia="Calibri" w:hAnsi="Calibri" w:cs="Calibri"/>
                <w:color w:val="000000" w:themeColor="text1"/>
              </w:rPr>
              <w:t>25.0%</w:t>
            </w:r>
          </w:p>
        </w:tc>
        <w:tc>
          <w:tcPr>
            <w:tcW w:w="1620" w:type="dxa"/>
            <w:tcBorders>
              <w:top w:val="single" w:sz="8" w:space="0" w:color="auto"/>
              <w:left w:val="single" w:sz="8" w:space="0" w:color="auto"/>
              <w:bottom w:val="single" w:sz="8" w:space="0" w:color="auto"/>
              <w:right w:val="single" w:sz="8" w:space="0" w:color="auto"/>
            </w:tcBorders>
            <w:vAlign w:val="center"/>
          </w:tcPr>
          <w:p w14:paraId="6F9C38C8" w14:textId="61F05105" w:rsidR="00C12653" w:rsidRPr="001E7AA4" w:rsidRDefault="0085035F" w:rsidP="0097318D">
            <w:pPr>
              <w:jc w:val="center"/>
              <w:rPr>
                <w:rFonts w:ascii="Calibri" w:eastAsia="Calibri" w:hAnsi="Calibri" w:cs="Calibri"/>
                <w:color w:val="000000" w:themeColor="text1"/>
              </w:rPr>
            </w:pPr>
            <w:r w:rsidRPr="001E7AA4">
              <w:rPr>
                <w:rFonts w:ascii="Calibri" w:eastAsia="Calibri" w:hAnsi="Calibri" w:cs="Calibri"/>
                <w:color w:val="000000" w:themeColor="text1"/>
              </w:rPr>
              <w:t>26.1%</w:t>
            </w:r>
          </w:p>
        </w:tc>
        <w:tc>
          <w:tcPr>
            <w:tcW w:w="1500" w:type="dxa"/>
            <w:tcBorders>
              <w:top w:val="single" w:sz="8" w:space="0" w:color="auto"/>
              <w:left w:val="single" w:sz="8" w:space="0" w:color="auto"/>
              <w:bottom w:val="single" w:sz="8" w:space="0" w:color="auto"/>
              <w:right w:val="single" w:sz="8" w:space="0" w:color="auto"/>
            </w:tcBorders>
            <w:vAlign w:val="center"/>
          </w:tcPr>
          <w:p w14:paraId="573B4E76" w14:textId="24858D96" w:rsidR="00C12653" w:rsidRPr="001E7AA4" w:rsidDel="0027424A" w:rsidRDefault="00E065E0" w:rsidP="0097318D">
            <w:pPr>
              <w:jc w:val="center"/>
              <w:rPr>
                <w:rFonts w:ascii="Calibri" w:eastAsia="Calibri" w:hAnsi="Calibri" w:cs="Calibri"/>
                <w:color w:val="000000" w:themeColor="text1"/>
              </w:rPr>
            </w:pPr>
            <w:r w:rsidRPr="001E7AA4">
              <w:rPr>
                <w:rFonts w:ascii="Calibri" w:eastAsia="Calibri" w:hAnsi="Calibri" w:cs="Calibri"/>
                <w:color w:val="000000" w:themeColor="text1"/>
              </w:rPr>
              <w:t>**</w:t>
            </w:r>
          </w:p>
        </w:tc>
        <w:tc>
          <w:tcPr>
            <w:tcW w:w="1410" w:type="dxa"/>
            <w:tcBorders>
              <w:top w:val="single" w:sz="8" w:space="0" w:color="auto"/>
              <w:left w:val="single" w:sz="8" w:space="0" w:color="auto"/>
              <w:bottom w:val="single" w:sz="8" w:space="0" w:color="auto"/>
              <w:right w:val="single" w:sz="8" w:space="0" w:color="auto"/>
            </w:tcBorders>
            <w:vAlign w:val="center"/>
          </w:tcPr>
          <w:p w14:paraId="193DDDCF" w14:textId="1FB66196" w:rsidR="00C12653" w:rsidRPr="001E7AA4" w:rsidRDefault="00600FE4" w:rsidP="0097318D">
            <w:pPr>
              <w:jc w:val="center"/>
              <w:rPr>
                <w:rFonts w:ascii="Calibri" w:eastAsia="Calibri" w:hAnsi="Calibri" w:cs="Calibri"/>
                <w:color w:val="000000" w:themeColor="text1"/>
              </w:rPr>
            </w:pPr>
            <w:r w:rsidRPr="001E7AA4">
              <w:rPr>
                <w:rFonts w:ascii="Calibri" w:eastAsia="Calibri" w:hAnsi="Calibri" w:cs="Calibri"/>
                <w:color w:val="000000" w:themeColor="text1"/>
              </w:rPr>
              <w:t>3.</w:t>
            </w:r>
            <w:r w:rsidR="00C70424" w:rsidRPr="001E7AA4">
              <w:rPr>
                <w:rFonts w:ascii="Calibri" w:eastAsia="Calibri" w:hAnsi="Calibri" w:cs="Calibri"/>
                <w:color w:val="000000" w:themeColor="text1"/>
              </w:rPr>
              <w:t>4</w:t>
            </w:r>
            <w:r w:rsidRPr="001E7AA4">
              <w:rPr>
                <w:rFonts w:ascii="Calibri" w:eastAsia="Calibri" w:hAnsi="Calibri" w:cs="Calibri"/>
                <w:color w:val="000000" w:themeColor="text1"/>
              </w:rPr>
              <w:t>%</w:t>
            </w:r>
          </w:p>
        </w:tc>
        <w:tc>
          <w:tcPr>
            <w:tcW w:w="1620" w:type="dxa"/>
            <w:tcBorders>
              <w:top w:val="single" w:sz="8" w:space="0" w:color="auto"/>
              <w:left w:val="single" w:sz="8" w:space="0" w:color="auto"/>
              <w:bottom w:val="single" w:sz="8" w:space="0" w:color="auto"/>
              <w:right w:val="single" w:sz="8" w:space="0" w:color="auto"/>
            </w:tcBorders>
            <w:vAlign w:val="center"/>
          </w:tcPr>
          <w:p w14:paraId="757318FA" w14:textId="4B3FB19E" w:rsidR="00C12653" w:rsidRPr="001E7AA4" w:rsidRDefault="00596C7B" w:rsidP="0097318D">
            <w:pPr>
              <w:jc w:val="center"/>
              <w:rPr>
                <w:rFonts w:ascii="Calibri" w:eastAsia="Calibri" w:hAnsi="Calibri" w:cs="Calibri"/>
                <w:color w:val="000000" w:themeColor="text1"/>
              </w:rPr>
            </w:pPr>
            <w:r w:rsidRPr="001E7AA4">
              <w:rPr>
                <w:rFonts w:ascii="Calibri" w:eastAsia="Calibri" w:hAnsi="Calibri" w:cs="Calibri"/>
                <w:color w:val="000000" w:themeColor="text1"/>
              </w:rPr>
              <w:t>-</w:t>
            </w:r>
          </w:p>
        </w:tc>
      </w:tr>
    </w:tbl>
    <w:p w14:paraId="183501A0" w14:textId="08CF3750" w:rsidR="00E065E0" w:rsidRPr="001E7AA4" w:rsidRDefault="00E065E0" w:rsidP="00E74934">
      <w:pPr>
        <w:pStyle w:val="Source"/>
        <w:spacing w:after="120"/>
      </w:pPr>
      <w:r w:rsidRPr="001E7AA4">
        <w:t>*</w:t>
      </w:r>
      <w:r w:rsidR="00E26665" w:rsidRPr="001E7AA4">
        <w:t xml:space="preserve"> </w:t>
      </w:r>
      <w:r w:rsidR="0085035F" w:rsidRPr="001E7AA4">
        <w:t>Population parity</w:t>
      </w:r>
      <w:r w:rsidR="003D006B" w:rsidRPr="001E7AA4">
        <w:t xml:space="preserve"> figures</w:t>
      </w:r>
      <w:r w:rsidR="0085035F" w:rsidRPr="001E7AA4">
        <w:t xml:space="preserve"> </w:t>
      </w:r>
      <w:r w:rsidR="00111B8A" w:rsidRPr="001E7AA4">
        <w:t xml:space="preserve">indicate the proportion of the </w:t>
      </w:r>
      <w:r w:rsidR="00AC324F" w:rsidRPr="001E7AA4">
        <w:t>total</w:t>
      </w:r>
      <w:r w:rsidR="00111B8A" w:rsidRPr="001E7AA4">
        <w:t xml:space="preserve"> Australian </w:t>
      </w:r>
      <w:r w:rsidR="00261DD1" w:rsidRPr="001E7AA4">
        <w:t xml:space="preserve">adult </w:t>
      </w:r>
      <w:r w:rsidR="00111B8A" w:rsidRPr="001E7AA4">
        <w:t xml:space="preserve">population </w:t>
      </w:r>
      <w:r w:rsidR="00617D54" w:rsidRPr="001E7AA4">
        <w:t xml:space="preserve">(20-64 years) </w:t>
      </w:r>
      <w:r w:rsidR="00111B8A" w:rsidRPr="001E7AA4">
        <w:t xml:space="preserve">who </w:t>
      </w:r>
      <w:r w:rsidR="006607E5" w:rsidRPr="001E7AA4">
        <w:t xml:space="preserve">belong to each group </w:t>
      </w:r>
      <w:r w:rsidR="00111B8A" w:rsidRPr="001E7AA4">
        <w:t>and</w:t>
      </w:r>
      <w:r w:rsidR="0085035F" w:rsidRPr="001E7AA4">
        <w:t xml:space="preserve"> are derived from the 20</w:t>
      </w:r>
      <w:r w:rsidR="00B17B8B" w:rsidRPr="001E7AA4">
        <w:t>2</w:t>
      </w:r>
      <w:r w:rsidR="0085035F" w:rsidRPr="001E7AA4">
        <w:t>1 Census of Population and Housing, except for low</w:t>
      </w:r>
      <w:r w:rsidR="00487B59" w:rsidRPr="001E7AA4">
        <w:t xml:space="preserve"> </w:t>
      </w:r>
      <w:r w:rsidR="0085035F" w:rsidRPr="001E7AA4">
        <w:t xml:space="preserve">SES which </w:t>
      </w:r>
      <w:r w:rsidR="00F2246F" w:rsidRPr="001E7AA4">
        <w:t>by definition is one quarter of the population.</w:t>
      </w:r>
      <w:r w:rsidR="008B1A15" w:rsidRPr="001E7AA4">
        <w:t xml:space="preserve"> </w:t>
      </w:r>
    </w:p>
    <w:p w14:paraId="5BA22D14" w14:textId="1089AAA4" w:rsidR="008B1A15" w:rsidRPr="001E7AA4" w:rsidRDefault="00E065E0" w:rsidP="00E74934">
      <w:pPr>
        <w:pStyle w:val="Source"/>
        <w:spacing w:after="120"/>
      </w:pPr>
      <w:r w:rsidRPr="001E7AA4">
        <w:t>**</w:t>
      </w:r>
      <w:r w:rsidR="00E26665" w:rsidRPr="001E7AA4">
        <w:t xml:space="preserve"> C</w:t>
      </w:r>
      <w:r w:rsidRPr="001E7AA4">
        <w:t xml:space="preserve">ensus collections for data relating to people with a disability use alternate definitions to higher education data collection. </w:t>
      </w:r>
      <w:r w:rsidR="004F05CF" w:rsidRPr="001E7AA4">
        <w:t>A parity figure for disability needs to be determined in consultation with the higher education sector to ensure the data and value is robust.</w:t>
      </w:r>
    </w:p>
    <w:p w14:paraId="6D984BDE" w14:textId="1F5B1820" w:rsidR="009A0AF2" w:rsidRPr="001E7AA4" w:rsidRDefault="009A0AF2" w:rsidP="00E74934">
      <w:pPr>
        <w:pStyle w:val="Source"/>
      </w:pPr>
      <w:r w:rsidRPr="001E7AA4">
        <w:t>**</w:t>
      </w:r>
      <w:r w:rsidRPr="001E7AA4" w:rsidDel="00C85432">
        <w:t>*</w:t>
      </w:r>
      <w:r w:rsidRPr="001E7AA4">
        <w:t xml:space="preserve"> </w:t>
      </w:r>
      <w:r w:rsidR="00986FAE" w:rsidRPr="001E7AA4">
        <w:t>N</w:t>
      </w:r>
      <w:r w:rsidRPr="001E7AA4">
        <w:t>on-university higher education providers</w:t>
      </w:r>
      <w:r w:rsidR="00274B34" w:rsidRPr="001E7AA4">
        <w:t>.</w:t>
      </w:r>
      <w:r w:rsidR="009115D1">
        <w:br/>
      </w:r>
      <w:r w:rsidR="009115D1" w:rsidRPr="00E96855">
        <w:t xml:space="preserve">Source: Department of Education internal analysis based on Department of Education, </w:t>
      </w:r>
      <w:hyperlink r:id="rId59" w:history="1">
        <w:r w:rsidR="009115D1" w:rsidRPr="00E96855">
          <w:rPr>
            <w:rStyle w:val="Hyperlink"/>
            <w:i/>
            <w:szCs w:val="18"/>
          </w:rPr>
          <w:t>Higher Education Statistics - 2021 student data</w:t>
        </w:r>
      </w:hyperlink>
      <w:r w:rsidR="009115D1" w:rsidRPr="00E96855">
        <w:t xml:space="preserve"> [data set], 2021, accessed 8 June 2023.</w:t>
      </w:r>
    </w:p>
    <w:p w14:paraId="77A8498E" w14:textId="12B2D874" w:rsidR="008B1A15" w:rsidRPr="001E7AA4" w:rsidRDefault="008B1A15" w:rsidP="00F72CFE">
      <w:pPr>
        <w:pStyle w:val="Heading6"/>
      </w:pPr>
      <w:r w:rsidRPr="001E7AA4">
        <w:t>2.3.</w:t>
      </w:r>
      <w:r w:rsidR="00336EFA" w:rsidRPr="001E7AA4">
        <w:t>1</w:t>
      </w:r>
      <w:r w:rsidRPr="001E7AA4">
        <w:t>.1 A new funding system to support students from all backgrounds</w:t>
      </w:r>
    </w:p>
    <w:p w14:paraId="0E1ABF01" w14:textId="4F4F9709" w:rsidR="008B1A15" w:rsidRPr="001E7AA4" w:rsidRDefault="0DA6366E" w:rsidP="008B1A15">
      <w:r w:rsidRPr="001E7AA4">
        <w:t xml:space="preserve">The Review is giving consideration to the </w:t>
      </w:r>
      <w:r w:rsidR="00C81461" w:rsidRPr="001E7AA4">
        <w:t>need for</w:t>
      </w:r>
      <w:r w:rsidRPr="001E7AA4">
        <w:t xml:space="preserve"> </w:t>
      </w:r>
      <w:r w:rsidR="68D81A11" w:rsidRPr="001E7AA4">
        <w:t>f</w:t>
      </w:r>
      <w:r w:rsidR="493B2477" w:rsidRPr="001E7AA4">
        <w:t>unding</w:t>
      </w:r>
      <w:r w:rsidR="008B1A15" w:rsidRPr="001E7AA4">
        <w:t xml:space="preserve"> for learning </w:t>
      </w:r>
      <w:r w:rsidR="0065483C" w:rsidRPr="001E7AA4">
        <w:t>and teaching</w:t>
      </w:r>
      <w:r w:rsidR="008B1A15" w:rsidRPr="001E7AA4">
        <w:t xml:space="preserve"> to support more equitable participation and attainment. </w:t>
      </w:r>
      <w:r w:rsidR="006F0F6B" w:rsidRPr="001E7AA4">
        <w:t>Current</w:t>
      </w:r>
      <w:r w:rsidR="008B1A15" w:rsidRPr="001E7AA4">
        <w:t xml:space="preserve"> equity funding </w:t>
      </w:r>
      <w:r w:rsidR="006F0F6B" w:rsidRPr="001E7AA4">
        <w:t xml:space="preserve">is inadequate and will become more so as the need for greater equity increases. </w:t>
      </w:r>
      <w:r w:rsidR="008B1A15" w:rsidRPr="001E7AA4">
        <w:t xml:space="preserve">As part of </w:t>
      </w:r>
      <w:r w:rsidR="00EC7E05">
        <w:t xml:space="preserve">the </w:t>
      </w:r>
      <w:r w:rsidR="008B1A15" w:rsidRPr="001E7AA4">
        <w:t>JRG</w:t>
      </w:r>
      <w:r w:rsidR="00EC7E05">
        <w:t xml:space="preserve"> package</w:t>
      </w:r>
      <w:r w:rsidR="008B1A15" w:rsidRPr="001E7AA4">
        <w:t>, funding for the Higher Education Participation and Partnerships Program (HEPPP) was reduced by over $200 million (2020-21 to 2023-24)</w:t>
      </w:r>
      <w:r w:rsidR="008C4623" w:rsidRPr="001E7AA4">
        <w:t xml:space="preserve">, with the </w:t>
      </w:r>
      <w:r w:rsidR="004B26BC" w:rsidRPr="001E7AA4">
        <w:t xml:space="preserve">program becoming part of a broader fund – the Indigenous, Regional and </w:t>
      </w:r>
      <w:r w:rsidR="004B26BC" w:rsidRPr="001E7AA4">
        <w:lastRenderedPageBreak/>
        <w:t>Low SES Attainment Fund (IRLSAF)</w:t>
      </w:r>
      <w:r w:rsidR="00CE7E8D" w:rsidRPr="001E7AA4">
        <w:t>.</w:t>
      </w:r>
      <w:r w:rsidR="006F0F6B" w:rsidRPr="001E7AA4">
        <w:t xml:space="preserve"> I</w:t>
      </w:r>
      <w:r w:rsidR="00CE7E8D" w:rsidRPr="001E7AA4">
        <w:t>t</w:t>
      </w:r>
      <w:r w:rsidR="006F0F6B" w:rsidRPr="001E7AA4">
        <w:t>s focus was broadened</w:t>
      </w:r>
      <w:r w:rsidR="00CE7E8D" w:rsidRPr="001E7AA4">
        <w:t xml:space="preserve"> </w:t>
      </w:r>
      <w:r w:rsidR="006F0F6B" w:rsidRPr="001E7AA4">
        <w:t>from assisting students from low</w:t>
      </w:r>
      <w:r w:rsidR="00487B59" w:rsidRPr="001E7AA4">
        <w:t xml:space="preserve"> </w:t>
      </w:r>
      <w:r w:rsidR="006F0F6B" w:rsidRPr="001E7AA4">
        <w:t xml:space="preserve">SES backgrounds to assisting </w:t>
      </w:r>
      <w:r w:rsidR="008B1A15" w:rsidRPr="001E7AA4">
        <w:t>First Nations students and those from regional and remote Australia</w:t>
      </w:r>
      <w:r w:rsidR="006F0F6B" w:rsidRPr="001E7AA4">
        <w:t>.</w:t>
      </w:r>
    </w:p>
    <w:p w14:paraId="331E4AED" w14:textId="6809D252" w:rsidR="008B1A15" w:rsidRPr="001E7AA4" w:rsidRDefault="008B1A15" w:rsidP="008B1A15">
      <w:pPr>
        <w:pStyle w:val="Quote"/>
      </w:pPr>
      <w:r w:rsidRPr="001E7AA4">
        <w:t xml:space="preserve">“It </w:t>
      </w:r>
      <w:r w:rsidR="00C02045" w:rsidRPr="001E7AA4">
        <w:t>[HEPPP]</w:t>
      </w:r>
      <w:r w:rsidRPr="001E7AA4">
        <w:t xml:space="preserve"> has never reached the amount recommended in the Bradley Review, which was originally proposed as 4</w:t>
      </w:r>
      <w:r w:rsidRPr="001E7AA4" w:rsidDel="0002240E">
        <w:t>%</w:t>
      </w:r>
      <w:r w:rsidR="0002240E" w:rsidRPr="001E7AA4">
        <w:t xml:space="preserve"> </w:t>
      </w:r>
      <w:r w:rsidRPr="001E7AA4">
        <w:t>of the Teaching and Learning Base Funding Grant. HEPPP funding was cut in the 2011–12 Budget and 2016–17 Budget and now sits at approximately 1.8</w:t>
      </w:r>
      <w:r w:rsidRPr="001E7AA4" w:rsidDel="0002240E">
        <w:t>%</w:t>
      </w:r>
      <w:r w:rsidR="0002240E" w:rsidRPr="001E7AA4">
        <w:t xml:space="preserve"> </w:t>
      </w:r>
      <w:r w:rsidRPr="001E7AA4">
        <w:t xml:space="preserve">of CGS (including enabling and regional loadings).” </w:t>
      </w:r>
      <w:r w:rsidR="00A16F40">
        <w:br/>
      </w:r>
      <w:r w:rsidRPr="001E7AA4">
        <w:t xml:space="preserve">– Equity Practitioners in Higher Education Australasia </w:t>
      </w:r>
    </w:p>
    <w:p w14:paraId="2C2D3D77" w14:textId="3F549391" w:rsidR="008B1A15" w:rsidRPr="001E7AA4" w:rsidRDefault="007644E8" w:rsidP="008B1A15">
      <w:r w:rsidRPr="001E7AA4">
        <w:t xml:space="preserve">The </w:t>
      </w:r>
      <w:r w:rsidR="000646E5" w:rsidRPr="001E7AA4">
        <w:t xml:space="preserve">Review </w:t>
      </w:r>
      <w:r w:rsidR="00CD2500" w:rsidRPr="001E7AA4">
        <w:t xml:space="preserve">has </w:t>
      </w:r>
      <w:r w:rsidRPr="001E7AA4">
        <w:t>heard</w:t>
      </w:r>
      <w:r w:rsidR="008B1A15" w:rsidRPr="001E7AA4">
        <w:t xml:space="preserve"> </w:t>
      </w:r>
      <w:r w:rsidR="006F0F6B" w:rsidRPr="001E7AA4">
        <w:t xml:space="preserve">that the cost of </w:t>
      </w:r>
      <w:r w:rsidR="008B1A15" w:rsidRPr="001E7AA4">
        <w:t xml:space="preserve">supporting students from underrepresented and educationally disadvantaged cohorts </w:t>
      </w:r>
      <w:r w:rsidR="006F0F6B" w:rsidRPr="001E7AA4">
        <w:t xml:space="preserve">has risen, making </w:t>
      </w:r>
      <w:r w:rsidR="008B1A15" w:rsidRPr="001E7AA4">
        <w:t xml:space="preserve">current funding levels </w:t>
      </w:r>
      <w:r w:rsidR="006F0F6B" w:rsidRPr="001E7AA4">
        <w:t>increasingly</w:t>
      </w:r>
      <w:r w:rsidR="008B1A15" w:rsidRPr="001E7AA4">
        <w:t xml:space="preserve"> insufficient. </w:t>
      </w:r>
    </w:p>
    <w:p w14:paraId="12FCA499" w14:textId="6B46F414" w:rsidR="008B1A15" w:rsidRPr="001E7AA4" w:rsidRDefault="008B1A15" w:rsidP="008B1A15">
      <w:r w:rsidRPr="001E7AA4">
        <w:t xml:space="preserve">Broader changes to the level of base funding for </w:t>
      </w:r>
      <w:r w:rsidR="55134A40" w:rsidRPr="001E7AA4">
        <w:t>CSPs</w:t>
      </w:r>
      <w:r w:rsidRPr="001E7AA4">
        <w:t xml:space="preserve"> introduced through </w:t>
      </w:r>
      <w:r w:rsidR="00EC7E05">
        <w:t xml:space="preserve">the </w:t>
      </w:r>
      <w:r w:rsidRPr="001E7AA4">
        <w:t>JRG</w:t>
      </w:r>
      <w:r w:rsidR="00EC7E05">
        <w:t xml:space="preserve"> package</w:t>
      </w:r>
      <w:r w:rsidRPr="001E7AA4">
        <w:t xml:space="preserve"> have also reduced the resources available to universities to provide the academic support needed to facilitate student completion of degrees. This is further discussed in </w:t>
      </w:r>
      <w:r w:rsidR="00841FC7" w:rsidRPr="001E7AA4">
        <w:t>Section</w:t>
      </w:r>
      <w:r w:rsidRPr="001E7AA4">
        <w:t xml:space="preserve"> 3.3.  </w:t>
      </w:r>
    </w:p>
    <w:p w14:paraId="01434E76" w14:textId="6A0BA2DC" w:rsidR="008B1A15" w:rsidRPr="001E7AA4" w:rsidRDefault="006F0F6B" w:rsidP="008B1A15">
      <w:r w:rsidRPr="001E7AA4">
        <w:t>To increase retention, i</w:t>
      </w:r>
      <w:r w:rsidR="008B1A15" w:rsidRPr="001E7AA4">
        <w:t>nstitutions need to ensure students receive appropriate pastoral support</w:t>
      </w:r>
      <w:r w:rsidRPr="001E7AA4">
        <w:t>. This includes measures that generate</w:t>
      </w:r>
      <w:r w:rsidR="008B1A15" w:rsidRPr="001E7AA4">
        <w:t xml:space="preserve"> social inclusion and foster a sense of belonging</w:t>
      </w:r>
      <w:r w:rsidRPr="001E7AA4">
        <w:t xml:space="preserve">: </w:t>
      </w:r>
      <w:r w:rsidR="008B1A15" w:rsidRPr="001E7AA4">
        <w:t>mentoring</w:t>
      </w:r>
      <w:r w:rsidRPr="001E7AA4">
        <w:t>,</w:t>
      </w:r>
      <w:r w:rsidR="008B1A15" w:rsidRPr="001E7AA4">
        <w:t xml:space="preserve"> extra-curricular activities, tutoring</w:t>
      </w:r>
      <w:r w:rsidRPr="001E7AA4">
        <w:t xml:space="preserve">, and </w:t>
      </w:r>
      <w:r w:rsidR="008B1A15" w:rsidRPr="001E7AA4">
        <w:t>foundational skills and academic preparedness</w:t>
      </w:r>
      <w:r w:rsidRPr="001E7AA4">
        <w:t xml:space="preserve"> programs</w:t>
      </w:r>
      <w:r w:rsidR="008B1A15" w:rsidRPr="001E7AA4">
        <w:t xml:space="preserve">. This is further discussed in </w:t>
      </w:r>
      <w:r w:rsidR="00FD7265" w:rsidRPr="001E7AA4">
        <w:t xml:space="preserve">Section </w:t>
      </w:r>
      <w:r w:rsidR="008B1A15" w:rsidRPr="001E7AA4">
        <w:t>3.2.</w:t>
      </w:r>
    </w:p>
    <w:p w14:paraId="0E25C648" w14:textId="5B73C7EF" w:rsidR="008B1A15" w:rsidRPr="001E7AA4" w:rsidRDefault="008B1A15" w:rsidP="008B1A15">
      <w:r w:rsidRPr="001E7AA4">
        <w:t>There is also a growing body of evidence pointing to the positive effects of learner-centred learning design and pedagogical models and increasing differentiation as noted in</w:t>
      </w:r>
      <w:r w:rsidR="0099481B" w:rsidRPr="001E7AA4">
        <w:t xml:space="preserve"> </w:t>
      </w:r>
      <w:r w:rsidR="001E6B77" w:rsidRPr="001E7AA4">
        <w:t>S</w:t>
      </w:r>
      <w:r w:rsidR="0099481B" w:rsidRPr="001E7AA4">
        <w:t>ection</w:t>
      </w:r>
      <w:r w:rsidRPr="001E7AA4">
        <w:t xml:space="preserve"> 2.4. </w:t>
      </w:r>
    </w:p>
    <w:p w14:paraId="5A348196" w14:textId="765DE6DE" w:rsidR="008B1A15" w:rsidRPr="001E7AA4" w:rsidRDefault="006F0F6B" w:rsidP="008B1A15">
      <w:r w:rsidRPr="001E7AA4">
        <w:t xml:space="preserve">Measures </w:t>
      </w:r>
      <w:r w:rsidR="008B1A15" w:rsidRPr="001E7AA4">
        <w:t xml:space="preserve">to ensure equitable access for people with disability </w:t>
      </w:r>
      <w:r w:rsidRPr="001E7AA4">
        <w:t>are also expensive</w:t>
      </w:r>
      <w:r w:rsidR="00A32DCC" w:rsidRPr="001E7AA4">
        <w:t>, including the identification and implementation of reasonable adjustments and support</w:t>
      </w:r>
      <w:r w:rsidR="0081617B" w:rsidRPr="001E7AA4">
        <w:t xml:space="preserve"> mechanisms</w:t>
      </w:r>
      <w:r w:rsidRPr="001E7AA4">
        <w:t xml:space="preserve">. </w:t>
      </w:r>
      <w:r w:rsidR="493B2477" w:rsidRPr="001E7AA4">
        <w:t>The</w:t>
      </w:r>
      <w:r w:rsidR="08DB9971" w:rsidRPr="001E7AA4">
        <w:t xml:space="preserve"> Review considers that any new</w:t>
      </w:r>
      <w:r w:rsidR="008B1A15" w:rsidRPr="001E7AA4">
        <w:t xml:space="preserve"> funding system must reflect the additional costs incurred by institutions in teaching particular cohorts of students. This is explored further in </w:t>
      </w:r>
      <w:r w:rsidR="00DA2613" w:rsidRPr="001E7AA4">
        <w:t>Section</w:t>
      </w:r>
      <w:r w:rsidR="008B1A15" w:rsidRPr="001E7AA4">
        <w:t xml:space="preserve"> 3.5.</w:t>
      </w:r>
    </w:p>
    <w:p w14:paraId="3B9CADA5" w14:textId="6046EE96" w:rsidR="001B697D" w:rsidRPr="001E7AA4" w:rsidRDefault="001B697D" w:rsidP="001B697D">
      <w:pPr>
        <w:pStyle w:val="Quote"/>
      </w:pPr>
      <w:r w:rsidRPr="001E7AA4">
        <w:t>“Support for people with disability in tertiary education has been largely overlooked in terms of appropriate strategy, policy and funding settings which properly support access, participation, retention and success.</w:t>
      </w:r>
      <w:r w:rsidR="000052DF" w:rsidRPr="001E7AA4">
        <w:t xml:space="preserve">” </w:t>
      </w:r>
      <w:r w:rsidR="00A16F40">
        <w:br/>
      </w:r>
      <w:r w:rsidR="000052DF" w:rsidRPr="001E7AA4">
        <w:t>– Australian Disability Clearinghouse on Education and Training</w:t>
      </w:r>
    </w:p>
    <w:p w14:paraId="2B5C3D22" w14:textId="31FB50A4" w:rsidR="008B1A15" w:rsidRPr="001E7AA4" w:rsidRDefault="008B1A15" w:rsidP="00F72CFE">
      <w:pPr>
        <w:pStyle w:val="Heading6"/>
      </w:pPr>
      <w:bookmarkStart w:id="167" w:name="_Toc135741082"/>
      <w:r w:rsidRPr="001E7AA4">
        <w:t>2.3.</w:t>
      </w:r>
      <w:r w:rsidR="006D5F99" w:rsidRPr="001E7AA4">
        <w:t>1</w:t>
      </w:r>
      <w:r w:rsidRPr="001E7AA4">
        <w:t>.2 Boosting First Nations participation</w:t>
      </w:r>
      <w:bookmarkEnd w:id="167"/>
    </w:p>
    <w:p w14:paraId="0CA21739" w14:textId="11F42770" w:rsidR="008B1A15" w:rsidRPr="001E7AA4" w:rsidRDefault="008B1A15" w:rsidP="008B1A15">
      <w:r w:rsidRPr="001E7AA4">
        <w:t xml:space="preserve">First Nations </w:t>
      </w:r>
      <w:r w:rsidR="000A1B62" w:rsidRPr="001E7AA4">
        <w:rPr>
          <w:rFonts w:ascii="Calibri" w:eastAsia="Calibri" w:hAnsi="Calibri" w:cs="Calibri"/>
        </w:rPr>
        <w:t xml:space="preserve">people </w:t>
      </w:r>
      <w:r w:rsidRPr="001E7AA4">
        <w:t>remain underrepresented in universities, comprising 2</w:t>
      </w:r>
      <w:r w:rsidRPr="001E7AA4" w:rsidDel="0002240E">
        <w:t>%</w:t>
      </w:r>
      <w:r w:rsidR="0002240E" w:rsidRPr="001E7AA4">
        <w:t xml:space="preserve"> </w:t>
      </w:r>
      <w:r w:rsidRPr="001E7AA4">
        <w:t>of the domestic undergraduate student population in 2021, despite making up 3.8</w:t>
      </w:r>
      <w:r w:rsidRPr="001E7AA4" w:rsidDel="0002240E">
        <w:t>%</w:t>
      </w:r>
      <w:r w:rsidR="0002240E" w:rsidRPr="001E7AA4">
        <w:t xml:space="preserve"> </w:t>
      </w:r>
      <w:r w:rsidRPr="001E7AA4">
        <w:t xml:space="preserve">of the total Australian population at the 2021 </w:t>
      </w:r>
      <w:r w:rsidR="002264D2" w:rsidRPr="001E7AA4">
        <w:t>C</w:t>
      </w:r>
      <w:r w:rsidRPr="001E7AA4">
        <w:t>ensus.</w:t>
      </w:r>
      <w:r w:rsidR="00FB5C88" w:rsidRPr="001E7AA4">
        <w:rPr>
          <w:rStyle w:val="FootnoteReference"/>
        </w:rPr>
        <w:footnoteReference w:id="75"/>
      </w:r>
      <w:r w:rsidRPr="001E7AA4">
        <w:t xml:space="preserve"> The introduction of demand driven funding for this cohort from 2021 guarantees a fully funded university place for First Nations people from regional and remote areas accepted into a bachelor-level course. This positive initiative remov</w:t>
      </w:r>
      <w:r w:rsidR="006F0F6B" w:rsidRPr="001E7AA4">
        <w:t>es</w:t>
      </w:r>
      <w:r w:rsidRPr="001E7AA4">
        <w:t xml:space="preserve"> one </w:t>
      </w:r>
      <w:r w:rsidR="006F0F6B" w:rsidRPr="001E7AA4">
        <w:t>crucial</w:t>
      </w:r>
      <w:r w:rsidRPr="001E7AA4">
        <w:t xml:space="preserve"> barrier to higher education for First Nations </w:t>
      </w:r>
      <w:r w:rsidR="000A1B62" w:rsidRPr="001E7AA4">
        <w:rPr>
          <w:rFonts w:ascii="Calibri" w:eastAsia="Calibri" w:hAnsi="Calibri" w:cs="Calibri"/>
        </w:rPr>
        <w:t>people</w:t>
      </w:r>
      <w:r w:rsidRPr="001E7AA4">
        <w:t xml:space="preserve">. </w:t>
      </w:r>
      <w:r w:rsidR="006F0F6B" w:rsidRPr="001E7AA4">
        <w:t>E</w:t>
      </w:r>
      <w:r w:rsidRPr="001E7AA4">
        <w:t>xtending th</w:t>
      </w:r>
      <w:r w:rsidR="006F0F6B" w:rsidRPr="001E7AA4">
        <w:t>is</w:t>
      </w:r>
      <w:r w:rsidRPr="001E7AA4">
        <w:t xml:space="preserve"> measure to all First Nations people, regardless of where they live</w:t>
      </w:r>
      <w:r w:rsidR="006F0F6B" w:rsidRPr="001E7AA4">
        <w:t xml:space="preserve"> will, the </w:t>
      </w:r>
      <w:r w:rsidR="003B1229" w:rsidRPr="001E7AA4">
        <w:t>Review</w:t>
      </w:r>
      <w:r w:rsidR="006F0F6B" w:rsidRPr="001E7AA4">
        <w:t xml:space="preserve"> believes, have a positive effect.</w:t>
      </w:r>
      <w:r w:rsidRPr="001E7AA4">
        <w:t xml:space="preserve">  </w:t>
      </w:r>
    </w:p>
    <w:p w14:paraId="41619F54" w14:textId="42B9ADFF" w:rsidR="008B1A15" w:rsidRPr="001E7AA4" w:rsidRDefault="008B1A15" w:rsidP="008B1A15">
      <w:r w:rsidRPr="001E7AA4">
        <w:t xml:space="preserve">There is clearly demand for higher education from First Nations students, with the number of First Nations people commencing a bachelor degree more than doubling since 2008 to </w:t>
      </w:r>
      <w:r w:rsidR="00D66066" w:rsidRPr="001E7AA4">
        <w:t>5,687</w:t>
      </w:r>
      <w:r w:rsidRPr="001E7AA4">
        <w:t xml:space="preserve"> in 2021.</w:t>
      </w:r>
      <w:r w:rsidR="004C1660" w:rsidRPr="001E7AA4">
        <w:rPr>
          <w:rStyle w:val="FootnoteReference"/>
        </w:rPr>
        <w:footnoteReference w:id="76"/>
      </w:r>
      <w:r w:rsidRPr="001E7AA4">
        <w:t xml:space="preserve"> In 2021, </w:t>
      </w:r>
      <w:r w:rsidR="00324B91" w:rsidRPr="001E7AA4">
        <w:t xml:space="preserve">full-time equivalent </w:t>
      </w:r>
      <w:r w:rsidRPr="001E7AA4">
        <w:t xml:space="preserve">enrolments by First Nations students in metropolitan areas saw strong </w:t>
      </w:r>
      <w:r w:rsidRPr="001E7AA4">
        <w:lastRenderedPageBreak/>
        <w:t>growth (6%).</w:t>
      </w:r>
      <w:r w:rsidR="002D353E" w:rsidRPr="001E7AA4">
        <w:rPr>
          <w:rStyle w:val="FootnoteReference"/>
        </w:rPr>
        <w:footnoteReference w:id="77"/>
      </w:r>
      <w:r w:rsidRPr="001E7AA4">
        <w:t xml:space="preserve"> This suggests that extending</w:t>
      </w:r>
      <w:r w:rsidR="006F0F6B" w:rsidRPr="001E7AA4">
        <w:t xml:space="preserve"> </w:t>
      </w:r>
      <w:r w:rsidRPr="001E7AA4">
        <w:t xml:space="preserve">guaranteed </w:t>
      </w:r>
      <w:r w:rsidR="35DC3071" w:rsidRPr="001E7AA4">
        <w:t>CSPs</w:t>
      </w:r>
      <w:r w:rsidRPr="001E7AA4">
        <w:t xml:space="preserve"> to metropolitan First Nations students has </w:t>
      </w:r>
      <w:r w:rsidR="006F0F6B" w:rsidRPr="001E7AA4">
        <w:t xml:space="preserve">the </w:t>
      </w:r>
      <w:r w:rsidRPr="001E7AA4">
        <w:t xml:space="preserve">strong potential to boost participation and contribute to the Closing the Gap targets. </w:t>
      </w:r>
      <w:r w:rsidR="5ABD274C" w:rsidRPr="001E7AA4">
        <w:t xml:space="preserve">Initial </w:t>
      </w:r>
      <w:r w:rsidRPr="001E7AA4">
        <w:t>estimates</w:t>
      </w:r>
      <w:r w:rsidR="5E4017F1" w:rsidRPr="001E7AA4">
        <w:t xml:space="preserve"> by the Department of Education</w:t>
      </w:r>
      <w:r w:rsidRPr="001E7AA4">
        <w:t xml:space="preserve"> indicate that this could result in funding for an additional </w:t>
      </w:r>
      <w:r w:rsidR="455B1CC1" w:rsidRPr="001E7AA4">
        <w:t>5,423</w:t>
      </w:r>
      <w:r w:rsidRPr="001E7AA4">
        <w:t xml:space="preserve"> places </w:t>
      </w:r>
      <w:r w:rsidR="31D91E0D" w:rsidRPr="001E7AA4">
        <w:t>for First Nations students</w:t>
      </w:r>
      <w:r w:rsidRPr="001E7AA4">
        <w:t xml:space="preserve"> by 20</w:t>
      </w:r>
      <w:r w:rsidR="4A201594" w:rsidRPr="001E7AA4">
        <w:t>34</w:t>
      </w:r>
      <w:r w:rsidRPr="001E7AA4">
        <w:t>.</w:t>
      </w:r>
    </w:p>
    <w:p w14:paraId="592A2724" w14:textId="0F8F4A0E" w:rsidR="008B1A15" w:rsidRDefault="008B1A15" w:rsidP="008B1A15">
      <w:r w:rsidRPr="001E7AA4">
        <w:t xml:space="preserve">While the introduction of demand driven funding for regional and remote First Nations students under the JRG </w:t>
      </w:r>
      <w:r w:rsidR="00EC7E05">
        <w:t xml:space="preserve">package </w:t>
      </w:r>
      <w:r w:rsidRPr="001E7AA4">
        <w:t xml:space="preserve">provides further opportunities for university, the changes to student contributions implemented unfairly affected First Nations students. On average, student contributions for First Nations students increased by 14%, compared to </w:t>
      </w:r>
      <w:r w:rsidR="001C1287" w:rsidRPr="001E7AA4">
        <w:t>10</w:t>
      </w:r>
      <w:r w:rsidRPr="001E7AA4" w:rsidDel="0002240E">
        <w:t>%</w:t>
      </w:r>
      <w:r w:rsidR="0002240E" w:rsidRPr="001E7AA4">
        <w:t xml:space="preserve"> </w:t>
      </w:r>
      <w:r w:rsidRPr="001E7AA4">
        <w:t>for all stud</w:t>
      </w:r>
      <w:r w:rsidR="007644E8" w:rsidRPr="001E7AA4">
        <w:t>ents</w:t>
      </w:r>
      <w:r w:rsidRPr="001E7AA4">
        <w:t>.</w:t>
      </w:r>
      <w:r w:rsidR="001C1287" w:rsidRPr="001E7AA4">
        <w:rPr>
          <w:rStyle w:val="FootnoteReference"/>
        </w:rPr>
        <w:footnoteReference w:id="78"/>
      </w:r>
      <w:r w:rsidRPr="001E7AA4">
        <w:t xml:space="preserve"> Changes to student contributions under </w:t>
      </w:r>
      <w:r w:rsidR="00EC7E05">
        <w:t xml:space="preserve">the </w:t>
      </w:r>
      <w:r w:rsidRPr="001E7AA4">
        <w:t>JRG</w:t>
      </w:r>
      <w:r w:rsidR="00EC7E05">
        <w:t xml:space="preserve"> package</w:t>
      </w:r>
      <w:r w:rsidRPr="001E7AA4">
        <w:t xml:space="preserve"> are further explored in </w:t>
      </w:r>
      <w:r w:rsidR="00DA2613" w:rsidRPr="001E7AA4">
        <w:t>Section</w:t>
      </w:r>
      <w:r w:rsidRPr="001E7AA4">
        <w:t xml:space="preserve"> 3.3.</w:t>
      </w:r>
    </w:p>
    <w:tbl>
      <w:tblPr>
        <w:tblStyle w:val="ImmediateAction0"/>
        <w:tblW w:w="0" w:type="auto"/>
        <w:tblLook w:val="04A0" w:firstRow="1" w:lastRow="0" w:firstColumn="1" w:lastColumn="0" w:noHBand="0" w:noVBand="1"/>
      </w:tblPr>
      <w:tblGrid>
        <w:gridCol w:w="9016"/>
      </w:tblGrid>
      <w:tr w:rsidR="00E74934" w14:paraId="529DAC6D" w14:textId="77777777" w:rsidTr="00E74934">
        <w:tc>
          <w:tcPr>
            <w:tcW w:w="9016" w:type="dxa"/>
          </w:tcPr>
          <w:p w14:paraId="279FAE77" w14:textId="77777777" w:rsidR="00E74934" w:rsidRPr="0095563C" w:rsidRDefault="00E74934" w:rsidP="00E74934">
            <w:pPr>
              <w:pStyle w:val="ImmediateAction-Heading"/>
              <w:spacing w:before="60" w:after="60"/>
            </w:pPr>
            <w:bookmarkStart w:id="168" w:name="_Hlk140588157"/>
            <w:r w:rsidRPr="0095563C">
              <w:t xml:space="preserve">Immediate </w:t>
            </w:r>
            <w:r w:rsidRPr="00E74934">
              <w:t>action</w:t>
            </w:r>
            <w:r w:rsidRPr="0095563C">
              <w:t xml:space="preserve">: </w:t>
            </w:r>
          </w:p>
          <w:p w14:paraId="10EC419C" w14:textId="7859380F" w:rsidR="00E74934" w:rsidRDefault="00E74934" w:rsidP="00E74934">
            <w:pPr>
              <w:spacing w:after="120"/>
            </w:pPr>
            <w:r w:rsidRPr="001E7AA4">
              <w:t>Ensure that all First Nations students are eligible for a funded place at university, by extending demand driven funding to metropolitan First Nations students</w:t>
            </w:r>
          </w:p>
        </w:tc>
      </w:tr>
    </w:tbl>
    <w:bookmarkEnd w:id="168"/>
    <w:p w14:paraId="260851EF" w14:textId="0BC21919" w:rsidR="0095563C" w:rsidRPr="001E7AA4" w:rsidRDefault="0095563C" w:rsidP="002D7F91">
      <w:pPr>
        <w:pStyle w:val="Pulloutboxes"/>
      </w:pPr>
      <w:r w:rsidRPr="00253000">
        <w:t>This is a first step towards ensuring access to higher education for students from underrepresented backgrounds.</w:t>
      </w:r>
    </w:p>
    <w:p w14:paraId="4EE8B7D8" w14:textId="4823B9CC" w:rsidR="008B1A15" w:rsidRPr="001E7AA4" w:rsidRDefault="008B1A15" w:rsidP="00F72CFE">
      <w:pPr>
        <w:pStyle w:val="Heading6"/>
      </w:pPr>
      <w:r w:rsidRPr="001E7AA4">
        <w:t xml:space="preserve">2.3.1.3 Supporting students to succeed </w:t>
      </w:r>
    </w:p>
    <w:p w14:paraId="50E1BA80" w14:textId="1E748E4C" w:rsidR="008B1A15" w:rsidRPr="001E7AA4" w:rsidRDefault="008B1A15" w:rsidP="008B1A15">
      <w:r w:rsidRPr="001E7AA4">
        <w:t xml:space="preserve">As the higher education system grows, a more diverse student cohort will </w:t>
      </w:r>
      <w:r w:rsidR="006F0F6B" w:rsidRPr="001E7AA4">
        <w:t>require additional</w:t>
      </w:r>
      <w:r w:rsidRPr="001E7AA4">
        <w:t xml:space="preserve"> support to succeed. </w:t>
      </w:r>
    </w:p>
    <w:p w14:paraId="7EBCA2F4" w14:textId="7883C6C8" w:rsidR="008B1A15" w:rsidRPr="001E7AA4" w:rsidRDefault="006F0F6B" w:rsidP="008B1A15">
      <w:r w:rsidRPr="001E7AA4">
        <w:t xml:space="preserve">As well as better learning </w:t>
      </w:r>
      <w:r w:rsidR="0065483C" w:rsidRPr="001E7AA4">
        <w:t>and teaching</w:t>
      </w:r>
      <w:r w:rsidRPr="001E7AA4">
        <w:t xml:space="preserve"> (see </w:t>
      </w:r>
      <w:r w:rsidR="00DA2613" w:rsidRPr="001E7AA4">
        <w:t>Section</w:t>
      </w:r>
      <w:r w:rsidRPr="001E7AA4">
        <w:t xml:space="preserve"> 2.4), t</w:t>
      </w:r>
      <w:r w:rsidR="008B1A15" w:rsidRPr="001E7AA4">
        <w:t>imely</w:t>
      </w:r>
      <w:r w:rsidRPr="001E7AA4">
        <w:t xml:space="preserve"> and</w:t>
      </w:r>
      <w:r w:rsidR="008B1A15" w:rsidRPr="001E7AA4">
        <w:t xml:space="preserve"> targeted institutional support</w:t>
      </w:r>
      <w:r w:rsidRPr="001E7AA4">
        <w:t xml:space="preserve"> will make a big difference. S</w:t>
      </w:r>
      <w:r w:rsidR="008B1A15" w:rsidRPr="001E7AA4">
        <w:t xml:space="preserve">takeholder feedback </w:t>
      </w:r>
      <w:r w:rsidRPr="001E7AA4">
        <w:t xml:space="preserve">points overwhelmingly to the discouraging effects of </w:t>
      </w:r>
      <w:r w:rsidR="008B1A15" w:rsidRPr="001E7AA4">
        <w:t>the 50</w:t>
      </w:r>
      <w:r w:rsidR="008B1A15" w:rsidRPr="001E7AA4" w:rsidDel="0002240E">
        <w:t>%</w:t>
      </w:r>
      <w:r w:rsidR="0002240E" w:rsidRPr="001E7AA4">
        <w:t xml:space="preserve"> </w:t>
      </w:r>
      <w:r w:rsidR="008B1A15" w:rsidRPr="001E7AA4">
        <w:t xml:space="preserve">pass rule, introduced under the </w:t>
      </w:r>
      <w:r w:rsidRPr="001E7AA4">
        <w:t xml:space="preserve">JRG </w:t>
      </w:r>
      <w:r w:rsidR="008B1A15" w:rsidRPr="001E7AA4">
        <w:t>arrangement</w:t>
      </w:r>
      <w:r w:rsidR="00166D7E" w:rsidRPr="001E7AA4">
        <w:t>s</w:t>
      </w:r>
      <w:r w:rsidR="008B1A15" w:rsidRPr="001E7AA4">
        <w:t>.</w:t>
      </w:r>
    </w:p>
    <w:p w14:paraId="25C45E68" w14:textId="2C5D2287" w:rsidR="008B1A15" w:rsidRPr="001E7AA4" w:rsidRDefault="008B1A15" w:rsidP="008B1A15">
      <w:r w:rsidRPr="001E7AA4">
        <w:t>Under this rule, students who fail more than 50</w:t>
      </w:r>
      <w:r w:rsidRPr="001E7AA4" w:rsidDel="0002240E">
        <w:t>%</w:t>
      </w:r>
      <w:r w:rsidR="0002240E" w:rsidRPr="001E7AA4">
        <w:t xml:space="preserve"> </w:t>
      </w:r>
      <w:r w:rsidRPr="001E7AA4">
        <w:t xml:space="preserve">of their units of study are no longer eligible to access Commonwealth assistance for their course. </w:t>
      </w:r>
      <w:r w:rsidR="006F0F6B" w:rsidRPr="001E7AA4">
        <w:t xml:space="preserve">The measure </w:t>
      </w:r>
      <w:r w:rsidRPr="001E7AA4">
        <w:t>is causing undue stress for students</w:t>
      </w:r>
      <w:r w:rsidR="006F0F6B" w:rsidRPr="001E7AA4">
        <w:t xml:space="preserve"> and </w:t>
      </w:r>
      <w:r w:rsidRPr="001E7AA4">
        <w:t xml:space="preserve">advice suggests </w:t>
      </w:r>
      <w:r w:rsidR="006F0F6B" w:rsidRPr="001E7AA4">
        <w:t xml:space="preserve">that </w:t>
      </w:r>
      <w:r w:rsidRPr="001E7AA4">
        <w:t>more than 8,000 students have been or are at risk of being affected by this rule.</w:t>
      </w:r>
      <w:r w:rsidRPr="001E7AA4">
        <w:rPr>
          <w:rStyle w:val="FootnoteReference"/>
        </w:rPr>
        <w:footnoteReference w:id="79"/>
      </w:r>
      <w:r w:rsidRPr="001E7AA4">
        <w:t xml:space="preserve"> Students from underrepresented </w:t>
      </w:r>
      <w:r w:rsidR="006F0F6B" w:rsidRPr="001E7AA4">
        <w:t xml:space="preserve">groups </w:t>
      </w:r>
      <w:r w:rsidRPr="001E7AA4">
        <w:t>at university mak</w:t>
      </w:r>
      <w:r w:rsidR="00166D7E" w:rsidRPr="001E7AA4">
        <w:t>e</w:t>
      </w:r>
      <w:r w:rsidRPr="001E7AA4">
        <w:t xml:space="preserve"> up the majority of those affected and </w:t>
      </w:r>
      <w:r w:rsidR="001C2B38" w:rsidRPr="001E7AA4">
        <w:t xml:space="preserve">First Nations </w:t>
      </w:r>
      <w:r w:rsidRPr="001E7AA4">
        <w:t>students are around twice as likely</w:t>
      </w:r>
      <w:r w:rsidR="006F0F6B" w:rsidRPr="001E7AA4">
        <w:t xml:space="preserve"> to be </w:t>
      </w:r>
      <w:r w:rsidR="00521B54" w:rsidRPr="001E7AA4">
        <w:t>a</w:t>
      </w:r>
      <w:r w:rsidR="006F0F6B" w:rsidRPr="001E7AA4">
        <w:t>ffected as their non-</w:t>
      </w:r>
      <w:r w:rsidR="008E6AB0" w:rsidRPr="001E7AA4">
        <w:t xml:space="preserve">First Nations </w:t>
      </w:r>
      <w:r w:rsidR="006F0F6B" w:rsidRPr="001E7AA4">
        <w:t>counterparts</w:t>
      </w:r>
      <w:r w:rsidRPr="001E7AA4">
        <w:t>.</w:t>
      </w:r>
    </w:p>
    <w:p w14:paraId="796687AE" w14:textId="5EB8F9E7" w:rsidR="00272CC8" w:rsidRDefault="008B1A15" w:rsidP="008B1A15">
      <w:r w:rsidRPr="001E7AA4">
        <w:t>Any changes to these arrangements need to be accompanied by stronger accountability and reporting processes to better track students’ learning and engagement, as part of their progress at key milestones in their units. This holds institutions to account for identifying at</w:t>
      </w:r>
      <w:r w:rsidR="006F0F6B" w:rsidRPr="001E7AA4">
        <w:t>-</w:t>
      </w:r>
      <w:r w:rsidRPr="001E7AA4">
        <w:t>need students as early as possible to implement tailored strategies. This is also to ensure students do not unnecessarily accrue debt without</w:t>
      </w:r>
      <w:r w:rsidR="006F0F6B" w:rsidRPr="001E7AA4">
        <w:t xml:space="preserve"> gaining a qualification</w:t>
      </w:r>
      <w:r w:rsidRPr="001E7AA4">
        <w:t xml:space="preserve">. </w:t>
      </w:r>
    </w:p>
    <w:p w14:paraId="7957F30C" w14:textId="77777777" w:rsidR="00272CC8" w:rsidRDefault="00272CC8">
      <w:pPr>
        <w:spacing w:after="160"/>
      </w:pPr>
      <w:r>
        <w:br w:type="page"/>
      </w:r>
    </w:p>
    <w:p w14:paraId="014E7A0E" w14:textId="527BA66B" w:rsidR="008B1A15" w:rsidRPr="001E7AA4" w:rsidRDefault="0001196B" w:rsidP="008B1A15">
      <w:pPr>
        <w:pStyle w:val="Quote"/>
      </w:pPr>
      <w:r w:rsidRPr="001E7AA4">
        <w:lastRenderedPageBreak/>
        <w:t>“</w:t>
      </w:r>
      <w:r w:rsidR="008B1A15" w:rsidRPr="001E7AA4">
        <w:t>Low SES student cohorts are generally more adversely impacted than others through these measures. An increase in proactive student learning support and guidance intervention mechanisms would be more effective in enabling these student cohorts.</w:t>
      </w:r>
      <w:r w:rsidRPr="001E7AA4">
        <w:t>”</w:t>
      </w:r>
      <w:r w:rsidR="008B1A15" w:rsidRPr="001E7AA4">
        <w:t xml:space="preserve"> </w:t>
      </w:r>
      <w:r w:rsidR="00A16F40">
        <w:br/>
      </w:r>
      <w:r w:rsidR="008B1A15" w:rsidRPr="001E7AA4">
        <w:t>– Arts, Education and Law Group, Griffith University</w:t>
      </w:r>
    </w:p>
    <w:tbl>
      <w:tblPr>
        <w:tblStyle w:val="ImmediateAction0"/>
        <w:tblW w:w="0" w:type="auto"/>
        <w:tblLook w:val="04A0" w:firstRow="1" w:lastRow="0" w:firstColumn="1" w:lastColumn="0" w:noHBand="0" w:noVBand="1"/>
      </w:tblPr>
      <w:tblGrid>
        <w:gridCol w:w="9016"/>
      </w:tblGrid>
      <w:tr w:rsidR="004A78B4" w14:paraId="07D8BB41" w14:textId="77777777" w:rsidTr="00312894">
        <w:tc>
          <w:tcPr>
            <w:tcW w:w="9016" w:type="dxa"/>
          </w:tcPr>
          <w:p w14:paraId="42830575" w14:textId="77777777" w:rsidR="004A78B4" w:rsidRPr="0095563C" w:rsidRDefault="004A78B4" w:rsidP="004A78B4">
            <w:pPr>
              <w:pStyle w:val="ImmediateAction-Heading"/>
            </w:pPr>
            <w:bookmarkStart w:id="169" w:name="_Toc136259192"/>
            <w:bookmarkStart w:id="170" w:name="_Toc137829552"/>
            <w:bookmarkStart w:id="171" w:name="_Toc253772783"/>
            <w:bookmarkStart w:id="172" w:name="_Toc139028884"/>
            <w:r w:rsidRPr="0095563C">
              <w:t xml:space="preserve">Immediate action: </w:t>
            </w:r>
          </w:p>
          <w:p w14:paraId="5B41D6C2" w14:textId="377524F5" w:rsidR="004A78B4" w:rsidRDefault="004A78B4" w:rsidP="004A78B4">
            <w:pPr>
              <w:spacing w:after="120"/>
            </w:pPr>
            <w:r w:rsidRPr="001E7AA4">
              <w:t>Cease the 50</w:t>
            </w:r>
            <w:r w:rsidRPr="001E7AA4" w:rsidDel="0002240E">
              <w:t>%</w:t>
            </w:r>
            <w:r w:rsidRPr="001E7AA4">
              <w:t xml:space="preserve"> pass rule, given its poor equity impacts, and require increased reporting on student progress.</w:t>
            </w:r>
          </w:p>
        </w:tc>
      </w:tr>
    </w:tbl>
    <w:p w14:paraId="67F45475" w14:textId="366252EA" w:rsidR="008B1A15" w:rsidRPr="001E7AA4" w:rsidRDefault="5BAAEE5A" w:rsidP="00F72CFE">
      <w:pPr>
        <w:pStyle w:val="Heading5"/>
      </w:pPr>
      <w:r w:rsidRPr="001E7AA4">
        <w:t xml:space="preserve">2.3.2 </w:t>
      </w:r>
      <w:bookmarkEnd w:id="169"/>
      <w:r w:rsidRPr="001E7AA4">
        <w:t>Opening the doors of opportunity</w:t>
      </w:r>
      <w:bookmarkEnd w:id="170"/>
      <w:bookmarkEnd w:id="171"/>
      <w:bookmarkEnd w:id="172"/>
    </w:p>
    <w:p w14:paraId="23590178" w14:textId="27AC740B" w:rsidR="008B1A15" w:rsidRPr="001E7AA4" w:rsidRDefault="00DB0FE6" w:rsidP="008B1A15">
      <w:pPr>
        <w:rPr>
          <w:lang w:eastAsia="en-AU"/>
        </w:rPr>
      </w:pPr>
      <w:r w:rsidRPr="001E7AA4">
        <w:t xml:space="preserve">Increasing </w:t>
      </w:r>
      <w:r w:rsidR="006F0F6B" w:rsidRPr="001E7AA4">
        <w:t xml:space="preserve">higher education </w:t>
      </w:r>
      <w:r w:rsidR="008B1A15" w:rsidRPr="001E7AA4">
        <w:t xml:space="preserve">participation </w:t>
      </w:r>
      <w:r w:rsidR="006F0F6B" w:rsidRPr="001E7AA4">
        <w:t>rates can’t be achieved by universities alone</w:t>
      </w:r>
      <w:r w:rsidR="008B1A15" w:rsidRPr="001E7AA4">
        <w:t xml:space="preserve">. </w:t>
      </w:r>
      <w:r w:rsidR="006F0F6B" w:rsidRPr="001E7AA4">
        <w:rPr>
          <w:rFonts w:ascii="Calibri" w:hAnsi="Calibri" w:cs="Calibri"/>
          <w:color w:val="000000" w:themeColor="text1"/>
        </w:rPr>
        <w:t>E</w:t>
      </w:r>
      <w:r w:rsidR="008B1A15" w:rsidRPr="001E7AA4">
        <w:rPr>
          <w:rFonts w:ascii="Calibri" w:hAnsi="Calibri" w:cs="Calibri"/>
          <w:color w:val="000000" w:themeColor="text1"/>
        </w:rPr>
        <w:t>arly learning, school</w:t>
      </w:r>
      <w:r w:rsidR="006F0F6B" w:rsidRPr="001E7AA4">
        <w:rPr>
          <w:rFonts w:ascii="Calibri" w:hAnsi="Calibri" w:cs="Calibri"/>
          <w:color w:val="000000" w:themeColor="text1"/>
        </w:rPr>
        <w:t>ing,</w:t>
      </w:r>
      <w:r w:rsidR="008B1A15" w:rsidRPr="001E7AA4">
        <w:rPr>
          <w:rFonts w:ascii="Calibri" w:hAnsi="Calibri" w:cs="Calibri"/>
          <w:color w:val="000000" w:themeColor="text1"/>
        </w:rPr>
        <w:t xml:space="preserve"> and VET systems </w:t>
      </w:r>
      <w:r w:rsidR="006F0F6B" w:rsidRPr="001E7AA4">
        <w:rPr>
          <w:rFonts w:ascii="Calibri" w:hAnsi="Calibri" w:cs="Calibri"/>
          <w:color w:val="000000" w:themeColor="text1"/>
        </w:rPr>
        <w:t xml:space="preserve">have a big role to play. Efforts at the </w:t>
      </w:r>
      <w:r w:rsidR="00FE32F5" w:rsidRPr="001E7AA4">
        <w:rPr>
          <w:rFonts w:ascii="Calibri" w:hAnsi="Calibri" w:cs="Calibri"/>
          <w:color w:val="000000" w:themeColor="text1"/>
        </w:rPr>
        <w:t xml:space="preserve">higher education </w:t>
      </w:r>
      <w:r w:rsidR="006F0F6B" w:rsidRPr="001E7AA4">
        <w:rPr>
          <w:rFonts w:ascii="Calibri" w:hAnsi="Calibri" w:cs="Calibri"/>
          <w:color w:val="000000" w:themeColor="text1"/>
        </w:rPr>
        <w:t xml:space="preserve">level must be matched by these other institutions. </w:t>
      </w:r>
    </w:p>
    <w:p w14:paraId="289A20D4" w14:textId="1DEC8138" w:rsidR="008B1A15" w:rsidRPr="001E7AA4" w:rsidRDefault="008B1A15" w:rsidP="00F72CFE">
      <w:pPr>
        <w:pStyle w:val="Heading6"/>
      </w:pPr>
      <w:bookmarkStart w:id="173" w:name="_Toc135741079"/>
      <w:r w:rsidRPr="001E7AA4">
        <w:t>2.3.2.1 Increasing aspiration</w:t>
      </w:r>
      <w:bookmarkEnd w:id="173"/>
      <w:r w:rsidRPr="001E7AA4">
        <w:t xml:space="preserve"> and confidence </w:t>
      </w:r>
    </w:p>
    <w:p w14:paraId="1F4FE4B9" w14:textId="2106FFB4" w:rsidR="008B1A15" w:rsidRPr="001E7AA4" w:rsidRDefault="008B1A15" w:rsidP="006F0F6B">
      <w:pPr>
        <w:rPr>
          <w:rFonts w:ascii="Calibri" w:hAnsi="Calibri" w:cs="Calibri"/>
        </w:rPr>
      </w:pPr>
      <w:r w:rsidRPr="001E7AA4">
        <w:t>T</w:t>
      </w:r>
      <w:r w:rsidR="006F0F6B" w:rsidRPr="001E7AA4">
        <w:t xml:space="preserve">o increase participation from underrepresented groups, universities must look outwards and develop stronger </w:t>
      </w:r>
      <w:r w:rsidRPr="001E7AA4">
        <w:t>links to the school and VET systems</w:t>
      </w:r>
      <w:r w:rsidR="006F0F6B" w:rsidRPr="001E7AA4">
        <w:t xml:space="preserve"> and the wider community. The aim must be to develop the aspirations of potential students and encourage </w:t>
      </w:r>
      <w:r w:rsidRPr="001E7AA4">
        <w:t xml:space="preserve">the self-belief </w:t>
      </w:r>
      <w:r w:rsidR="006F0F6B" w:rsidRPr="001E7AA4">
        <w:t>they need</w:t>
      </w:r>
      <w:r w:rsidRPr="001E7AA4">
        <w:t xml:space="preserve"> to pursue further education</w:t>
      </w:r>
      <w:r w:rsidR="006F0F6B" w:rsidRPr="001E7AA4">
        <w:t xml:space="preserve">. There is an important role for </w:t>
      </w:r>
      <w:r w:rsidRPr="001E7AA4">
        <w:t xml:space="preserve">pathway </w:t>
      </w:r>
      <w:r w:rsidR="006F0F6B" w:rsidRPr="001E7AA4">
        <w:t>programs,</w:t>
      </w:r>
      <w:r w:rsidRPr="001E7AA4">
        <w:t xml:space="preserve"> alternative entry </w:t>
      </w:r>
      <w:r w:rsidR="006F0F6B" w:rsidRPr="001E7AA4">
        <w:t>provisions</w:t>
      </w:r>
      <w:r w:rsidRPr="001E7AA4">
        <w:t>,</w:t>
      </w:r>
      <w:r w:rsidR="006F0F6B" w:rsidRPr="001E7AA4">
        <w:t xml:space="preserve"> and innovative community outreach activities.</w:t>
      </w:r>
    </w:p>
    <w:p w14:paraId="5706501E" w14:textId="77777777" w:rsidR="008B1A15" w:rsidRDefault="008B1A15" w:rsidP="008B1A15">
      <w:r w:rsidRPr="001E7AA4">
        <w:t xml:space="preserve">There are numerous examples of strong outreach initiatives, including collaborative approaches between institutions such as the Queensland Widening Participation Consortium. </w:t>
      </w:r>
    </w:p>
    <w:tbl>
      <w:tblPr>
        <w:tblStyle w:val="CaseStudy0"/>
        <w:tblW w:w="0" w:type="auto"/>
        <w:tblLook w:val="04A0" w:firstRow="1" w:lastRow="0" w:firstColumn="1" w:lastColumn="0" w:noHBand="0" w:noVBand="1"/>
      </w:tblPr>
      <w:tblGrid>
        <w:gridCol w:w="9016"/>
      </w:tblGrid>
      <w:tr w:rsidR="00272CC8" w14:paraId="0372C7C6" w14:textId="77777777" w:rsidTr="00272CC8">
        <w:tc>
          <w:tcPr>
            <w:tcW w:w="9016" w:type="dxa"/>
          </w:tcPr>
          <w:p w14:paraId="0D067842" w14:textId="77777777" w:rsidR="00272CC8" w:rsidRPr="0095563C" w:rsidRDefault="00272CC8" w:rsidP="00272CC8">
            <w:pPr>
              <w:pStyle w:val="CaseStudy-Heading"/>
            </w:pPr>
            <w:r w:rsidRPr="0095563C">
              <w:t>Case study: Queensland Widening Participation Consortium</w:t>
            </w:r>
            <w:r w:rsidRPr="0095563C">
              <w:rPr>
                <w:vertAlign w:val="superscript"/>
              </w:rPr>
              <w:footnoteReference w:id="80"/>
            </w:r>
          </w:p>
          <w:p w14:paraId="4C403239" w14:textId="77777777" w:rsidR="00272CC8" w:rsidRPr="001E7AA4" w:rsidRDefault="00272CC8" w:rsidP="00272CC8">
            <w:r w:rsidRPr="001E7AA4">
              <w:t xml:space="preserve">The Consortium is a collaborative initiative between CQUniversity, Griffith University, James Cook University, Queensland University of Technology, the University of Queensland, the University of Southern Queensland, the University of the Sunshine Coast and the Australian Catholic University. </w:t>
            </w:r>
          </w:p>
          <w:p w14:paraId="1B28B349" w14:textId="7F24605D" w:rsidR="00272CC8" w:rsidRDefault="00272CC8" w:rsidP="00272CC8">
            <w:pPr>
              <w:spacing w:after="120"/>
            </w:pPr>
            <w:r w:rsidRPr="001E7AA4">
              <w:t>The Consortium works with students, parents and caregivers, community members, schools, vocational education institutions, industry and employers to increase participation and aspiration. In 2022, the Consortium partnered with 288 schools (67 primary and 221 secondary) as well as adult learners, First Nations organisations, and other community groups. Two-thirds of the schools were located in regional and remote locations, and 14</w:t>
            </w:r>
            <w:r w:rsidRPr="001E7AA4" w:rsidDel="0002240E">
              <w:t>%</w:t>
            </w:r>
            <w:r w:rsidRPr="001E7AA4">
              <w:t xml:space="preserve"> of their enrolments were Aboriginal and Torres Strait Islander students.</w:t>
            </w:r>
          </w:p>
        </w:tc>
      </w:tr>
    </w:tbl>
    <w:p w14:paraId="7EA182E6" w14:textId="77777777" w:rsidR="00272CC8" w:rsidRDefault="00272CC8">
      <w:pPr>
        <w:spacing w:after="160"/>
      </w:pPr>
      <w:r>
        <w:br w:type="page"/>
      </w:r>
    </w:p>
    <w:p w14:paraId="599B2927" w14:textId="3E141549" w:rsidR="008B1A15" w:rsidRPr="001E7AA4" w:rsidRDefault="008B1A15" w:rsidP="00272CC8">
      <w:pPr>
        <w:pStyle w:val="Normal-AfterTable"/>
      </w:pPr>
      <w:r w:rsidRPr="001E7AA4">
        <w:lastRenderedPageBreak/>
        <w:t>As the Napthine Review noted,</w:t>
      </w:r>
      <w:r w:rsidR="00FD7265" w:rsidRPr="001E7AA4">
        <w:rPr>
          <w:rStyle w:val="FootnoteReference"/>
        </w:rPr>
        <w:footnoteReference w:id="81"/>
      </w:r>
      <w:r w:rsidRPr="001E7AA4">
        <w:t xml:space="preserve"> </w:t>
      </w:r>
      <w:r w:rsidR="006F0F6B" w:rsidRPr="001E7AA4">
        <w:t xml:space="preserve">improved </w:t>
      </w:r>
      <w:r w:rsidRPr="001E7AA4">
        <w:t xml:space="preserve">connections </w:t>
      </w:r>
      <w:r w:rsidR="006F0F6B" w:rsidRPr="001E7AA4">
        <w:t xml:space="preserve">are needed </w:t>
      </w:r>
      <w:r w:rsidRPr="001E7AA4">
        <w:t xml:space="preserve">to build aspiration </w:t>
      </w:r>
      <w:r w:rsidR="006F0F6B" w:rsidRPr="001E7AA4">
        <w:t>among</w:t>
      </w:r>
      <w:r w:rsidRPr="001E7AA4">
        <w:t xml:space="preserve"> regional, rural and remote students. For example, Charles Darwin University’s Bidjipidji School Camp provides a culturally safe university-taster experience for year 10, 11 and 12 First Nations students. Evaluation of the program’s first year, which attracted 35 First Nations students from seven high schools across the Northern Territory, showed </w:t>
      </w:r>
      <w:r w:rsidR="006F0F6B" w:rsidRPr="001E7AA4">
        <w:t xml:space="preserve">a </w:t>
      </w:r>
      <w:r w:rsidRPr="001E7AA4">
        <w:t xml:space="preserve">marked increase in students’ </w:t>
      </w:r>
      <w:r w:rsidR="006F0F6B" w:rsidRPr="001E7AA4">
        <w:t>confidence in their ability to attend university.</w:t>
      </w:r>
      <w:r w:rsidR="005D45D1" w:rsidRPr="001E7AA4">
        <w:rPr>
          <w:rStyle w:val="FootnoteReference"/>
        </w:rPr>
        <w:footnoteReference w:id="82"/>
      </w:r>
      <w:r w:rsidR="006F0F6B" w:rsidRPr="001E7AA4">
        <w:t xml:space="preserve"> </w:t>
      </w:r>
    </w:p>
    <w:p w14:paraId="3086A2EC" w14:textId="77777777" w:rsidR="008B1A15" w:rsidRPr="001E7AA4" w:rsidRDefault="008B1A15" w:rsidP="008B1A15">
      <w:r w:rsidRPr="001E7AA4">
        <w:rPr>
          <w:rStyle w:val="normaltextrun"/>
          <w:rFonts w:ascii="Calibri" w:hAnsi="Calibri" w:cs="Calibri"/>
          <w:color w:val="000000"/>
          <w:shd w:val="clear" w:color="auto" w:fill="FFFFFF"/>
        </w:rPr>
        <w:t>There is also a need to broaden outreach activities more effectively to engage non-school cohorts:</w:t>
      </w:r>
    </w:p>
    <w:p w14:paraId="382504D6" w14:textId="1522227B" w:rsidR="008B1A15" w:rsidRPr="001E7AA4" w:rsidRDefault="008B1A15" w:rsidP="008B1A15">
      <w:pPr>
        <w:pStyle w:val="Quote"/>
      </w:pPr>
      <w:r w:rsidRPr="001E7AA4">
        <w:t xml:space="preserve">“The majority of institutional widening participation activities focus on school leavers. However, to achieve significant growth in participation of equity group students, the sector also needs to reach out more effectively to non-school leavers to enable aspirations for further education and training post a Certificate III qualification.” </w:t>
      </w:r>
      <w:r w:rsidR="00E61ECB">
        <w:br/>
      </w:r>
      <w:r w:rsidRPr="001E7AA4">
        <w:t xml:space="preserve">– Equity Practitioners in Higher Education Australasia </w:t>
      </w:r>
    </w:p>
    <w:p w14:paraId="7F375C0E" w14:textId="5F88AC6C" w:rsidR="008B1A15" w:rsidRPr="001E7AA4" w:rsidRDefault="008B1A15" w:rsidP="008B1A15">
      <w:r w:rsidRPr="001E7AA4">
        <w:t xml:space="preserve">The </w:t>
      </w:r>
      <w:r w:rsidR="003B1229" w:rsidRPr="001E7AA4">
        <w:t>Review</w:t>
      </w:r>
      <w:r w:rsidRPr="001E7AA4">
        <w:t xml:space="preserve"> has also heard of the importance of </w:t>
      </w:r>
      <w:r w:rsidR="006F0F6B" w:rsidRPr="001E7AA4">
        <w:t xml:space="preserve">quality </w:t>
      </w:r>
      <w:r w:rsidRPr="001E7AA4">
        <w:t>career advice</w:t>
      </w:r>
      <w:r w:rsidR="006F0F6B" w:rsidRPr="001E7AA4">
        <w:t>, particularly for first</w:t>
      </w:r>
      <w:r w:rsidRPr="001E7AA4">
        <w:t xml:space="preserve">-in-family </w:t>
      </w:r>
      <w:r w:rsidR="006F0F6B" w:rsidRPr="001E7AA4">
        <w:t xml:space="preserve">students and those </w:t>
      </w:r>
      <w:r w:rsidRPr="001E7AA4">
        <w:t xml:space="preserve">in regional and remote areas, where career advice is often delivered informally by school teachers. There is a need to consider how the provision of personalised career advice can be strengthened, </w:t>
      </w:r>
      <w:r w:rsidR="006F0F6B" w:rsidRPr="001E7AA4">
        <w:t>including</w:t>
      </w:r>
      <w:r w:rsidRPr="001E7AA4">
        <w:t xml:space="preserve"> through a coordinated national approach. </w:t>
      </w:r>
      <w:r w:rsidR="006F0F6B" w:rsidRPr="001E7AA4">
        <w:t xml:space="preserve">The move towards </w:t>
      </w:r>
      <w:r w:rsidRPr="001E7AA4">
        <w:t>lifelong learning</w:t>
      </w:r>
      <w:r w:rsidR="006F0F6B" w:rsidRPr="001E7AA4">
        <w:t xml:space="preserve"> will increase the importance of good career advice across all life stages. </w:t>
      </w:r>
    </w:p>
    <w:p w14:paraId="09D38EE2" w14:textId="77777777" w:rsidR="008B1A15" w:rsidRPr="001E7AA4" w:rsidRDefault="008B1A15" w:rsidP="00F72CFE">
      <w:pPr>
        <w:pStyle w:val="Heading6"/>
      </w:pPr>
      <w:r w:rsidRPr="001E7AA4">
        <w:t xml:space="preserve">2.3.2.2 Building and improving pathways for students </w:t>
      </w:r>
    </w:p>
    <w:p w14:paraId="141D2914" w14:textId="6491235B" w:rsidR="008B1A15" w:rsidRPr="001E7AA4" w:rsidRDefault="008B1A15" w:rsidP="008B1A15">
      <w:r w:rsidRPr="001E7AA4">
        <w:t xml:space="preserve">As noted in </w:t>
      </w:r>
      <w:r w:rsidR="00DA2613" w:rsidRPr="001E7AA4">
        <w:t>Section</w:t>
      </w:r>
      <w:r w:rsidRPr="001E7AA4">
        <w:t xml:space="preserve"> 2.2, pathways </w:t>
      </w:r>
      <w:r w:rsidR="005D2CEB" w:rsidRPr="001E7AA4">
        <w:t>into</w:t>
      </w:r>
      <w:r w:rsidRPr="001E7AA4">
        <w:t xml:space="preserve"> higher education</w:t>
      </w:r>
      <w:r w:rsidR="005D2CEB" w:rsidRPr="001E7AA4">
        <w:t xml:space="preserve"> from</w:t>
      </w:r>
      <w:r w:rsidRPr="001E7AA4">
        <w:t xml:space="preserve"> vocational education and enabling programs are fragmented and uneven. This can be a barrier to higher education for students from equity cohorts who are more likely to enter via VET pathways</w:t>
      </w:r>
      <w:r w:rsidR="00B37C22" w:rsidRPr="001E7AA4">
        <w:t>, as shown in Figure 2.3-1</w:t>
      </w:r>
      <w:r w:rsidRPr="001E7AA4">
        <w:t>.</w:t>
      </w:r>
      <w:r w:rsidR="002A0493" w:rsidRPr="001E7AA4">
        <w:t xml:space="preserve"> </w:t>
      </w:r>
      <w:r w:rsidR="007644E8" w:rsidRPr="001E7AA4">
        <w:t xml:space="preserve">This </w:t>
      </w:r>
      <w:r w:rsidR="00876A5C" w:rsidRPr="001E7AA4">
        <w:t xml:space="preserve">figure </w:t>
      </w:r>
      <w:r w:rsidR="007644E8" w:rsidRPr="001E7AA4">
        <w:t>also highlights that a number of students commencing in a course come from other parts of higher education, either from other institutions or changing courses within the institution.</w:t>
      </w:r>
    </w:p>
    <w:p w14:paraId="3DBDA7DA" w14:textId="2F063B9E" w:rsidR="008B1A15" w:rsidRPr="001E7AA4" w:rsidRDefault="008B1A15" w:rsidP="0093125A">
      <w:pPr>
        <w:pStyle w:val="Caption"/>
      </w:pPr>
      <w:r w:rsidRPr="001E7AA4">
        <w:t>Figure 2.3-</w:t>
      </w:r>
      <w:r w:rsidR="002108BA" w:rsidRPr="001E7AA4">
        <w:t>1</w:t>
      </w:r>
      <w:r w:rsidR="007C0114" w:rsidRPr="001E7AA4">
        <w:t>:</w:t>
      </w:r>
      <w:r w:rsidRPr="001E7AA4">
        <w:t xml:space="preserve"> Basis for admission for domestic commencing bachelor students, 2021</w:t>
      </w:r>
      <w:r w:rsidR="007C0114" w:rsidRPr="001E7AA4">
        <w:t>.</w:t>
      </w:r>
    </w:p>
    <w:p w14:paraId="64571F4E" w14:textId="77777777" w:rsidR="00C52937" w:rsidRPr="001E7AA4" w:rsidRDefault="00C52937" w:rsidP="00C52937">
      <w:r w:rsidRPr="001E7AA4">
        <w:rPr>
          <w:noProof/>
        </w:rPr>
        <w:drawing>
          <wp:inline distT="0" distB="0" distL="0" distR="0" wp14:anchorId="7D58D3D7" wp14:editId="53C3DD82">
            <wp:extent cx="5603739" cy="2251075"/>
            <wp:effectExtent l="0" t="0" r="0" b="0"/>
            <wp:docPr id="44" name="Picture 44" descr="Column graph comparing the basis of admission for domestic commencing bachelor students, 2021. The graph shows secondary education remains the most prevalent basis for admission for all students, followed by students coming from a higher education course. Students from low SES backgrounds and indigenous students have lower basis of admission from secondary school and from higher education than all students but higher admission from V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Column graph comparing the basis of admission for domestic commencing bachelor students, 2021. The graph shows secondary education remains the most prevalent basis for admission for all students, followed by students coming from a higher education course. Students from low SES backgrounds and indigenous students have lower basis of admission from secondary school and from higher education than all students but higher admission from VET."/>
                    <pic:cNvPicPr/>
                  </pic:nvPicPr>
                  <pic:blipFill>
                    <a:blip r:embed="rId60">
                      <a:extLst>
                        <a:ext uri="{28A0092B-C50C-407E-A947-70E740481C1C}">
                          <a14:useLocalDpi xmlns:a14="http://schemas.microsoft.com/office/drawing/2010/main" val="0"/>
                        </a:ext>
                        <a:ext uri="{96DAC541-7B7A-43D3-8B79-37D633B846F1}">
                          <asvg:svgBlip xmlns:asvg="http://schemas.microsoft.com/office/drawing/2016/SVG/main" r:embed="rId61"/>
                        </a:ext>
                      </a:extLst>
                    </a:blip>
                    <a:stretch>
                      <a:fillRect/>
                    </a:stretch>
                  </pic:blipFill>
                  <pic:spPr>
                    <a:xfrm>
                      <a:off x="0" y="0"/>
                      <a:ext cx="5603739" cy="2251075"/>
                    </a:xfrm>
                    <a:prstGeom prst="rect">
                      <a:avLst/>
                    </a:prstGeom>
                  </pic:spPr>
                </pic:pic>
              </a:graphicData>
            </a:graphic>
          </wp:inline>
        </w:drawing>
      </w:r>
    </w:p>
    <w:p w14:paraId="529CE58C" w14:textId="6E06E4D7" w:rsidR="008B1A15" w:rsidRPr="00E96855" w:rsidRDefault="008B1A15" w:rsidP="0093125A">
      <w:pPr>
        <w:pStyle w:val="Source"/>
        <w:rPr>
          <w:color w:val="808080" w:themeColor="background1" w:themeShade="80"/>
          <w:szCs w:val="18"/>
        </w:rPr>
      </w:pPr>
      <w:r w:rsidRPr="004A78B4">
        <w:t xml:space="preserve">Source: </w:t>
      </w:r>
      <w:r w:rsidR="00123F39" w:rsidRPr="004A78B4">
        <w:t xml:space="preserve">Department of </w:t>
      </w:r>
      <w:r w:rsidR="00123F39" w:rsidRPr="0093125A">
        <w:t>Education</w:t>
      </w:r>
      <w:r w:rsidR="00123F39" w:rsidRPr="004A78B4">
        <w:t xml:space="preserve">, </w:t>
      </w:r>
      <w:hyperlink r:id="rId62" w:history="1">
        <w:r w:rsidR="00123F39" w:rsidRPr="00E96855">
          <w:rPr>
            <w:rStyle w:val="Hyperlink"/>
            <w:i/>
            <w:szCs w:val="18"/>
          </w:rPr>
          <w:t xml:space="preserve">Higher Education Statistics </w:t>
        </w:r>
        <w:r w:rsidR="00A16F40">
          <w:rPr>
            <w:rStyle w:val="Hyperlink"/>
            <w:i/>
            <w:szCs w:val="18"/>
          </w:rPr>
          <w:t>–</w:t>
        </w:r>
        <w:r w:rsidR="00123F39" w:rsidRPr="00E96855">
          <w:rPr>
            <w:rStyle w:val="Hyperlink"/>
            <w:i/>
            <w:szCs w:val="18"/>
          </w:rPr>
          <w:t xml:space="preserve"> 2021 student data</w:t>
        </w:r>
      </w:hyperlink>
      <w:r w:rsidR="00123F39" w:rsidRPr="004A78B4">
        <w:t xml:space="preserve"> [data set], 2021, accessed 8 June 2023.</w:t>
      </w:r>
    </w:p>
    <w:p w14:paraId="681EFDE7" w14:textId="25E32C34" w:rsidR="008B1A15" w:rsidRPr="001E7AA4" w:rsidRDefault="008B1A15" w:rsidP="004D5721">
      <w:pPr>
        <w:spacing w:before="240"/>
      </w:pPr>
      <w:r w:rsidRPr="001E7AA4">
        <w:lastRenderedPageBreak/>
        <w:t>Good practice examples, including the partnerships between South Australian universities and TAFE S</w:t>
      </w:r>
      <w:r w:rsidR="00891F91" w:rsidRPr="001E7AA4">
        <w:t xml:space="preserve">outh </w:t>
      </w:r>
      <w:r w:rsidRPr="001E7AA4">
        <w:t>A</w:t>
      </w:r>
      <w:r w:rsidR="00891F91" w:rsidRPr="001E7AA4">
        <w:t>ustralia</w:t>
      </w:r>
      <w:r w:rsidR="007C13F0" w:rsidRPr="001E7AA4">
        <w:t>,</w:t>
      </w:r>
      <w:r w:rsidRPr="001E7AA4">
        <w:t xml:space="preserve"> </w:t>
      </w:r>
      <w:r w:rsidR="00701422" w:rsidRPr="001E7AA4">
        <w:t xml:space="preserve">could </w:t>
      </w:r>
      <w:r w:rsidRPr="001E7AA4">
        <w:t xml:space="preserve">be emulated in other jurisdictions. </w:t>
      </w:r>
    </w:p>
    <w:p w14:paraId="07FF8327" w14:textId="172380AA" w:rsidR="008B1A15" w:rsidRPr="00272CC8" w:rsidRDefault="006F0F6B" w:rsidP="008B1A15">
      <w:pPr>
        <w:rPr>
          <w:spacing w:val="-2"/>
        </w:rPr>
      </w:pPr>
      <w:r w:rsidRPr="00272CC8">
        <w:rPr>
          <w:spacing w:val="-2"/>
        </w:rPr>
        <w:t xml:space="preserve">Encouraging dual sector provision would improve pathways to higher education. One </w:t>
      </w:r>
      <w:r w:rsidR="00701422" w:rsidRPr="00272CC8">
        <w:rPr>
          <w:spacing w:val="-2"/>
        </w:rPr>
        <w:t xml:space="preserve">possibility </w:t>
      </w:r>
      <w:r w:rsidRPr="00272CC8">
        <w:rPr>
          <w:spacing w:val="-2"/>
        </w:rPr>
        <w:t xml:space="preserve">could be to give more </w:t>
      </w:r>
      <w:r w:rsidR="008B1A15" w:rsidRPr="00272CC8">
        <w:rPr>
          <w:spacing w:val="-2"/>
        </w:rPr>
        <w:t>TAFEs</w:t>
      </w:r>
      <w:r w:rsidRPr="00272CC8">
        <w:rPr>
          <w:spacing w:val="-2"/>
        </w:rPr>
        <w:t xml:space="preserve"> (</w:t>
      </w:r>
      <w:r w:rsidR="008B1A15" w:rsidRPr="00272CC8">
        <w:rPr>
          <w:spacing w:val="-2"/>
        </w:rPr>
        <w:t>where they are registered higher education providers</w:t>
      </w:r>
      <w:r w:rsidRPr="00272CC8">
        <w:rPr>
          <w:spacing w:val="-2"/>
        </w:rPr>
        <w:t>)</w:t>
      </w:r>
      <w:r w:rsidR="008B1A15" w:rsidRPr="00272CC8">
        <w:rPr>
          <w:spacing w:val="-2"/>
        </w:rPr>
        <w:t xml:space="preserve"> access to </w:t>
      </w:r>
      <w:r w:rsidR="16DD2DB9" w:rsidRPr="00272CC8">
        <w:rPr>
          <w:spacing w:val="-2"/>
        </w:rPr>
        <w:t>CSP</w:t>
      </w:r>
      <w:r w:rsidR="008B1A15" w:rsidRPr="00272CC8">
        <w:rPr>
          <w:spacing w:val="-2"/>
        </w:rPr>
        <w:t>s. Less divergent funding arrangements would also help foster parity of esteem between the two sectors.</w:t>
      </w:r>
    </w:p>
    <w:p w14:paraId="705728C9" w14:textId="59FC6078" w:rsidR="008B1A15" w:rsidRPr="001E7AA4" w:rsidRDefault="008B1A15" w:rsidP="008B1A15">
      <w:r w:rsidRPr="001E7AA4">
        <w:t xml:space="preserve">The Review heard </w:t>
      </w:r>
      <w:r w:rsidR="006F0F6B" w:rsidRPr="001E7AA4">
        <w:t xml:space="preserve">of the important role played by </w:t>
      </w:r>
      <w:r w:rsidRPr="001E7AA4">
        <w:t>enabling courses. Evidence shows that students who enter a bachelor degree after an enabling course typically achieve better outcomes than those admitted via other sub</w:t>
      </w:r>
      <w:r w:rsidR="006F0F6B" w:rsidRPr="001E7AA4">
        <w:t>-</w:t>
      </w:r>
      <w:r w:rsidRPr="001E7AA4">
        <w:t>bachelor pathways.</w:t>
      </w:r>
      <w:r w:rsidRPr="001E7AA4">
        <w:rPr>
          <w:vertAlign w:val="superscript"/>
        </w:rPr>
        <w:footnoteReference w:id="83"/>
      </w:r>
      <w:r w:rsidR="00817A14" w:rsidRPr="001E7AA4">
        <w:t xml:space="preserve"> </w:t>
      </w:r>
      <w:r w:rsidR="006F0F6B" w:rsidRPr="001E7AA4">
        <w:t xml:space="preserve">Increasing the provision of enabling courses and recognising them </w:t>
      </w:r>
      <w:r w:rsidR="00E807BC" w:rsidRPr="001E7AA4">
        <w:t>formally as part of the</w:t>
      </w:r>
      <w:r w:rsidRPr="001E7AA4">
        <w:t xml:space="preserve"> credentials </w:t>
      </w:r>
      <w:r w:rsidR="00E807BC" w:rsidRPr="001E7AA4">
        <w:t xml:space="preserve">framework, </w:t>
      </w:r>
      <w:r w:rsidRPr="001E7AA4">
        <w:t>would support higher levels of equity participation.</w:t>
      </w:r>
    </w:p>
    <w:p w14:paraId="5AC49B02" w14:textId="420DB270" w:rsidR="008B1A15" w:rsidRPr="001E7AA4" w:rsidRDefault="008B1A15" w:rsidP="00F72CFE">
      <w:pPr>
        <w:pStyle w:val="Heading6"/>
      </w:pPr>
      <w:bookmarkStart w:id="174" w:name="_Toc135739782"/>
      <w:bookmarkStart w:id="175" w:name="_Toc135741081"/>
      <w:r w:rsidRPr="001E7AA4">
        <w:t>2.3.2.3 Creating accessible places of learning for communities</w:t>
      </w:r>
    </w:p>
    <w:p w14:paraId="1A767E0F" w14:textId="6CBA50EC" w:rsidR="00272CC8" w:rsidRDefault="006F0F6B" w:rsidP="008B1A15">
      <w:r w:rsidRPr="001E7AA4">
        <w:rPr>
          <w:rFonts w:eastAsiaTheme="minorEastAsia"/>
        </w:rPr>
        <w:t xml:space="preserve">One way of reaching more students is through more inclusive, </w:t>
      </w:r>
      <w:r w:rsidR="002F5C8A" w:rsidRPr="001E7AA4">
        <w:rPr>
          <w:rFonts w:eastAsiaTheme="minorEastAsia"/>
        </w:rPr>
        <w:t xml:space="preserve">place-based </w:t>
      </w:r>
      <w:r w:rsidRPr="001E7AA4">
        <w:rPr>
          <w:rFonts w:eastAsiaTheme="minorEastAsia"/>
        </w:rPr>
        <w:t xml:space="preserve">course delivery. </w:t>
      </w:r>
      <w:r w:rsidR="005A1D4B" w:rsidRPr="001E7AA4">
        <w:rPr>
          <w:rFonts w:eastAsiaTheme="minorEastAsia"/>
        </w:rPr>
        <w:t xml:space="preserve">The higher education sector </w:t>
      </w:r>
      <w:r w:rsidR="00E807BC" w:rsidRPr="001E7AA4">
        <w:rPr>
          <w:rFonts w:eastAsiaTheme="minorEastAsia"/>
        </w:rPr>
        <w:t>should be encouraged to be more prominent</w:t>
      </w:r>
      <w:r w:rsidR="00A313EB" w:rsidRPr="001E7AA4">
        <w:rPr>
          <w:rFonts w:eastAsiaTheme="minorEastAsia"/>
        </w:rPr>
        <w:t xml:space="preserve">, including having appropriate infrastructure and programs to support students </w:t>
      </w:r>
      <w:r w:rsidR="00813C62" w:rsidRPr="001E7AA4">
        <w:rPr>
          <w:rFonts w:eastAsiaTheme="minorEastAsia"/>
        </w:rPr>
        <w:t>close to where they live and work</w:t>
      </w:r>
      <w:r w:rsidR="00E807BC" w:rsidRPr="001E7AA4">
        <w:t>.</w:t>
      </w:r>
    </w:p>
    <w:p w14:paraId="42BF604D" w14:textId="77777777" w:rsidR="00272CC8" w:rsidRDefault="00272CC8">
      <w:pPr>
        <w:spacing w:after="160"/>
      </w:pPr>
      <w:r>
        <w:br w:type="page"/>
      </w:r>
    </w:p>
    <w:tbl>
      <w:tblPr>
        <w:tblStyle w:val="CaseStudy0"/>
        <w:tblW w:w="0" w:type="auto"/>
        <w:tblLook w:val="04A0" w:firstRow="1" w:lastRow="0" w:firstColumn="1" w:lastColumn="0" w:noHBand="0" w:noVBand="1"/>
      </w:tblPr>
      <w:tblGrid>
        <w:gridCol w:w="9016"/>
      </w:tblGrid>
      <w:tr w:rsidR="00272CC8" w14:paraId="4B705C88" w14:textId="77777777" w:rsidTr="00272CC8">
        <w:tc>
          <w:tcPr>
            <w:tcW w:w="9016" w:type="dxa"/>
          </w:tcPr>
          <w:p w14:paraId="0CFA35D2" w14:textId="77777777" w:rsidR="00272CC8" w:rsidRPr="0095563C" w:rsidRDefault="00272CC8" w:rsidP="00272CC8">
            <w:pPr>
              <w:pStyle w:val="CaseStudy-Heading"/>
            </w:pPr>
            <w:r w:rsidRPr="0095563C">
              <w:lastRenderedPageBreak/>
              <w:t>Case study: Regional University Centres (RUCs)</w:t>
            </w:r>
          </w:p>
          <w:p w14:paraId="75EF639F" w14:textId="77777777" w:rsidR="00272CC8" w:rsidRPr="001E7AA4" w:rsidRDefault="00272CC8" w:rsidP="00272CC8">
            <w:r w:rsidRPr="001E7AA4">
              <w:t>The RUC program takes an innovative approach to improve access to tertiary education for regional and remote students. They provide facilities that regional students can use to study tertiary courses locally delivered by distance from any Australian institution. </w:t>
            </w:r>
          </w:p>
          <w:p w14:paraId="7BCDBCA6" w14:textId="77777777" w:rsidR="00272CC8" w:rsidRPr="001E7AA4" w:rsidRDefault="00272CC8" w:rsidP="00272CC8">
            <w:pPr>
              <w:spacing w:after="120"/>
            </w:pPr>
            <w:r w:rsidRPr="001E7AA4">
              <w:t>RUCs aim to:</w:t>
            </w:r>
          </w:p>
          <w:p w14:paraId="1ECB301B" w14:textId="77777777" w:rsidR="00272CC8" w:rsidRPr="001E7AA4" w:rsidRDefault="00272CC8" w:rsidP="00272CC8">
            <w:pPr>
              <w:pStyle w:val="ListBullet"/>
            </w:pPr>
            <w:r w:rsidRPr="001E7AA4">
              <w:t>enable students in rural, regional and remote Australia to access and complete higher or vocational education without having to leave their community</w:t>
            </w:r>
          </w:p>
          <w:p w14:paraId="740142C3" w14:textId="77777777" w:rsidR="00272CC8" w:rsidRPr="001E7AA4" w:rsidRDefault="00272CC8" w:rsidP="00272CC8">
            <w:pPr>
              <w:pStyle w:val="ListBullet"/>
            </w:pPr>
            <w:r w:rsidRPr="001E7AA4">
              <w:t>meet a demonstrated gap in support for study in a regional, rural or remote community</w:t>
            </w:r>
          </w:p>
          <w:p w14:paraId="6F6B3390" w14:textId="77777777" w:rsidR="00272CC8" w:rsidRPr="001E7AA4" w:rsidRDefault="00272CC8" w:rsidP="00272CC8">
            <w:pPr>
              <w:pStyle w:val="ListBullet"/>
            </w:pPr>
            <w:r w:rsidRPr="001E7AA4">
              <w:t>support students who wish to stay in their community while they complete their course of study</w:t>
            </w:r>
          </w:p>
          <w:p w14:paraId="7EA61DE9" w14:textId="77777777" w:rsidR="00272CC8" w:rsidRPr="001E7AA4" w:rsidRDefault="00272CC8" w:rsidP="00272CC8">
            <w:pPr>
              <w:pStyle w:val="ListBullet"/>
            </w:pPr>
            <w:r w:rsidRPr="001E7AA4">
              <w:t>enhance the experience of students studying within their own community</w:t>
            </w:r>
          </w:p>
          <w:p w14:paraId="45D66490" w14:textId="77777777" w:rsidR="00272CC8" w:rsidRPr="001E7AA4" w:rsidRDefault="00272CC8" w:rsidP="00272CC8">
            <w:pPr>
              <w:pStyle w:val="ListBullet"/>
            </w:pPr>
            <w:r w:rsidRPr="001E7AA4">
              <w:t>encourage strong links between the Centres and other organisations in the area, including other support services that students may access and industry</w:t>
            </w:r>
          </w:p>
          <w:p w14:paraId="4CDCB7F6" w14:textId="77777777" w:rsidR="00272CC8" w:rsidRPr="001E7AA4" w:rsidRDefault="00272CC8" w:rsidP="00272CC8">
            <w:pPr>
              <w:pStyle w:val="ListBullet"/>
              <w:rPr>
                <w:rFonts w:cstheme="minorHAnsi"/>
              </w:rPr>
            </w:pPr>
            <w:r w:rsidRPr="001E7AA4">
              <w:rPr>
                <w:rFonts w:cstheme="minorHAnsi"/>
              </w:rPr>
              <w:t xml:space="preserve">complement, rather than replace, existing and planned university investments and activities in regional areas, such as satellite campuses and study centres. </w:t>
            </w:r>
          </w:p>
          <w:p w14:paraId="4A8A356E" w14:textId="77777777" w:rsidR="00272CC8" w:rsidRPr="001E7AA4" w:rsidRDefault="00272CC8" w:rsidP="00272CC8">
            <w:r w:rsidRPr="001E7AA4">
              <w:t>Early analysis of the RUC model shows higher education participation has increased in regions where centres operate, and these regions have outperformed comparable regional and remote areas without centres (controlling for population growth).</w:t>
            </w:r>
            <w:r w:rsidRPr="001E7AA4">
              <w:rPr>
                <w:vertAlign w:val="superscript"/>
              </w:rPr>
              <w:footnoteReference w:id="84"/>
            </w:r>
            <w:r w:rsidRPr="001E7AA4">
              <w:t xml:space="preserve">  </w:t>
            </w:r>
          </w:p>
          <w:p w14:paraId="3330875E" w14:textId="77777777" w:rsidR="00272CC8" w:rsidRPr="001E7AA4" w:rsidRDefault="00272CC8" w:rsidP="00272CC8">
            <w:r w:rsidRPr="001E7AA4">
              <w:t>Data collected by the Department of Education shows, as of November 2022, RUCs had supported approximately 3,300 students studying more than 1,000 different courses through with over 200 tertiary education providers. Approximately, 74</w:t>
            </w:r>
            <w:r w:rsidRPr="001E7AA4" w:rsidDel="0002240E">
              <w:t>%</w:t>
            </w:r>
            <w:r w:rsidRPr="001E7AA4">
              <w:t xml:space="preserve"> of these students were studying a university-level degree and 26</w:t>
            </w:r>
            <w:r w:rsidRPr="001E7AA4" w:rsidDel="0002240E">
              <w:t>%</w:t>
            </w:r>
            <w:r w:rsidRPr="001E7AA4">
              <w:t xml:space="preserve"> of students studied VET and other courses.</w:t>
            </w:r>
            <w:r w:rsidRPr="001E7AA4">
              <w:rPr>
                <w:rStyle w:val="FootnoteReference"/>
              </w:rPr>
              <w:footnoteReference w:id="85"/>
            </w:r>
          </w:p>
          <w:p w14:paraId="60C046FE" w14:textId="3A224610" w:rsidR="00272CC8" w:rsidRDefault="00272CC8" w:rsidP="00272CC8">
            <w:pPr>
              <w:spacing w:after="120"/>
            </w:pPr>
            <w:r w:rsidRPr="001E7AA4">
              <w:t>In 2022, 11</w:t>
            </w:r>
            <w:r w:rsidRPr="001E7AA4" w:rsidDel="0002240E">
              <w:t>%</w:t>
            </w:r>
            <w:r w:rsidRPr="001E7AA4">
              <w:t xml:space="preserve"> of students supported by the RUC program identified as First Nations people, compared to 2.11</w:t>
            </w:r>
            <w:r w:rsidRPr="001E7AA4" w:rsidDel="0002240E">
              <w:t>%</w:t>
            </w:r>
            <w:r w:rsidRPr="001E7AA4">
              <w:t xml:space="preserve"> of higher education students nationally. The RUC program is making a difference for students in our regions. Communities across regional and remote Australia have expressed interest in having a RUC in their region.</w:t>
            </w:r>
            <w:r w:rsidRPr="001E7AA4">
              <w:rPr>
                <w:rStyle w:val="FootnoteReference"/>
              </w:rPr>
              <w:footnoteReference w:id="86"/>
            </w:r>
          </w:p>
        </w:tc>
      </w:tr>
    </w:tbl>
    <w:p w14:paraId="2F13EFBA" w14:textId="2DE70A2B" w:rsidR="00E04B7B" w:rsidRPr="001E7AA4" w:rsidRDefault="00E04B7B" w:rsidP="00272CC8">
      <w:pPr>
        <w:pStyle w:val="Normal-AfterTable"/>
      </w:pPr>
      <w:r w:rsidRPr="001E7AA4">
        <w:t>The Review has heard that proximity and connection to a place of learning is a critical decision-making factor for students and is a significant barrier to access</w:t>
      </w:r>
      <w:r w:rsidR="00A14519" w:rsidRPr="001E7AA4">
        <w:t>ing</w:t>
      </w:r>
      <w:r w:rsidRPr="001E7AA4">
        <w:t xml:space="preserve"> higher education</w:t>
      </w:r>
      <w:r w:rsidR="001764A0" w:rsidRPr="001E7AA4">
        <w:t xml:space="preserve"> for students in </w:t>
      </w:r>
      <w:r w:rsidR="008376EC" w:rsidRPr="001E7AA4">
        <w:t>regional, rural and remote areas</w:t>
      </w:r>
      <w:r w:rsidR="001764A0" w:rsidRPr="001E7AA4">
        <w:t>.</w:t>
      </w:r>
      <w:r w:rsidR="008376EC" w:rsidRPr="001E7AA4">
        <w:t xml:space="preserve"> </w:t>
      </w:r>
      <w:r w:rsidR="001764A0" w:rsidRPr="001E7AA4">
        <w:t>S</w:t>
      </w:r>
      <w:r w:rsidRPr="001E7AA4">
        <w:t>tudents in outer metropolitan and peri-urban areas can face similar challenges</w:t>
      </w:r>
      <w:r w:rsidR="00F47A4A" w:rsidRPr="001E7AA4">
        <w:t>.</w:t>
      </w:r>
    </w:p>
    <w:p w14:paraId="34B84F3B" w14:textId="24A34647" w:rsidR="00272CC8" w:rsidRDefault="007D4221" w:rsidP="008B1A15">
      <w:r w:rsidRPr="001E7AA4">
        <w:t xml:space="preserve">The Review considers the concept of the RUCs should be expanded to </w:t>
      </w:r>
      <w:r w:rsidR="008B1A15" w:rsidRPr="001E7AA4">
        <w:t>other areas of need</w:t>
      </w:r>
      <w:r w:rsidR="006F0F6B" w:rsidRPr="001E7AA4">
        <w:t xml:space="preserve">, including outer suburban areas, where accessing higher education can also be difficult. </w:t>
      </w:r>
      <w:r w:rsidR="008B1A15" w:rsidRPr="001E7AA4">
        <w:t>While many prospective students in outer metropolitan</w:t>
      </w:r>
      <w:r w:rsidR="00076017" w:rsidRPr="001E7AA4">
        <w:t xml:space="preserve"> and </w:t>
      </w:r>
      <w:r w:rsidR="008B1A15" w:rsidRPr="001E7AA4">
        <w:t xml:space="preserve">peri-urban areas have access to universities, including remotely through online delivery, </w:t>
      </w:r>
      <w:r w:rsidR="006F0F6B" w:rsidRPr="001E7AA4">
        <w:t xml:space="preserve">such </w:t>
      </w:r>
      <w:r w:rsidR="008B1A15" w:rsidRPr="001E7AA4">
        <w:t xml:space="preserve">students typically seek to enrol internally at ‘local’ </w:t>
      </w:r>
      <w:r w:rsidR="00C41534" w:rsidRPr="001E7AA4">
        <w:t>institutions</w:t>
      </w:r>
      <w:r w:rsidR="008B1A15" w:rsidRPr="001E7AA4">
        <w:t>. This can result in lengthy</w:t>
      </w:r>
      <w:r w:rsidR="006F0F6B" w:rsidRPr="001E7AA4">
        <w:t xml:space="preserve">, expensive, wearying and increasingly prohibitive </w:t>
      </w:r>
      <w:r w:rsidR="008B1A15" w:rsidRPr="001E7AA4">
        <w:t xml:space="preserve">commutes. Students who choose to study online face obstacles including the cost of appropriate internet and IT equipment, and a lack of peer networks and study support. </w:t>
      </w:r>
    </w:p>
    <w:p w14:paraId="26CBD2AF" w14:textId="77777777" w:rsidR="00272CC8" w:rsidRDefault="00272CC8">
      <w:pPr>
        <w:spacing w:after="160"/>
      </w:pPr>
      <w:r>
        <w:br w:type="page"/>
      </w:r>
    </w:p>
    <w:p w14:paraId="250CF6AA" w14:textId="10A32630" w:rsidR="008B1A15" w:rsidRDefault="006B6C7E" w:rsidP="008B1A15">
      <w:r w:rsidRPr="001E7AA4">
        <w:lastRenderedPageBreak/>
        <w:t xml:space="preserve">As noted in </w:t>
      </w:r>
      <w:r w:rsidR="00DA2613" w:rsidRPr="001E7AA4">
        <w:t>Section</w:t>
      </w:r>
      <w:r w:rsidRPr="001E7AA4">
        <w:t xml:space="preserve"> 2.1</w:t>
      </w:r>
      <w:r w:rsidR="004A6006" w:rsidRPr="001E7AA4">
        <w:t>,</w:t>
      </w:r>
      <w:r w:rsidRPr="001E7AA4">
        <w:t xml:space="preserve"> the highest absolute growth in 9 to 16</w:t>
      </w:r>
      <w:r w:rsidR="00CB42E6" w:rsidRPr="001E7AA4">
        <w:t xml:space="preserve"> </w:t>
      </w:r>
      <w:r w:rsidRPr="001E7AA4">
        <w:t>year-olds between 2016 and 2021 occurred mostly in major city outer suburbs</w:t>
      </w:r>
      <w:r w:rsidR="00D058EE" w:rsidRPr="001E7AA4">
        <w:t xml:space="preserve">. </w:t>
      </w:r>
      <w:r w:rsidR="00B43035" w:rsidRPr="001E7AA4">
        <w:t xml:space="preserve">Learning from the success of the RUCs model, the Review considers that </w:t>
      </w:r>
      <w:r w:rsidR="0058793E" w:rsidRPr="001E7AA4">
        <w:t>T</w:t>
      </w:r>
      <w:r w:rsidR="00BE26B5" w:rsidRPr="001E7AA4">
        <w:t xml:space="preserve">ertiary </w:t>
      </w:r>
      <w:r w:rsidR="0058793E" w:rsidRPr="001E7AA4">
        <w:t>S</w:t>
      </w:r>
      <w:r w:rsidR="00BE26B5" w:rsidRPr="001E7AA4">
        <w:t xml:space="preserve">tudy </w:t>
      </w:r>
      <w:r w:rsidR="0058793E" w:rsidRPr="001E7AA4">
        <w:t>H</w:t>
      </w:r>
      <w:r w:rsidR="00BE26B5" w:rsidRPr="001E7AA4">
        <w:t xml:space="preserve">ubs </w:t>
      </w:r>
      <w:r w:rsidR="00892E7A" w:rsidRPr="001E7AA4">
        <w:t xml:space="preserve">(the outer metropolitan and peri-urban analogue of the RUCs) </w:t>
      </w:r>
      <w:r w:rsidR="00B43035" w:rsidRPr="001E7AA4">
        <w:t>sh</w:t>
      </w:r>
      <w:r w:rsidR="00BE26B5" w:rsidRPr="001E7AA4">
        <w:t xml:space="preserve">ould be </w:t>
      </w:r>
      <w:r w:rsidR="00B82BA0" w:rsidRPr="001E7AA4">
        <w:t>introduced in these areas</w:t>
      </w:r>
      <w:r w:rsidR="00BE26B5" w:rsidRPr="001E7AA4">
        <w:t xml:space="preserve">, </w:t>
      </w:r>
      <w:r w:rsidR="00B2034C" w:rsidRPr="001E7AA4">
        <w:t>and in locations with traditionally lower attainment rates</w:t>
      </w:r>
      <w:r w:rsidR="00B43035" w:rsidRPr="001E7AA4">
        <w:t>. These hubs should</w:t>
      </w:r>
      <w:r w:rsidR="00BE26B5" w:rsidRPr="001E7AA4">
        <w:t xml:space="preserve"> </w:t>
      </w:r>
      <w:r w:rsidR="00B82BA0" w:rsidRPr="001E7AA4">
        <w:t>bring several institutions</w:t>
      </w:r>
      <w:r w:rsidR="00A02C76" w:rsidRPr="001E7AA4">
        <w:t xml:space="preserve"> together to </w:t>
      </w:r>
      <w:r w:rsidR="00EC51C4" w:rsidRPr="001E7AA4">
        <w:t>provide options for students in their local area.</w:t>
      </w:r>
      <w:r w:rsidR="00B2034C" w:rsidRPr="001E7AA4">
        <w:t xml:space="preserve"> Th</w:t>
      </w:r>
      <w:r w:rsidR="00B43035" w:rsidRPr="001E7AA4">
        <w:t>is</w:t>
      </w:r>
      <w:r w:rsidR="00B2034C" w:rsidRPr="001E7AA4">
        <w:t xml:space="preserve"> could include tailored wrap-around assistance based on the needs of the local community to support students to succeed. </w:t>
      </w:r>
    </w:p>
    <w:tbl>
      <w:tblPr>
        <w:tblStyle w:val="ImmediateAction0"/>
        <w:tblW w:w="0" w:type="auto"/>
        <w:tblLook w:val="04A0" w:firstRow="1" w:lastRow="0" w:firstColumn="1" w:lastColumn="0" w:noHBand="0" w:noVBand="1"/>
      </w:tblPr>
      <w:tblGrid>
        <w:gridCol w:w="9016"/>
      </w:tblGrid>
      <w:tr w:rsidR="004A78B4" w14:paraId="5DEBBB29" w14:textId="77777777" w:rsidTr="00312894">
        <w:tc>
          <w:tcPr>
            <w:tcW w:w="9016" w:type="dxa"/>
          </w:tcPr>
          <w:p w14:paraId="0A4F652E" w14:textId="77777777" w:rsidR="004A78B4" w:rsidRPr="0095563C" w:rsidRDefault="004A78B4" w:rsidP="004A78B4">
            <w:pPr>
              <w:pStyle w:val="ImmediateAction-Heading"/>
            </w:pPr>
            <w:r w:rsidRPr="0095563C">
              <w:t xml:space="preserve">Immediate action: </w:t>
            </w:r>
          </w:p>
          <w:p w14:paraId="2F4AA6BF" w14:textId="22E94AB0" w:rsidR="004A78B4" w:rsidRDefault="004A78B4" w:rsidP="004A78B4">
            <w:pPr>
              <w:spacing w:after="120"/>
            </w:pPr>
            <w:r w:rsidRPr="001E7AA4">
              <w:t>Extend visible, local access to tertiary education by creating further Regional University Centres (RUCs) and establish a similar concept for suburban/metropolitan locations.</w:t>
            </w:r>
          </w:p>
        </w:tc>
      </w:tr>
    </w:tbl>
    <w:p w14:paraId="717DB1D1" w14:textId="29E3A531" w:rsidR="008B1A15" w:rsidRPr="001E7AA4" w:rsidRDefault="5BAAEE5A" w:rsidP="00F72CFE">
      <w:pPr>
        <w:pStyle w:val="Heading5"/>
      </w:pPr>
      <w:bookmarkStart w:id="176" w:name="_Toc137829553"/>
      <w:bookmarkStart w:id="177" w:name="_Toc370660601"/>
      <w:bookmarkStart w:id="178" w:name="_Toc139028885"/>
      <w:r w:rsidRPr="001E7AA4">
        <w:t>2.3.3 Addressing financial barriers to study</w:t>
      </w:r>
      <w:bookmarkEnd w:id="176"/>
      <w:bookmarkEnd w:id="177"/>
      <w:bookmarkEnd w:id="178"/>
    </w:p>
    <w:p w14:paraId="7E1B8D97" w14:textId="233577C5" w:rsidR="008B1A15" w:rsidRPr="001E7AA4" w:rsidRDefault="006F0F6B" w:rsidP="008B1A15">
      <w:r w:rsidRPr="001E7AA4">
        <w:t>One of the obvious barriers to studying is the cost of participation – something which affects underrepresent</w:t>
      </w:r>
      <w:r w:rsidR="00A4082E" w:rsidRPr="001E7AA4">
        <w:t>ed</w:t>
      </w:r>
      <w:r w:rsidRPr="001E7AA4">
        <w:t xml:space="preserve"> groups the most. </w:t>
      </w:r>
      <w:r w:rsidR="008B1A15" w:rsidRPr="001E7AA4">
        <w:t>The Universities Australia 2017 Student Finances Survey found First Nations students and students from the poorest quarter of Australian households were more likely to experience financial hardship.</w:t>
      </w:r>
      <w:r w:rsidR="00EE3B0D" w:rsidRPr="001E7AA4">
        <w:rPr>
          <w:rStyle w:val="FootnoteReference"/>
        </w:rPr>
        <w:footnoteReference w:id="87"/>
      </w:r>
      <w:r w:rsidR="008B1A15" w:rsidRPr="001E7AA4">
        <w:t xml:space="preserve"> Recent inflation </w:t>
      </w:r>
      <w:r w:rsidRPr="001E7AA4">
        <w:t xml:space="preserve">can only have made this situation worse. In the absence of relief, more students are likely to defer or discontinue their studies. </w:t>
      </w:r>
    </w:p>
    <w:p w14:paraId="0213E500" w14:textId="53AECAA4" w:rsidR="008B1A15" w:rsidRPr="001E7AA4" w:rsidRDefault="008B1A15" w:rsidP="008B1A15">
      <w:pPr>
        <w:pStyle w:val="Quote"/>
      </w:pPr>
      <w:r w:rsidRPr="001E7AA4">
        <w:t>“</w:t>
      </w:r>
      <w:r w:rsidR="001A022A" w:rsidRPr="001E7AA4">
        <w:t xml:space="preserve">In recent discussions, students have raised concerns regarding the current state of higher education in Australia. One of the key issues highlighted is the need for greater equity, specifically in terms of financial support for students. The government has a critical role to play in this regard by increasing </w:t>
      </w:r>
      <w:r w:rsidR="00E61806" w:rsidRPr="001E7AA4">
        <w:t>[Y]</w:t>
      </w:r>
      <w:r w:rsidR="001A022A" w:rsidRPr="001E7AA4">
        <w:t xml:space="preserve">outh </w:t>
      </w:r>
      <w:r w:rsidR="00E61806" w:rsidRPr="001E7AA4">
        <w:t>[A]</w:t>
      </w:r>
      <w:r w:rsidR="001A022A" w:rsidRPr="001E7AA4">
        <w:t xml:space="preserve">llowance and </w:t>
      </w:r>
      <w:r w:rsidR="00EC601B" w:rsidRPr="001E7AA4">
        <w:t>[ABST</w:t>
      </w:r>
      <w:r w:rsidR="00E61806" w:rsidRPr="001E7AA4">
        <w:t>UDY]</w:t>
      </w:r>
      <w:r w:rsidR="001A022A" w:rsidRPr="001E7AA4">
        <w:t xml:space="preserve"> payments, as these actions would directly benefit students from low socio</w:t>
      </w:r>
      <w:r w:rsidR="00102FE6" w:rsidRPr="001E7AA4">
        <w:t>-</w:t>
      </w:r>
      <w:r w:rsidR="001A022A" w:rsidRPr="001E7AA4">
        <w:t>economic backgrounds and Indigenous students."</w:t>
      </w:r>
      <w:r w:rsidRPr="001E7AA4">
        <w:rPr>
          <w:rStyle w:val="FootnoteReference"/>
          <w:vertAlign w:val="baseline"/>
        </w:rPr>
        <w:t xml:space="preserve"> </w:t>
      </w:r>
      <w:r w:rsidR="00A16F40">
        <w:br/>
      </w:r>
      <w:r w:rsidRPr="001E7AA4">
        <w:t xml:space="preserve">– </w:t>
      </w:r>
      <w:r w:rsidR="001B3B27" w:rsidRPr="001E7AA4">
        <w:t>University of Melbourne Student Union</w:t>
      </w:r>
    </w:p>
    <w:p w14:paraId="7FC4198F" w14:textId="7DB72EBB" w:rsidR="008B1A15" w:rsidRPr="001E7AA4" w:rsidRDefault="008B1A15" w:rsidP="00F72CFE">
      <w:pPr>
        <w:pStyle w:val="Heading6"/>
      </w:pPr>
      <w:r w:rsidRPr="001E7AA4">
        <w:t xml:space="preserve">2.3.3.1 Addressing </w:t>
      </w:r>
      <w:r w:rsidR="007C13F0" w:rsidRPr="001E7AA4">
        <w:t>the need for adequate financial support</w:t>
      </w:r>
    </w:p>
    <w:p w14:paraId="21157465" w14:textId="473ED748" w:rsidR="008B1A15" w:rsidRPr="001E7AA4" w:rsidRDefault="008B1A15" w:rsidP="008B1A15">
      <w:r w:rsidRPr="001E7AA4">
        <w:t>In 2020-2021, 2</w:t>
      </w:r>
      <w:r w:rsidRPr="001E7AA4" w:rsidDel="0002240E">
        <w:t>%</w:t>
      </w:r>
      <w:r w:rsidR="0002240E" w:rsidRPr="001E7AA4">
        <w:t xml:space="preserve"> </w:t>
      </w:r>
      <w:r w:rsidRPr="001E7AA4">
        <w:t>of Australians (around 390,000 people) wanted to enrol in a bachelor degree or above in the pr</w:t>
      </w:r>
      <w:r w:rsidR="006F0F6B" w:rsidRPr="001E7AA4">
        <w:t>evious</w:t>
      </w:r>
      <w:r w:rsidRPr="001E7AA4">
        <w:t xml:space="preserve"> 12 months but could not. </w:t>
      </w:r>
      <w:r w:rsidR="006F0F6B" w:rsidRPr="001E7AA4">
        <w:t xml:space="preserve">Almost a third </w:t>
      </w:r>
      <w:r w:rsidR="000D1DBB" w:rsidRPr="001E7AA4">
        <w:t xml:space="preserve">of those </w:t>
      </w:r>
      <w:r w:rsidR="006F0F6B" w:rsidRPr="001E7AA4">
        <w:t>–</w:t>
      </w:r>
      <w:r w:rsidRPr="001E7AA4">
        <w:t xml:space="preserve"> 31</w:t>
      </w:r>
      <w:r w:rsidRPr="001E7AA4" w:rsidDel="0002240E">
        <w:t>%</w:t>
      </w:r>
      <w:r w:rsidR="0002240E" w:rsidRPr="001E7AA4">
        <w:t xml:space="preserve"> </w:t>
      </w:r>
      <w:r w:rsidRPr="001E7AA4">
        <w:t xml:space="preserve">(120,900 people) </w:t>
      </w:r>
      <w:r w:rsidR="006F0F6B" w:rsidRPr="001E7AA4">
        <w:t xml:space="preserve">– </w:t>
      </w:r>
      <w:r w:rsidRPr="001E7AA4">
        <w:t>cited financial reasons</w:t>
      </w:r>
      <w:r w:rsidR="006F0F6B" w:rsidRPr="001E7AA4">
        <w:t xml:space="preserve"> for the inability to enrol</w:t>
      </w:r>
      <w:r w:rsidRPr="001E7AA4">
        <w:t>.</w:t>
      </w:r>
      <w:r w:rsidRPr="001E7AA4">
        <w:rPr>
          <w:rStyle w:val="FootnoteReference"/>
        </w:rPr>
        <w:footnoteReference w:id="88"/>
      </w:r>
      <w:r w:rsidRPr="001E7AA4">
        <w:t xml:space="preserve"> </w:t>
      </w:r>
      <w:r w:rsidR="004D14F1" w:rsidRPr="001E7AA4">
        <w:t>These additional potential enrolments would make a significant difference to meeting Australia’s skills needs.</w:t>
      </w:r>
    </w:p>
    <w:p w14:paraId="4F1EFA77" w14:textId="5DFCBB01" w:rsidR="008B1A15" w:rsidRPr="00672023" w:rsidRDefault="008B1A15" w:rsidP="008B1A15">
      <w:pPr>
        <w:rPr>
          <w:spacing w:val="-2"/>
        </w:rPr>
      </w:pPr>
      <w:r w:rsidRPr="00672023">
        <w:rPr>
          <w:spacing w:val="-2"/>
        </w:rPr>
        <w:t>Most students work to support themselves</w:t>
      </w:r>
      <w:r w:rsidRPr="00672023" w:rsidDel="00126283">
        <w:rPr>
          <w:spacing w:val="-2"/>
        </w:rPr>
        <w:t xml:space="preserve"> </w:t>
      </w:r>
      <w:r w:rsidRPr="00672023">
        <w:rPr>
          <w:spacing w:val="-2"/>
        </w:rPr>
        <w:t xml:space="preserve">while they study, with around four in five domestic students </w:t>
      </w:r>
      <w:r w:rsidR="006F0F6B" w:rsidRPr="00672023">
        <w:rPr>
          <w:spacing w:val="-2"/>
        </w:rPr>
        <w:t xml:space="preserve">now </w:t>
      </w:r>
      <w:r w:rsidRPr="00672023">
        <w:rPr>
          <w:spacing w:val="-2"/>
        </w:rPr>
        <w:t>in paid employment.</w:t>
      </w:r>
      <w:r w:rsidRPr="00672023">
        <w:rPr>
          <w:rStyle w:val="FootnoteReference"/>
          <w:spacing w:val="-2"/>
        </w:rPr>
        <w:footnoteReference w:id="89"/>
      </w:r>
      <w:r w:rsidRPr="00672023">
        <w:rPr>
          <w:spacing w:val="-2"/>
        </w:rPr>
        <w:t xml:space="preserve"> The Review has heard many students struggle to balance their paid work and study commitments, as cost of living pressures</w:t>
      </w:r>
      <w:r w:rsidR="006F0F6B" w:rsidRPr="00672023">
        <w:rPr>
          <w:spacing w:val="-2"/>
        </w:rPr>
        <w:t>, including rising rents,</w:t>
      </w:r>
      <w:r w:rsidRPr="00672023">
        <w:rPr>
          <w:spacing w:val="-2"/>
        </w:rPr>
        <w:t xml:space="preserve"> require them to take up additional hours. </w:t>
      </w:r>
      <w:bookmarkStart w:id="179" w:name="_Hlk138665785"/>
      <w:r w:rsidRPr="00672023">
        <w:rPr>
          <w:spacing w:val="-2"/>
        </w:rPr>
        <w:t xml:space="preserve">This is particularly concerning for regional students and those without family financial support, who </w:t>
      </w:r>
      <w:r w:rsidR="156FD51D" w:rsidRPr="00672023">
        <w:rPr>
          <w:spacing w:val="-2"/>
        </w:rPr>
        <w:t>may have no choice but</w:t>
      </w:r>
      <w:r w:rsidRPr="00672023">
        <w:rPr>
          <w:spacing w:val="-2"/>
        </w:rPr>
        <w:t xml:space="preserve"> to move away from home </w:t>
      </w:r>
      <w:r w:rsidR="0CA77EE4" w:rsidRPr="00672023">
        <w:rPr>
          <w:spacing w:val="-2"/>
        </w:rPr>
        <w:t>and relocate</w:t>
      </w:r>
      <w:r w:rsidRPr="00672023">
        <w:rPr>
          <w:spacing w:val="-2"/>
        </w:rPr>
        <w:t xml:space="preserve"> to study.</w:t>
      </w:r>
      <w:bookmarkEnd w:id="179"/>
    </w:p>
    <w:p w14:paraId="727B94C6" w14:textId="1842752E" w:rsidR="008B1A15" w:rsidRPr="004C673F" w:rsidRDefault="008B1A15" w:rsidP="004C673F">
      <w:pPr>
        <w:pStyle w:val="Quote"/>
      </w:pPr>
      <w:r w:rsidRPr="004C673F">
        <w:lastRenderedPageBreak/>
        <w:t>“Full-time university is now a luxury many students can’t afford.”</w:t>
      </w:r>
      <w:r w:rsidR="00A16F40" w:rsidRPr="004C673F">
        <w:br/>
      </w:r>
      <w:r w:rsidRPr="004C673F">
        <w:t xml:space="preserve"> – National Union of Students </w:t>
      </w:r>
    </w:p>
    <w:p w14:paraId="57DBF753" w14:textId="3D01A651" w:rsidR="008B1A15" w:rsidRPr="001E7AA4" w:rsidRDefault="008B1A15" w:rsidP="008B1A15">
      <w:pPr>
        <w:pStyle w:val="Quote"/>
      </w:pPr>
      <w:r w:rsidRPr="001E7AA4">
        <w:t xml:space="preserve">“The hours worked by young people supported by The Smith Family to undertake tertiary education are often beyond what is generally considered compatible with tertiary study. For some young people we support, the financial pressure to work has resulted in them deferring their study, at least for a period of time.” </w:t>
      </w:r>
      <w:r w:rsidR="00A16F40">
        <w:br/>
      </w:r>
      <w:r w:rsidRPr="001E7AA4">
        <w:t xml:space="preserve">– The Smith Family </w:t>
      </w:r>
    </w:p>
    <w:p w14:paraId="05D61D26" w14:textId="12C46E31" w:rsidR="5A353314" w:rsidRDefault="44724D93" w:rsidP="5A353314">
      <w:r w:rsidRPr="001E7AA4">
        <w:t xml:space="preserve">The </w:t>
      </w:r>
      <w:r w:rsidR="0023543D" w:rsidRPr="001E7AA4">
        <w:t>R</w:t>
      </w:r>
      <w:r w:rsidRPr="001E7AA4">
        <w:t>eview has heard from some students who are unable to access financial assistance, because of targeted eligibility</w:t>
      </w:r>
      <w:r w:rsidR="0023543D" w:rsidRPr="001E7AA4">
        <w:t xml:space="preserve"> (</w:t>
      </w:r>
      <w:r w:rsidRPr="001E7AA4">
        <w:t>particularly low parental income thresholds</w:t>
      </w:r>
      <w:r w:rsidR="0023543D" w:rsidRPr="001E7AA4">
        <w:t>)</w:t>
      </w:r>
      <w:r w:rsidRPr="001E7AA4">
        <w:t xml:space="preserve">. </w:t>
      </w:r>
      <w:r w:rsidR="0317CBC2" w:rsidRPr="001E7AA4">
        <w:t xml:space="preserve">The </w:t>
      </w:r>
      <w:r w:rsidR="0023543D" w:rsidRPr="001E7AA4">
        <w:t>R</w:t>
      </w:r>
      <w:r w:rsidR="0317CBC2" w:rsidRPr="001E7AA4">
        <w:t xml:space="preserve">eview will </w:t>
      </w:r>
      <w:r w:rsidR="0023543D" w:rsidRPr="001E7AA4">
        <w:t xml:space="preserve">give further consideration </w:t>
      </w:r>
      <w:r w:rsidR="00785E76" w:rsidRPr="001E7AA4">
        <w:t xml:space="preserve">to support for these </w:t>
      </w:r>
      <w:r w:rsidR="0317CBC2" w:rsidRPr="001E7AA4">
        <w:t>students</w:t>
      </w:r>
      <w:r w:rsidR="47791620" w:rsidRPr="001E7AA4">
        <w:t xml:space="preserve"> who may otherwise struggle to</w:t>
      </w:r>
      <w:r w:rsidR="22C98F8E" w:rsidRPr="001E7AA4">
        <w:t xml:space="preserve"> access and</w:t>
      </w:r>
      <w:r w:rsidR="47791620" w:rsidRPr="001E7AA4">
        <w:t xml:space="preserve"> </w:t>
      </w:r>
      <w:r w:rsidR="005E54FD" w:rsidRPr="001E7AA4">
        <w:t>participate in</w:t>
      </w:r>
      <w:r w:rsidR="47791620" w:rsidRPr="001E7AA4">
        <w:t xml:space="preserve"> higher education. </w:t>
      </w:r>
    </w:p>
    <w:p w14:paraId="59E106BA" w14:textId="27FF00C7" w:rsidR="00E24E4F" w:rsidRDefault="00E24E4F" w:rsidP="00E24E4F">
      <w:pPr>
        <w:pStyle w:val="Pulloutboxes"/>
      </w:pPr>
      <w:r w:rsidRPr="004C673F">
        <w:t>The financial barriers to participation need to be addressed if we are to meet our equity targets.</w:t>
      </w:r>
    </w:p>
    <w:p w14:paraId="60DA9854" w14:textId="74230BA0" w:rsidR="008B1A15" w:rsidRPr="001E7AA4" w:rsidRDefault="008B1A15" w:rsidP="00F72CFE">
      <w:pPr>
        <w:pStyle w:val="Heading6"/>
      </w:pPr>
      <w:r w:rsidRPr="001E7AA4">
        <w:t xml:space="preserve">2.3.3.2 Modernising </w:t>
      </w:r>
      <w:r w:rsidR="00C02045" w:rsidRPr="001E7AA4">
        <w:t>the</w:t>
      </w:r>
      <w:r w:rsidRPr="001E7AA4">
        <w:t xml:space="preserve"> income support architecture to increase eligibility and sufficiency</w:t>
      </w:r>
    </w:p>
    <w:p w14:paraId="3D12B744" w14:textId="14C3FBF6" w:rsidR="008B1A15" w:rsidRPr="001E7AA4" w:rsidRDefault="008B1A15" w:rsidP="008B1A15">
      <w:r w:rsidRPr="001E7AA4">
        <w:t>Current income support arrangements are complex, create perverse incentives for some students and leave others missing out. Stakeholders have reported restrictions on part</w:t>
      </w:r>
      <w:r w:rsidR="00E46F2A" w:rsidRPr="001E7AA4">
        <w:t>-</w:t>
      </w:r>
      <w:r w:rsidRPr="001E7AA4">
        <w:t xml:space="preserve">time study and independence rules stop some students from accessing financial assistance. Students also need </w:t>
      </w:r>
      <w:r w:rsidR="006F0F6B" w:rsidRPr="001E7AA4">
        <w:t xml:space="preserve">easier </w:t>
      </w:r>
      <w:r w:rsidRPr="001E7AA4">
        <w:t xml:space="preserve">access </w:t>
      </w:r>
      <w:r w:rsidR="006F0F6B" w:rsidRPr="001E7AA4">
        <w:t xml:space="preserve">to clearer </w:t>
      </w:r>
      <w:r w:rsidRPr="001E7AA4">
        <w:t>information about financial assistance, including income support and scholarships.</w:t>
      </w:r>
    </w:p>
    <w:p w14:paraId="120D82FF" w14:textId="3DA5D2A7" w:rsidR="008B1A15" w:rsidRPr="001E7AA4" w:rsidRDefault="008B1A15" w:rsidP="008B1A15">
      <w:r w:rsidRPr="001E7AA4">
        <w:t xml:space="preserve">The number of higher education students </w:t>
      </w:r>
      <w:r w:rsidR="004D14F1" w:rsidRPr="001E7AA4">
        <w:t>meeting</w:t>
      </w:r>
      <w:r w:rsidRPr="001E7AA4">
        <w:t xml:space="preserve"> income support </w:t>
      </w:r>
      <w:r w:rsidR="004D14F1" w:rsidRPr="001E7AA4">
        <w:t xml:space="preserve">eligibility requirements </w:t>
      </w:r>
      <w:r w:rsidRPr="001E7AA4">
        <w:t xml:space="preserve">has trended down since 2015 (excepting </w:t>
      </w:r>
      <w:r w:rsidR="00426C19" w:rsidRPr="001E7AA4">
        <w:t>COVID</w:t>
      </w:r>
      <w:r w:rsidRPr="001E7AA4">
        <w:t>-19 related spikes in 2020 and 2021).</w:t>
      </w:r>
      <w:r w:rsidR="00290250" w:rsidRPr="001E7AA4">
        <w:rPr>
          <w:rStyle w:val="FootnoteReference"/>
        </w:rPr>
        <w:footnoteReference w:id="90"/>
      </w:r>
      <w:r w:rsidRPr="001E7AA4">
        <w:t xml:space="preserve"> Several stakeholders note current eligibility criteria exclude broad categories of students, such as part-time students and students under 22 who do not meet independence tests. Stakeholders have also raised concerns about the adequacy of payment rates, which the Review recognises is connected to the adequacy of payments across Australia’s income support system. Many students, including those accessing Youth Allowance and </w:t>
      </w:r>
      <w:r w:rsidR="00127448" w:rsidRPr="001E7AA4">
        <w:t>the Aboriginal and Torres Strait Islander Study Assistance Scheme</w:t>
      </w:r>
      <w:r w:rsidRPr="001E7AA4">
        <w:t xml:space="preserve"> </w:t>
      </w:r>
      <w:r w:rsidR="00127448" w:rsidRPr="001E7AA4">
        <w:t>(</w:t>
      </w:r>
      <w:r w:rsidR="0044301E" w:rsidRPr="001E7AA4">
        <w:t>ABSTUDY</w:t>
      </w:r>
      <w:r w:rsidR="00127448" w:rsidRPr="001E7AA4">
        <w:t>)</w:t>
      </w:r>
      <w:r w:rsidRPr="001E7AA4">
        <w:t xml:space="preserve">, receive a lower rate than people </w:t>
      </w:r>
      <w:r w:rsidR="006F0F6B" w:rsidRPr="001E7AA4">
        <w:t xml:space="preserve">in similar circumstances </w:t>
      </w:r>
      <w:r w:rsidRPr="001E7AA4">
        <w:t>on other payments, such as Jobseeker.</w:t>
      </w:r>
    </w:p>
    <w:p w14:paraId="2B673B91" w14:textId="4B88FFA9" w:rsidR="008B1A15" w:rsidRPr="001E7AA4" w:rsidRDefault="008B1A15" w:rsidP="008B1A15">
      <w:pPr>
        <w:rPr>
          <w:rFonts w:ascii="Calibri" w:eastAsia="Calibri" w:hAnsi="Calibri" w:cs="Calibri"/>
        </w:rPr>
      </w:pPr>
      <w:r w:rsidRPr="001E7AA4">
        <w:rPr>
          <w:rFonts w:ascii="Calibri" w:eastAsia="Calibri" w:hAnsi="Calibri" w:cs="Calibri"/>
        </w:rPr>
        <w:t>HELP-style IC</w:t>
      </w:r>
      <w:r w:rsidR="00806BB9" w:rsidRPr="001E7AA4">
        <w:rPr>
          <w:rFonts w:ascii="Calibri" w:eastAsia="Calibri" w:hAnsi="Calibri" w:cs="Calibri"/>
        </w:rPr>
        <w:t>L</w:t>
      </w:r>
      <w:r w:rsidR="00963F1F" w:rsidRPr="001E7AA4">
        <w:rPr>
          <w:rFonts w:ascii="Calibri" w:eastAsia="Calibri" w:hAnsi="Calibri" w:cs="Calibri"/>
        </w:rPr>
        <w:t>s</w:t>
      </w:r>
      <w:r w:rsidRPr="001E7AA4">
        <w:rPr>
          <w:rFonts w:ascii="Calibri" w:eastAsia="Calibri" w:hAnsi="Calibri" w:cs="Calibri"/>
        </w:rPr>
        <w:t xml:space="preserve"> for student living expenses could </w:t>
      </w:r>
      <w:r w:rsidR="00CE4CA0" w:rsidRPr="001E7AA4">
        <w:rPr>
          <w:rFonts w:ascii="Calibri" w:eastAsia="Calibri" w:hAnsi="Calibri" w:cs="Calibri"/>
        </w:rPr>
        <w:t xml:space="preserve">offer </w:t>
      </w:r>
      <w:r w:rsidRPr="001E7AA4">
        <w:rPr>
          <w:rFonts w:ascii="Calibri" w:eastAsia="Calibri" w:hAnsi="Calibri" w:cs="Calibri"/>
        </w:rPr>
        <w:t xml:space="preserve">an </w:t>
      </w:r>
      <w:r w:rsidR="006D501B" w:rsidRPr="001E7AA4">
        <w:rPr>
          <w:rFonts w:ascii="Calibri" w:eastAsia="Calibri" w:hAnsi="Calibri" w:cs="Calibri"/>
        </w:rPr>
        <w:t>additional</w:t>
      </w:r>
      <w:r w:rsidRPr="001E7AA4">
        <w:rPr>
          <w:rFonts w:ascii="Calibri" w:eastAsia="Calibri" w:hAnsi="Calibri" w:cs="Calibri"/>
        </w:rPr>
        <w:t xml:space="preserve"> approach to financial support </w:t>
      </w:r>
      <w:r w:rsidR="00CE4CA0" w:rsidRPr="001E7AA4">
        <w:rPr>
          <w:rFonts w:ascii="Calibri" w:eastAsia="Calibri" w:hAnsi="Calibri" w:cs="Calibri"/>
        </w:rPr>
        <w:t xml:space="preserve">for </w:t>
      </w:r>
      <w:r w:rsidRPr="001E7AA4">
        <w:rPr>
          <w:rFonts w:ascii="Calibri" w:eastAsia="Calibri" w:hAnsi="Calibri" w:cs="Calibri"/>
        </w:rPr>
        <w:t xml:space="preserve">students while they study. The option to borrow money to help meet their living costs could help students balance paid work and study commitments, reduce financial </w:t>
      </w:r>
      <w:r w:rsidR="00CE4CA0" w:rsidRPr="001E7AA4">
        <w:rPr>
          <w:rFonts w:ascii="Calibri" w:eastAsia="Calibri" w:hAnsi="Calibri" w:cs="Calibri"/>
        </w:rPr>
        <w:t>hardship,</w:t>
      </w:r>
      <w:r w:rsidRPr="001E7AA4">
        <w:rPr>
          <w:rFonts w:ascii="Calibri" w:eastAsia="Calibri" w:hAnsi="Calibri" w:cs="Calibri"/>
        </w:rPr>
        <w:t xml:space="preserve"> and enable more students, especially those who need to relocate, to participate successfully in higher education. </w:t>
      </w:r>
      <w:r w:rsidR="00EC51C4" w:rsidRPr="001E7AA4">
        <w:rPr>
          <w:rFonts w:ascii="Calibri" w:eastAsia="Calibri" w:hAnsi="Calibri" w:cs="Calibri"/>
        </w:rPr>
        <w:t xml:space="preserve">ICLs could also assist students undertaking a mandatory placement away from </w:t>
      </w:r>
      <w:r w:rsidR="005E763E" w:rsidRPr="001E7AA4">
        <w:rPr>
          <w:rFonts w:ascii="Calibri" w:eastAsia="Calibri" w:hAnsi="Calibri" w:cs="Calibri"/>
        </w:rPr>
        <w:t>home</w:t>
      </w:r>
      <w:r w:rsidR="0071592E" w:rsidRPr="001E7AA4">
        <w:rPr>
          <w:rFonts w:ascii="Calibri" w:eastAsia="Calibri" w:hAnsi="Calibri" w:cs="Calibri"/>
        </w:rPr>
        <w:t>,</w:t>
      </w:r>
      <w:r w:rsidR="005E763E" w:rsidRPr="001E7AA4">
        <w:rPr>
          <w:rFonts w:ascii="Calibri" w:eastAsia="Calibri" w:hAnsi="Calibri" w:cs="Calibri"/>
        </w:rPr>
        <w:t xml:space="preserve"> </w:t>
      </w:r>
      <w:r w:rsidR="00EC51C4" w:rsidRPr="001E7AA4">
        <w:rPr>
          <w:rFonts w:ascii="Calibri" w:eastAsia="Calibri" w:hAnsi="Calibri" w:cs="Calibri"/>
        </w:rPr>
        <w:t>or where they need to temporarily stop part</w:t>
      </w:r>
      <w:r w:rsidR="00E46F2A" w:rsidRPr="001E7AA4">
        <w:rPr>
          <w:rFonts w:ascii="Calibri" w:eastAsia="Calibri" w:hAnsi="Calibri" w:cs="Calibri"/>
        </w:rPr>
        <w:t>-</w:t>
      </w:r>
      <w:r w:rsidR="00EC51C4" w:rsidRPr="001E7AA4">
        <w:rPr>
          <w:rFonts w:ascii="Calibri" w:eastAsia="Calibri" w:hAnsi="Calibri" w:cs="Calibri"/>
        </w:rPr>
        <w:t>time work to complete a full</w:t>
      </w:r>
      <w:r w:rsidR="00AA0E7C" w:rsidRPr="001E7AA4">
        <w:rPr>
          <w:rFonts w:ascii="Calibri" w:eastAsia="Calibri" w:hAnsi="Calibri" w:cs="Calibri"/>
        </w:rPr>
        <w:t>-</w:t>
      </w:r>
      <w:r w:rsidR="00EC51C4" w:rsidRPr="001E7AA4">
        <w:rPr>
          <w:rFonts w:ascii="Calibri" w:eastAsia="Calibri" w:hAnsi="Calibri" w:cs="Calibri"/>
        </w:rPr>
        <w:t>time placement.</w:t>
      </w:r>
      <w:r w:rsidRPr="001E7AA4">
        <w:rPr>
          <w:rFonts w:ascii="Calibri" w:eastAsia="Calibri" w:hAnsi="Calibri" w:cs="Calibri"/>
        </w:rPr>
        <w:t xml:space="preserve"> However, the </w:t>
      </w:r>
      <w:r w:rsidR="003B1229" w:rsidRPr="001E7AA4">
        <w:rPr>
          <w:rFonts w:ascii="Calibri" w:eastAsia="Calibri" w:hAnsi="Calibri" w:cs="Calibri"/>
        </w:rPr>
        <w:t>Review</w:t>
      </w:r>
      <w:r w:rsidRPr="001E7AA4">
        <w:rPr>
          <w:rFonts w:ascii="Calibri" w:eastAsia="Calibri" w:hAnsi="Calibri" w:cs="Calibri"/>
        </w:rPr>
        <w:t xml:space="preserve"> </w:t>
      </w:r>
      <w:r w:rsidR="00CC7CAF" w:rsidRPr="001E7AA4">
        <w:rPr>
          <w:rFonts w:ascii="Calibri" w:eastAsia="Calibri" w:hAnsi="Calibri" w:cs="Calibri"/>
        </w:rPr>
        <w:t xml:space="preserve">is also aware of the implications </w:t>
      </w:r>
      <w:r w:rsidR="0046601B" w:rsidRPr="001E7AA4">
        <w:rPr>
          <w:rFonts w:ascii="Calibri" w:eastAsia="Calibri" w:hAnsi="Calibri" w:cs="Calibri"/>
        </w:rPr>
        <w:t xml:space="preserve">of </w:t>
      </w:r>
      <w:r w:rsidR="00492ECC" w:rsidRPr="001E7AA4">
        <w:rPr>
          <w:rFonts w:ascii="Calibri" w:eastAsia="Calibri" w:hAnsi="Calibri" w:cs="Calibri"/>
        </w:rPr>
        <w:t>adding to student debt levels</w:t>
      </w:r>
      <w:r w:rsidR="006F0F6B" w:rsidRPr="001E7AA4">
        <w:rPr>
          <w:rFonts w:ascii="Calibri" w:eastAsia="Calibri" w:hAnsi="Calibri" w:cs="Calibri"/>
        </w:rPr>
        <w:t>, with some stakeholders indicating that a loan may not be the best way to address cost of living challenges.</w:t>
      </w:r>
      <w:r w:rsidR="00492ECC" w:rsidRPr="001E7AA4">
        <w:rPr>
          <w:rStyle w:val="FootnoteReference"/>
          <w:rFonts w:ascii="Calibri" w:eastAsia="Calibri" w:hAnsi="Calibri" w:cs="Calibri"/>
        </w:rPr>
        <w:footnoteReference w:id="91"/>
      </w:r>
    </w:p>
    <w:p w14:paraId="3264F5BB" w14:textId="70B9C901" w:rsidR="008B1A15" w:rsidRPr="001E7AA4" w:rsidRDefault="008B1A15" w:rsidP="008B1A15">
      <w:pPr>
        <w:rPr>
          <w:rFonts w:ascii="Calibri" w:eastAsia="Calibri" w:hAnsi="Calibri" w:cs="Calibri"/>
        </w:rPr>
      </w:pPr>
      <w:r w:rsidRPr="001E7AA4">
        <w:rPr>
          <w:rFonts w:ascii="Calibri" w:eastAsia="Calibri" w:hAnsi="Calibri" w:cs="Calibri"/>
        </w:rPr>
        <w:t xml:space="preserve">The Review is also deeply aware of poor outcomes for some participants in the previous Student Financial Supplement Scheme which was closed in 2003 due </w:t>
      </w:r>
      <w:r w:rsidR="006F0F6B" w:rsidRPr="001E7AA4">
        <w:rPr>
          <w:rFonts w:ascii="Calibri" w:eastAsia="Calibri" w:hAnsi="Calibri" w:cs="Calibri"/>
        </w:rPr>
        <w:t xml:space="preserve">in part </w:t>
      </w:r>
      <w:r w:rsidRPr="001E7AA4">
        <w:rPr>
          <w:rFonts w:ascii="Calibri" w:eastAsia="Calibri" w:hAnsi="Calibri" w:cs="Calibri"/>
        </w:rPr>
        <w:t xml:space="preserve">to the </w:t>
      </w:r>
      <w:r w:rsidR="006F0F6B" w:rsidRPr="001E7AA4">
        <w:rPr>
          <w:rFonts w:ascii="Calibri" w:eastAsia="Calibri" w:hAnsi="Calibri" w:cs="Calibri"/>
        </w:rPr>
        <w:t>high rates of non-</w:t>
      </w:r>
      <w:r w:rsidR="006F0F6B" w:rsidRPr="001E7AA4">
        <w:rPr>
          <w:rFonts w:ascii="Calibri" w:eastAsia="Calibri" w:hAnsi="Calibri" w:cs="Calibri"/>
        </w:rPr>
        <w:lastRenderedPageBreak/>
        <w:t xml:space="preserve">repayment, especially </w:t>
      </w:r>
      <w:r w:rsidRPr="001E7AA4">
        <w:rPr>
          <w:rFonts w:ascii="Calibri" w:eastAsia="Calibri" w:hAnsi="Calibri" w:cs="Calibri"/>
        </w:rPr>
        <w:t>by low income and First Nations students.</w:t>
      </w:r>
      <w:r w:rsidRPr="001E7AA4">
        <w:rPr>
          <w:rStyle w:val="FootnoteReference"/>
          <w:rFonts w:ascii="Calibri" w:eastAsia="Calibri" w:hAnsi="Calibri" w:cs="Calibri"/>
        </w:rPr>
        <w:footnoteReference w:id="92"/>
      </w:r>
      <w:r w:rsidRPr="001E7AA4">
        <w:rPr>
          <w:rFonts w:ascii="Calibri" w:eastAsia="Calibri" w:hAnsi="Calibri" w:cs="Calibri"/>
        </w:rPr>
        <w:t xml:space="preserve"> </w:t>
      </w:r>
      <w:r w:rsidR="006F0F6B" w:rsidRPr="001E7AA4">
        <w:rPr>
          <w:rFonts w:ascii="Calibri" w:eastAsia="Calibri" w:hAnsi="Calibri" w:cs="Calibri"/>
        </w:rPr>
        <w:t>E</w:t>
      </w:r>
      <w:r w:rsidRPr="001E7AA4">
        <w:rPr>
          <w:rFonts w:ascii="Calibri" w:eastAsia="Calibri" w:hAnsi="Calibri" w:cs="Calibri"/>
        </w:rPr>
        <w:t>ligibility criteria, loan amounts</w:t>
      </w:r>
      <w:r w:rsidR="00EC7E05">
        <w:rPr>
          <w:rFonts w:ascii="Calibri" w:eastAsia="Calibri" w:hAnsi="Calibri" w:cs="Calibri"/>
        </w:rPr>
        <w:t xml:space="preserve"> </w:t>
      </w:r>
      <w:r w:rsidRPr="001E7AA4">
        <w:rPr>
          <w:rFonts w:ascii="Calibri" w:eastAsia="Calibri" w:hAnsi="Calibri" w:cs="Calibri"/>
        </w:rPr>
        <w:t>and effects on student debt</w:t>
      </w:r>
      <w:r w:rsidR="006F0F6B" w:rsidRPr="001E7AA4">
        <w:rPr>
          <w:rFonts w:ascii="Calibri" w:eastAsia="Calibri" w:hAnsi="Calibri" w:cs="Calibri"/>
        </w:rPr>
        <w:t xml:space="preserve"> would require serious investigation before such a scheme is contemplated.</w:t>
      </w:r>
    </w:p>
    <w:p w14:paraId="6633C86B" w14:textId="2E8D961F" w:rsidR="008B1A15" w:rsidRPr="001E7AA4" w:rsidRDefault="008B1A15" w:rsidP="008B1A15">
      <w:r w:rsidRPr="001E7AA4">
        <w:t xml:space="preserve">As noted in </w:t>
      </w:r>
      <w:r w:rsidR="00DA2613" w:rsidRPr="001E7AA4">
        <w:t>Section</w:t>
      </w:r>
      <w:r w:rsidRPr="001E7AA4">
        <w:t xml:space="preserve"> 2.2, there are requirements for unpaid work placements in many courses.  Students often must take time out of paid work for these placements which can take place over multi-week blocks away from home. Additional support for students to undertake block placements</w:t>
      </w:r>
      <w:r w:rsidR="00EF6EF9" w:rsidRPr="001E7AA4">
        <w:t>,</w:t>
      </w:r>
      <w:r w:rsidRPr="001E7AA4">
        <w:t xml:space="preserve"> </w:t>
      </w:r>
      <w:r w:rsidR="00EF6EF9" w:rsidRPr="001E7AA4">
        <w:t xml:space="preserve">and to be paid while on placement, </w:t>
      </w:r>
      <w:r w:rsidRPr="001E7AA4">
        <w:t>should be developed.</w:t>
      </w:r>
    </w:p>
    <w:p w14:paraId="6B9CA7A1" w14:textId="074A32DF" w:rsidR="008B1A15" w:rsidRPr="001E7AA4" w:rsidRDefault="008B1A15" w:rsidP="008B1A15">
      <w:r w:rsidRPr="001E7AA4">
        <w:t xml:space="preserve">Many students </w:t>
      </w:r>
      <w:r w:rsidR="00DC6958" w:rsidRPr="001E7AA4">
        <w:t>also</w:t>
      </w:r>
      <w:r w:rsidRPr="001E7AA4">
        <w:t xml:space="preserve"> need to work to support themselves while studying. Working while studying can be beneficial for many students, however</w:t>
      </w:r>
      <w:r w:rsidR="52EFEA0B" w:rsidRPr="001E7AA4">
        <w:t>,</w:t>
      </w:r>
      <w:r w:rsidRPr="001E7AA4">
        <w:t xml:space="preserve"> the Review considers it is important students are not being required to work excessive hours. The Review heard that finding suitable work can be </w:t>
      </w:r>
      <w:r w:rsidR="006F0F6B" w:rsidRPr="001E7AA4">
        <w:t>difficult</w:t>
      </w:r>
      <w:r w:rsidRPr="001E7AA4">
        <w:t xml:space="preserve"> and that students would prefer to work in areas related to their field of study</w:t>
      </w:r>
      <w:r w:rsidR="006F0F6B" w:rsidRPr="001E7AA4">
        <w:t xml:space="preserve"> – something supported by employers needing to address serious skill</w:t>
      </w:r>
      <w:r w:rsidR="004F7CA5" w:rsidRPr="001E7AA4">
        <w:t>s</w:t>
      </w:r>
      <w:r w:rsidR="006F0F6B" w:rsidRPr="001E7AA4">
        <w:t xml:space="preserve"> shortages. </w:t>
      </w:r>
      <w:r w:rsidRPr="001E7AA4">
        <w:t>A new jobs broker program was one idea proposed to the Review that could help match students with employment opportunities related to their current area of study.</w:t>
      </w:r>
    </w:p>
    <w:p w14:paraId="7DE6C2F1" w14:textId="2D338D41" w:rsidR="008254B9" w:rsidRPr="001E7AA4" w:rsidRDefault="008254B9" w:rsidP="008B1A15">
      <w:r w:rsidRPr="001E7AA4">
        <w:t xml:space="preserve">A more detailed analysis of the strengths and </w:t>
      </w:r>
      <w:r w:rsidR="376A9687" w:rsidRPr="001E7AA4">
        <w:t>limitation</w:t>
      </w:r>
      <w:r w:rsidR="74D426B0" w:rsidRPr="001E7AA4">
        <w:t>s</w:t>
      </w:r>
      <w:r w:rsidRPr="001E7AA4">
        <w:t xml:space="preserve"> of </w:t>
      </w:r>
      <w:r w:rsidR="1A063885" w:rsidRPr="001E7AA4">
        <w:t>HELP</w:t>
      </w:r>
      <w:r w:rsidRPr="001E7AA4">
        <w:t xml:space="preserve"> </w:t>
      </w:r>
      <w:r w:rsidR="001C7615" w:rsidRPr="001E7AA4">
        <w:t>is</w:t>
      </w:r>
      <w:r w:rsidR="00487954" w:rsidRPr="001E7AA4">
        <w:t xml:space="preserve"> </w:t>
      </w:r>
      <w:r w:rsidRPr="001E7AA4">
        <w:t xml:space="preserve">outlined in </w:t>
      </w:r>
      <w:r w:rsidR="00DA2613" w:rsidRPr="001E7AA4">
        <w:t>Section</w:t>
      </w:r>
      <w:r w:rsidRPr="001E7AA4">
        <w:t xml:space="preserve"> 3.3.</w:t>
      </w:r>
    </w:p>
    <w:p w14:paraId="73D7C7DE" w14:textId="6B10C865" w:rsidR="008B1A15" w:rsidRPr="003B2612" w:rsidRDefault="00045EB9" w:rsidP="00F72CFE">
      <w:pPr>
        <w:pStyle w:val="Heading5"/>
        <w:rPr>
          <w:lang w:eastAsia="en-AU"/>
        </w:rPr>
      </w:pPr>
      <w:bookmarkStart w:id="180" w:name="_Toc139028886"/>
      <w:bookmarkStart w:id="181" w:name="_Toc136259195"/>
      <w:bookmarkEnd w:id="174"/>
      <w:bookmarkEnd w:id="175"/>
      <w:r w:rsidRPr="003B2612">
        <w:rPr>
          <w:lang w:eastAsia="en-AU"/>
        </w:rPr>
        <w:t>Considerations for change</w:t>
      </w:r>
      <w:bookmarkEnd w:id="180"/>
    </w:p>
    <w:bookmarkEnd w:id="181"/>
    <w:p w14:paraId="381B7D92" w14:textId="2E95B0F2" w:rsidR="008B1A15" w:rsidRPr="001E7AA4" w:rsidRDefault="006F0F6B" w:rsidP="008B1A15">
      <w:pPr>
        <w:spacing w:line="240" w:lineRule="auto"/>
      </w:pPr>
      <w:r w:rsidRPr="001E7AA4">
        <w:t>T</w:t>
      </w:r>
      <w:r w:rsidR="008B1A15" w:rsidRPr="001E7AA4">
        <w:t xml:space="preserve">o increase </w:t>
      </w:r>
      <w:r w:rsidR="007F7BC3" w:rsidRPr="001E7AA4">
        <w:t xml:space="preserve">participation and </w:t>
      </w:r>
      <w:r w:rsidR="008B1A15" w:rsidRPr="001E7AA4">
        <w:t xml:space="preserve">attainment for students from underrepresented backgrounds and equity cohorts, </w:t>
      </w:r>
      <w:r w:rsidR="00B55303" w:rsidRPr="001E7AA4">
        <w:t xml:space="preserve">the </w:t>
      </w:r>
      <w:r w:rsidR="004104C4" w:rsidRPr="001E7AA4">
        <w:t xml:space="preserve">Review </w:t>
      </w:r>
      <w:r w:rsidR="00B55303" w:rsidRPr="001E7AA4">
        <w:t>will continue to give consideration to</w:t>
      </w:r>
      <w:r w:rsidR="0058339E" w:rsidRPr="001E7AA4">
        <w:t xml:space="preserve"> the following policy areas</w:t>
      </w:r>
      <w:r w:rsidR="00B55303" w:rsidRPr="001E7AA4">
        <w:t>:</w:t>
      </w:r>
      <w:r w:rsidR="00B55303" w:rsidRPr="001E7AA4">
        <w:rPr>
          <w:rFonts w:ascii="Calibri" w:eastAsia="Calibri" w:hAnsi="Calibri" w:cs="Calibri"/>
        </w:rPr>
        <w:t xml:space="preserve"> </w:t>
      </w:r>
    </w:p>
    <w:p w14:paraId="18DECCEA" w14:textId="77777777" w:rsidR="006B0208" w:rsidRPr="001E7AA4" w:rsidRDefault="006B0208" w:rsidP="00A025B1">
      <w:pPr>
        <w:pStyle w:val="ListParagraph"/>
        <w:numPr>
          <w:ilvl w:val="0"/>
          <w:numId w:val="53"/>
        </w:numPr>
        <w:spacing w:line="240" w:lineRule="auto"/>
        <w:rPr>
          <w:rFonts w:ascii="Calibri" w:eastAsia="Calibri" w:hAnsi="Calibri" w:cs="Calibri"/>
        </w:rPr>
      </w:pPr>
      <w:r w:rsidRPr="001E7AA4">
        <w:rPr>
          <w:rFonts w:ascii="Calibri" w:eastAsia="Calibri" w:hAnsi="Calibri" w:cs="Calibri"/>
        </w:rPr>
        <w:t xml:space="preserve">encouraging students from underrepresented groups to aspire to higher education and fulfil their potential </w:t>
      </w:r>
    </w:p>
    <w:p w14:paraId="3667FBFC" w14:textId="33638715" w:rsidR="006B0208" w:rsidRPr="001E7AA4" w:rsidRDefault="006B0208" w:rsidP="00A025B1">
      <w:pPr>
        <w:pStyle w:val="ListParagraph"/>
        <w:numPr>
          <w:ilvl w:val="0"/>
          <w:numId w:val="53"/>
        </w:numPr>
        <w:spacing w:line="240" w:lineRule="auto"/>
        <w:rPr>
          <w:rFonts w:ascii="Calibri" w:eastAsia="Calibri" w:hAnsi="Calibri" w:cs="Calibri"/>
        </w:rPr>
      </w:pPr>
      <w:r w:rsidRPr="001E7AA4">
        <w:rPr>
          <w:rFonts w:ascii="Calibri" w:eastAsia="Calibri" w:hAnsi="Calibri" w:cs="Calibri"/>
        </w:rPr>
        <w:t>making it easier for students to enter, exit and return to higher education through a consistent national approach to tertiary education admission and the recognition of existing learning experience and credentials</w:t>
      </w:r>
    </w:p>
    <w:p w14:paraId="4E3AB741" w14:textId="77777777" w:rsidR="006B0208" w:rsidRPr="001E7AA4" w:rsidRDefault="006B0208" w:rsidP="00A025B1">
      <w:pPr>
        <w:pStyle w:val="ListParagraph"/>
        <w:numPr>
          <w:ilvl w:val="0"/>
          <w:numId w:val="53"/>
        </w:numPr>
        <w:spacing w:line="240" w:lineRule="auto"/>
        <w:rPr>
          <w:rFonts w:ascii="Calibri" w:eastAsia="Calibri" w:hAnsi="Calibri" w:cs="Calibri"/>
        </w:rPr>
      </w:pPr>
      <w:r w:rsidRPr="001E7AA4">
        <w:rPr>
          <w:rFonts w:ascii="Calibri" w:eastAsia="Calibri" w:hAnsi="Calibri" w:cs="Calibri"/>
        </w:rPr>
        <w:t xml:space="preserve">increasing access to preparatory and enabling programs to provide more pathways into higher education </w:t>
      </w:r>
    </w:p>
    <w:p w14:paraId="3D95281B" w14:textId="77777777" w:rsidR="006B0208" w:rsidRPr="001E7AA4" w:rsidRDefault="006B0208" w:rsidP="00A025B1">
      <w:pPr>
        <w:pStyle w:val="ListParagraph"/>
        <w:numPr>
          <w:ilvl w:val="0"/>
          <w:numId w:val="53"/>
        </w:numPr>
        <w:spacing w:line="240" w:lineRule="auto"/>
        <w:rPr>
          <w:rFonts w:ascii="Calibri" w:eastAsia="Calibri" w:hAnsi="Calibri" w:cs="Calibri"/>
        </w:rPr>
      </w:pPr>
      <w:r w:rsidRPr="001E7AA4">
        <w:rPr>
          <w:rFonts w:ascii="Calibri" w:eastAsia="Calibri" w:hAnsi="Calibri" w:cs="Calibri"/>
        </w:rPr>
        <w:t>providing scaffolded learning support to help students achieve their qualification in minimum time and with minimum debt</w:t>
      </w:r>
    </w:p>
    <w:p w14:paraId="5E94E925" w14:textId="5A87E4A1" w:rsidR="006B0208" w:rsidRPr="001E7AA4" w:rsidRDefault="0F83FC52" w:rsidP="00A025B1">
      <w:pPr>
        <w:pStyle w:val="ListParagraph"/>
        <w:numPr>
          <w:ilvl w:val="0"/>
          <w:numId w:val="53"/>
        </w:numPr>
        <w:spacing w:after="0" w:line="240" w:lineRule="auto"/>
        <w:rPr>
          <w:rFonts w:ascii="Calibri" w:eastAsia="Calibri" w:hAnsi="Calibri" w:cs="Calibri"/>
        </w:rPr>
      </w:pPr>
      <w:r w:rsidRPr="001E7AA4">
        <w:rPr>
          <w:rFonts w:ascii="Calibri" w:eastAsia="Calibri" w:hAnsi="Calibri" w:cs="Calibri"/>
        </w:rPr>
        <w:t xml:space="preserve">through a </w:t>
      </w:r>
      <w:r w:rsidR="1C0233EF" w:rsidRPr="001E7AA4">
        <w:rPr>
          <w:rFonts w:ascii="Calibri" w:eastAsia="Calibri" w:hAnsi="Calibri" w:cs="Calibri"/>
        </w:rPr>
        <w:t xml:space="preserve">national </w:t>
      </w:r>
      <w:r w:rsidRPr="001E7AA4">
        <w:rPr>
          <w:rFonts w:ascii="Calibri" w:eastAsia="Calibri" w:hAnsi="Calibri" w:cs="Calibri"/>
        </w:rPr>
        <w:t>jobs broker</w:t>
      </w:r>
      <w:r w:rsidR="30641F82" w:rsidRPr="001E7AA4">
        <w:rPr>
          <w:rFonts w:ascii="Calibri" w:eastAsia="Calibri" w:hAnsi="Calibri" w:cs="Calibri"/>
        </w:rPr>
        <w:t xml:space="preserve"> system</w:t>
      </w:r>
      <w:r w:rsidRPr="001E7AA4">
        <w:rPr>
          <w:rFonts w:ascii="Calibri" w:eastAsia="Calibri" w:hAnsi="Calibri" w:cs="Calibri"/>
        </w:rPr>
        <w:t>, helping students find part-time work in their areas of study</w:t>
      </w:r>
    </w:p>
    <w:p w14:paraId="1E307871" w14:textId="77777777" w:rsidR="006B0208" w:rsidRPr="001E7AA4" w:rsidRDefault="0F83FC52" w:rsidP="00A025B1">
      <w:pPr>
        <w:pStyle w:val="ListParagraph"/>
        <w:numPr>
          <w:ilvl w:val="0"/>
          <w:numId w:val="53"/>
        </w:numPr>
        <w:spacing w:line="240" w:lineRule="auto"/>
        <w:rPr>
          <w:rFonts w:ascii="Calibri" w:eastAsia="Calibri" w:hAnsi="Calibri" w:cs="Calibri"/>
        </w:rPr>
      </w:pPr>
      <w:r w:rsidRPr="001E7AA4">
        <w:rPr>
          <w:rFonts w:ascii="Calibri" w:eastAsia="Calibri" w:hAnsi="Calibri" w:cs="Calibri"/>
        </w:rPr>
        <w:t>exploring the potential for a student-centred, needs-based funding model (similar to that used for determining school funding) that recognises the additional costs involved in teaching students from equity groups and underrepresented communities</w:t>
      </w:r>
    </w:p>
    <w:p w14:paraId="4489385B" w14:textId="77777777" w:rsidR="006B0208" w:rsidRPr="001E7AA4" w:rsidRDefault="0F83FC52" w:rsidP="00A025B1">
      <w:pPr>
        <w:pStyle w:val="ListParagraph"/>
        <w:numPr>
          <w:ilvl w:val="0"/>
          <w:numId w:val="53"/>
        </w:numPr>
        <w:spacing w:line="240" w:lineRule="auto"/>
        <w:rPr>
          <w:rFonts w:ascii="Calibri" w:eastAsia="Calibri" w:hAnsi="Calibri" w:cs="Calibri"/>
        </w:rPr>
      </w:pPr>
      <w:r w:rsidRPr="001E7AA4">
        <w:rPr>
          <w:rFonts w:ascii="Calibri" w:eastAsia="Calibri" w:hAnsi="Calibri" w:cs="Calibri"/>
        </w:rPr>
        <w:t>reducing the cost of living barriers to higher education through improved income support measures and more opportunities for part-time study</w:t>
      </w:r>
      <w:r w:rsidR="006B0208" w:rsidRPr="001E7AA4">
        <w:tab/>
      </w:r>
      <w:r w:rsidR="006B0208" w:rsidRPr="001E7AA4">
        <w:tab/>
      </w:r>
    </w:p>
    <w:p w14:paraId="7FED95E4" w14:textId="6B73C0A6" w:rsidR="00672023" w:rsidRDefault="0F83FC52" w:rsidP="00A025B1">
      <w:pPr>
        <w:pStyle w:val="ListParagraph"/>
        <w:numPr>
          <w:ilvl w:val="0"/>
          <w:numId w:val="53"/>
        </w:numPr>
        <w:spacing w:line="240" w:lineRule="auto"/>
      </w:pPr>
      <w:r w:rsidRPr="001E7AA4">
        <w:t>revising student contribution amounts and HELP repayment arrangements to ensure students are not being overly burdened with debt and that repayment arrangements are fair and integrate more effectively with the wider tax and social security system.</w:t>
      </w:r>
    </w:p>
    <w:p w14:paraId="52B27E90" w14:textId="77777777" w:rsidR="00672023" w:rsidRDefault="00672023">
      <w:pPr>
        <w:spacing w:after="160"/>
      </w:pPr>
      <w:r>
        <w:br w:type="page"/>
      </w:r>
    </w:p>
    <w:p w14:paraId="65067199" w14:textId="11EAE484" w:rsidR="00E24E4F" w:rsidRPr="00672023" w:rsidRDefault="00E24E4F" w:rsidP="00672023">
      <w:pPr>
        <w:pStyle w:val="BlueShadedBox-Body"/>
        <w:rPr>
          <w:rStyle w:val="Strong"/>
        </w:rPr>
      </w:pPr>
      <w:r w:rsidRPr="00672023">
        <w:rPr>
          <w:rStyle w:val="Strong"/>
        </w:rPr>
        <w:lastRenderedPageBreak/>
        <w:t xml:space="preserve">Potential proposals the Review may also consider for the Final Report, and that reflect the broad themes outlined above, include: </w:t>
      </w:r>
    </w:p>
    <w:p w14:paraId="4340F29E" w14:textId="3CEA23D2" w:rsidR="00E24E4F" w:rsidRDefault="00E24E4F" w:rsidP="00560132">
      <w:pPr>
        <w:pStyle w:val="BlueShadedBox-Body"/>
        <w:spacing w:after="120"/>
      </w:pPr>
      <w:r w:rsidRPr="00A83323">
        <w:t>Supporting aspiration and potential:</w:t>
      </w:r>
    </w:p>
    <w:p w14:paraId="2DA870CA" w14:textId="77777777" w:rsidR="00E24E4F" w:rsidRPr="001E7AA4" w:rsidRDefault="00E24E4F" w:rsidP="00A025B1">
      <w:pPr>
        <w:pStyle w:val="BlueShadedBox-ListLetterstest"/>
        <w:numPr>
          <w:ilvl w:val="0"/>
          <w:numId w:val="30"/>
        </w:numPr>
        <w:ind w:left="570"/>
      </w:pPr>
      <w:r w:rsidRPr="001E7AA4">
        <w:t>aligning and improving outreach programs across early childhood, primary and secondary education, including with local governments and use of role models</w:t>
      </w:r>
    </w:p>
    <w:p w14:paraId="31FBC39C" w14:textId="77777777" w:rsidR="00E24E4F" w:rsidRDefault="00E24E4F" w:rsidP="00A025B1">
      <w:pPr>
        <w:pStyle w:val="BlueShadedBox-ListLetterstest"/>
        <w:numPr>
          <w:ilvl w:val="0"/>
          <w:numId w:val="30"/>
        </w:numPr>
        <w:ind w:left="570"/>
      </w:pPr>
      <w:r w:rsidRPr="001E7AA4">
        <w:t>improving the availability of accurate, appropriate and timely careers advice and improving familiarity with higher education.</w:t>
      </w:r>
    </w:p>
    <w:p w14:paraId="228C036D" w14:textId="77777777" w:rsidR="00E24E4F" w:rsidRDefault="00E24E4F" w:rsidP="00560132">
      <w:pPr>
        <w:pStyle w:val="BlueShadedBox-Body"/>
        <w:spacing w:after="120"/>
      </w:pPr>
      <w:r w:rsidRPr="00A83323">
        <w:t>Improving entry and exit processes, and better scaffolding of support for students:</w:t>
      </w:r>
    </w:p>
    <w:p w14:paraId="706C3893" w14:textId="77777777" w:rsidR="00E24E4F" w:rsidRPr="001E7AA4" w:rsidRDefault="00E24E4F" w:rsidP="00A025B1">
      <w:pPr>
        <w:pStyle w:val="BlueShadedBox-ListLetterstest"/>
        <w:numPr>
          <w:ilvl w:val="0"/>
          <w:numId w:val="31"/>
        </w:numPr>
        <w:ind w:left="570"/>
      </w:pPr>
      <w:r w:rsidRPr="001E7AA4">
        <w:t>increasing delivery of preparatory programs, including across VET and universities, as pathways into higher education, with consistent recognition across all institutions</w:t>
      </w:r>
    </w:p>
    <w:p w14:paraId="02C3404A" w14:textId="77777777" w:rsidR="00E24E4F" w:rsidRPr="001E7AA4" w:rsidRDefault="00E24E4F" w:rsidP="00A025B1">
      <w:pPr>
        <w:pStyle w:val="BlueShadedBox-ListLetterstest"/>
        <w:numPr>
          <w:ilvl w:val="0"/>
          <w:numId w:val="31"/>
        </w:numPr>
        <w:ind w:left="570"/>
      </w:pPr>
      <w:r w:rsidRPr="001E7AA4">
        <w:t xml:space="preserve">increasing access to enabling programs across all institutions, ensuring these programs remain free for students and institutions receive sufficient funding for delivery </w:t>
      </w:r>
    </w:p>
    <w:p w14:paraId="1786051E" w14:textId="77777777" w:rsidR="00E24E4F" w:rsidRPr="001E7AA4" w:rsidRDefault="00E24E4F" w:rsidP="00A025B1">
      <w:pPr>
        <w:pStyle w:val="BlueShadedBox-ListLetterstest"/>
        <w:numPr>
          <w:ilvl w:val="0"/>
          <w:numId w:val="31"/>
        </w:numPr>
        <w:ind w:left="570"/>
      </w:pPr>
      <w:r w:rsidRPr="001E7AA4">
        <w:t>ensuring tertiary admission arrangements are facilitative (especially for First Nations and equity groups) while maintaining entry quality</w:t>
      </w:r>
    </w:p>
    <w:p w14:paraId="0B7F0627" w14:textId="77777777" w:rsidR="00E24E4F" w:rsidRPr="001E7AA4" w:rsidRDefault="00E24E4F" w:rsidP="00A025B1">
      <w:pPr>
        <w:pStyle w:val="BlueShadedBox-ListLetterstest"/>
        <w:numPr>
          <w:ilvl w:val="0"/>
          <w:numId w:val="31"/>
        </w:numPr>
        <w:ind w:left="570"/>
      </w:pPr>
      <w:r w:rsidRPr="001E7AA4">
        <w:t>focusing on student success, emphasising completion in minimum time so they do not incur more HELP debt than necessary</w:t>
      </w:r>
    </w:p>
    <w:p w14:paraId="231BBDC4" w14:textId="77777777" w:rsidR="00E24E4F" w:rsidRPr="001E7AA4" w:rsidRDefault="00E24E4F" w:rsidP="00A025B1">
      <w:pPr>
        <w:pStyle w:val="BlueShadedBox-ListLetterstest"/>
        <w:numPr>
          <w:ilvl w:val="0"/>
          <w:numId w:val="31"/>
        </w:numPr>
        <w:ind w:left="570"/>
      </w:pPr>
      <w:r w:rsidRPr="001E7AA4">
        <w:t>increasing recognition of early exit pathways (with appropriate credentialling of study to date) as leading to positive outcomes for students</w:t>
      </w:r>
    </w:p>
    <w:p w14:paraId="7A4BD97F" w14:textId="77777777" w:rsidR="00E24E4F" w:rsidRPr="001E7AA4" w:rsidRDefault="00E24E4F" w:rsidP="00A025B1">
      <w:pPr>
        <w:pStyle w:val="BlueShadedBox-ListLetterstest"/>
        <w:numPr>
          <w:ilvl w:val="0"/>
          <w:numId w:val="31"/>
        </w:numPr>
        <w:ind w:left="570"/>
      </w:pPr>
      <w:r w:rsidRPr="001E7AA4">
        <w:t>improving ease of student transfer between education sectors and institutions</w:t>
      </w:r>
    </w:p>
    <w:p w14:paraId="4AE3E069" w14:textId="77777777" w:rsidR="00E24E4F" w:rsidRDefault="00E24E4F" w:rsidP="00A025B1">
      <w:pPr>
        <w:pStyle w:val="BlueShadedBox-ListLetterstest"/>
        <w:numPr>
          <w:ilvl w:val="0"/>
          <w:numId w:val="31"/>
        </w:numPr>
        <w:ind w:left="570"/>
      </w:pPr>
      <w:r w:rsidRPr="001E7AA4">
        <w:t>encouraging new pedagogies which provide greater scaffolded learning and student engagement.</w:t>
      </w:r>
    </w:p>
    <w:p w14:paraId="2324FEFA" w14:textId="77777777" w:rsidR="00E24E4F" w:rsidRDefault="00E24E4F" w:rsidP="00560132">
      <w:pPr>
        <w:pStyle w:val="BlueShadedBox-Body"/>
        <w:spacing w:after="120"/>
      </w:pPr>
      <w:r w:rsidRPr="00A83323">
        <w:t>Reducing barriers and increasing access to financial support:</w:t>
      </w:r>
    </w:p>
    <w:p w14:paraId="5D5686B3" w14:textId="77777777" w:rsidR="00E24E4F" w:rsidRPr="001E7AA4" w:rsidRDefault="00E24E4F" w:rsidP="00A025B1">
      <w:pPr>
        <w:pStyle w:val="BlueShadedBox-ListLetterstest"/>
        <w:numPr>
          <w:ilvl w:val="0"/>
          <w:numId w:val="32"/>
        </w:numPr>
        <w:ind w:left="570"/>
      </w:pPr>
      <w:r w:rsidRPr="001E7AA4">
        <w:t>changing income support payment arrangements, including eligibility tests around independence, part-time study and unpaid work placements</w:t>
      </w:r>
    </w:p>
    <w:p w14:paraId="5B7A5E9D" w14:textId="77777777" w:rsidR="00E24E4F" w:rsidRPr="001E7AA4" w:rsidRDefault="00E24E4F" w:rsidP="00A025B1">
      <w:pPr>
        <w:pStyle w:val="BlueShadedBox-ListLetterstest"/>
        <w:numPr>
          <w:ilvl w:val="0"/>
          <w:numId w:val="32"/>
        </w:numPr>
        <w:ind w:left="570"/>
      </w:pPr>
      <w:r w:rsidRPr="001E7AA4">
        <w:t xml:space="preserve">exploring the advantages and disadvantages of ICLs to help students meet living expenses </w:t>
      </w:r>
    </w:p>
    <w:p w14:paraId="34E50469" w14:textId="008C81DC" w:rsidR="00E24E4F" w:rsidRDefault="00E24E4F" w:rsidP="00A025B1">
      <w:pPr>
        <w:pStyle w:val="BlueShadedBox-ListLetterstest"/>
        <w:numPr>
          <w:ilvl w:val="0"/>
          <w:numId w:val="32"/>
        </w:numPr>
        <w:ind w:left="570"/>
      </w:pPr>
      <w:r w:rsidRPr="001E7AA4">
        <w:t>reforming the Higher Education Loan Program to ensure students do not experience long-term financial burden.</w:t>
      </w:r>
    </w:p>
    <w:p w14:paraId="1417BE4F" w14:textId="6F00E9B6" w:rsidR="008B1A15" w:rsidRPr="001E7AA4" w:rsidRDefault="008B1A15" w:rsidP="00672023">
      <w:pPr>
        <w:rPr>
          <w:rFonts w:ascii="Calibri" w:eastAsiaTheme="majorEastAsia" w:hAnsi="Calibri" w:cstheme="majorBidi"/>
          <w:color w:val="00254A" w:themeColor="text2"/>
          <w:sz w:val="60"/>
          <w:szCs w:val="32"/>
        </w:rPr>
      </w:pPr>
      <w:bookmarkStart w:id="182" w:name="_Toc136259196"/>
      <w:r w:rsidRPr="001E7AA4">
        <w:br w:type="page"/>
      </w:r>
    </w:p>
    <w:p w14:paraId="2BDB330C" w14:textId="58C7F6EE" w:rsidR="007332E7" w:rsidRPr="001E7AA4" w:rsidRDefault="396F51D7" w:rsidP="00F72CFE">
      <w:pPr>
        <w:pStyle w:val="Heading4"/>
      </w:pPr>
      <w:bookmarkStart w:id="183" w:name="_Toc137829555"/>
      <w:bookmarkStart w:id="184" w:name="_Toc1482484386"/>
      <w:bookmarkStart w:id="185" w:name="_Toc139028887"/>
      <w:r w:rsidRPr="001E7AA4">
        <w:lastRenderedPageBreak/>
        <w:t>2.4: Excellence in learning, teaching and student experience</w:t>
      </w:r>
      <w:bookmarkEnd w:id="182"/>
      <w:bookmarkEnd w:id="183"/>
      <w:bookmarkEnd w:id="184"/>
      <w:bookmarkEnd w:id="185"/>
      <w:r w:rsidRPr="001E7AA4">
        <w:t xml:space="preserve"> </w:t>
      </w:r>
    </w:p>
    <w:p w14:paraId="6B8DBD8D" w14:textId="03564F3D" w:rsidR="007332E7" w:rsidRPr="001E7AA4" w:rsidRDefault="007332E7" w:rsidP="007332E7">
      <w:pPr>
        <w:pStyle w:val="Quote"/>
        <w:rPr>
          <w:rStyle w:val="FootnoteReference"/>
        </w:rPr>
      </w:pPr>
      <w:r w:rsidRPr="001E7AA4">
        <w:rPr>
          <w:rStyle w:val="QuoteChar"/>
        </w:rPr>
        <w:t xml:space="preserve">“Universities need to inspire and engage all their students and proactively engage with new and changing cohorts with different educational needs… Our teaching methods and courses must grow and adapt with changing needs and demands.” </w:t>
      </w:r>
      <w:r w:rsidR="00E61ECB">
        <w:rPr>
          <w:rStyle w:val="QuoteChar"/>
        </w:rPr>
        <w:br/>
      </w:r>
      <w:r w:rsidRPr="001E7AA4">
        <w:rPr>
          <w:rStyle w:val="QuoteChar"/>
        </w:rPr>
        <w:t xml:space="preserve">– Australian Technology Network of Universities </w:t>
      </w:r>
    </w:p>
    <w:p w14:paraId="37ADC70E" w14:textId="77777777" w:rsidR="007332E7" w:rsidRPr="001E7AA4" w:rsidRDefault="396F51D7" w:rsidP="00F72CFE">
      <w:pPr>
        <w:pStyle w:val="Heading5"/>
        <w:rPr>
          <w:lang w:eastAsia="en-AU"/>
        </w:rPr>
      </w:pPr>
      <w:bookmarkStart w:id="186" w:name="_Toc137829556"/>
      <w:bookmarkStart w:id="187" w:name="_Toc1834684119"/>
      <w:bookmarkStart w:id="188" w:name="_Toc139028888"/>
      <w:r w:rsidRPr="001E7AA4">
        <w:rPr>
          <w:lang w:eastAsia="en-AU"/>
        </w:rPr>
        <w:t>Issues</w:t>
      </w:r>
      <w:bookmarkEnd w:id="186"/>
      <w:bookmarkEnd w:id="187"/>
      <w:bookmarkEnd w:id="188"/>
    </w:p>
    <w:p w14:paraId="21B3181F" w14:textId="113AADDE" w:rsidR="007332E7" w:rsidRPr="001E7AA4" w:rsidRDefault="007332E7" w:rsidP="006F0F6B">
      <w:r w:rsidRPr="001E7AA4">
        <w:t xml:space="preserve">If Australia is to achieve the Review’s vision of educating many more students from all walks of life to various skill levels, then our higher education system must deliver a world-leading learning experience. </w:t>
      </w:r>
      <w:r w:rsidR="3E9DC0F0" w:rsidRPr="001E7AA4">
        <w:t>The Review is consider</w:t>
      </w:r>
      <w:r w:rsidR="75436E83" w:rsidRPr="001E7AA4">
        <w:t>ing</w:t>
      </w:r>
      <w:r w:rsidR="3E9DC0F0" w:rsidRPr="001E7AA4">
        <w:t xml:space="preserve"> how</w:t>
      </w:r>
      <w:r w:rsidR="64E92458" w:rsidRPr="001E7AA4">
        <w:t xml:space="preserve"> the tertiary education system </w:t>
      </w:r>
      <w:r w:rsidR="000A5FAF" w:rsidRPr="001E7AA4">
        <w:t xml:space="preserve">can continually </w:t>
      </w:r>
      <w:r w:rsidR="002151EB" w:rsidRPr="001E7AA4">
        <w:t xml:space="preserve">respond and embed </w:t>
      </w:r>
      <w:r w:rsidR="64E92458" w:rsidRPr="001E7AA4">
        <w:t xml:space="preserve">innovations and new approaches to ensure students are prepared for a constantly changing world. </w:t>
      </w:r>
      <w:r w:rsidR="2C0C2F40" w:rsidRPr="001E7AA4">
        <w:t xml:space="preserve">This includes </w:t>
      </w:r>
      <w:r w:rsidR="59065C7A" w:rsidRPr="001E7AA4">
        <w:t>rapid</w:t>
      </w:r>
      <w:r w:rsidR="2C0C2F40" w:rsidRPr="001E7AA4">
        <w:t xml:space="preserve"> updates to </w:t>
      </w:r>
      <w:r w:rsidR="0DECDCB6" w:rsidRPr="001E7AA4">
        <w:t>c</w:t>
      </w:r>
      <w:r w:rsidR="78C21C81" w:rsidRPr="001E7AA4">
        <w:t>urricul</w:t>
      </w:r>
      <w:r w:rsidR="13870D8A" w:rsidRPr="001E7AA4">
        <w:t>a</w:t>
      </w:r>
      <w:r w:rsidR="64E92458" w:rsidRPr="001E7AA4">
        <w:t xml:space="preserve"> and </w:t>
      </w:r>
      <w:r w:rsidR="6AFB66B9" w:rsidRPr="001E7AA4">
        <w:t xml:space="preserve">improving </w:t>
      </w:r>
      <w:r w:rsidR="64E92458" w:rsidRPr="001E7AA4">
        <w:t xml:space="preserve">the higher education </w:t>
      </w:r>
      <w:r w:rsidR="78C21C81" w:rsidRPr="001E7AA4">
        <w:t>system</w:t>
      </w:r>
      <w:r w:rsidR="006F0F6B" w:rsidRPr="001E7AA4">
        <w:t>’</w:t>
      </w:r>
      <w:r w:rsidR="768A3700" w:rsidRPr="001E7AA4">
        <w:t>s</w:t>
      </w:r>
      <w:r w:rsidR="006F0F6B" w:rsidRPr="001E7AA4">
        <w:t xml:space="preserve"> </w:t>
      </w:r>
      <w:r w:rsidR="64E92458" w:rsidRPr="001E7AA4">
        <w:t xml:space="preserve">capacity to </w:t>
      </w:r>
      <w:r w:rsidR="006F0F6B" w:rsidRPr="001E7AA4">
        <w:t xml:space="preserve">absorb, </w:t>
      </w:r>
      <w:r w:rsidR="64E92458" w:rsidRPr="001E7AA4">
        <w:t>adopt</w:t>
      </w:r>
      <w:r w:rsidR="006F0F6B" w:rsidRPr="001E7AA4">
        <w:t xml:space="preserve">, share and apply </w:t>
      </w:r>
      <w:r w:rsidR="64E92458" w:rsidRPr="001E7AA4">
        <w:t xml:space="preserve">new </w:t>
      </w:r>
      <w:r w:rsidR="00BB2C23" w:rsidRPr="001E7AA4">
        <w:t xml:space="preserve">knowledge </w:t>
      </w:r>
      <w:r w:rsidR="64E92458" w:rsidRPr="001E7AA4">
        <w:t xml:space="preserve">in the classroom. </w:t>
      </w:r>
    </w:p>
    <w:p w14:paraId="6EB11262" w14:textId="11A1594D" w:rsidR="007332E7" w:rsidRPr="001E7AA4" w:rsidRDefault="007332E7" w:rsidP="007332E7">
      <w:pPr>
        <w:rPr>
          <w:color w:val="000000" w:themeColor="text1"/>
        </w:rPr>
      </w:pPr>
      <w:r w:rsidRPr="001E7AA4">
        <w:t xml:space="preserve">As student cohorts become more diverse, a new focus on student-centred models of delivery and support </w:t>
      </w:r>
      <w:r w:rsidR="6E239347" w:rsidRPr="001E7AA4">
        <w:t>will be</w:t>
      </w:r>
      <w:r w:rsidRPr="001E7AA4">
        <w:t xml:space="preserve"> required. This </w:t>
      </w:r>
      <w:r w:rsidR="2B2E9DEC" w:rsidRPr="001E7AA4">
        <w:t>could</w:t>
      </w:r>
      <w:r w:rsidRPr="001E7AA4">
        <w:t xml:space="preserve"> include teaching </w:t>
      </w:r>
      <w:r w:rsidR="006F0F6B" w:rsidRPr="001E7AA4">
        <w:t>in ways which are better</w:t>
      </w:r>
      <w:r w:rsidRPr="001E7AA4">
        <w:t xml:space="preserve"> tailored to the specific needs of each student, and </w:t>
      </w:r>
      <w:r w:rsidR="006F0F6B" w:rsidRPr="001E7AA4">
        <w:t>which</w:t>
      </w:r>
      <w:r w:rsidRPr="001E7AA4">
        <w:t xml:space="preserve"> leverage opportunities </w:t>
      </w:r>
      <w:r w:rsidR="006F0F6B" w:rsidRPr="001E7AA4">
        <w:t>for</w:t>
      </w:r>
      <w:r w:rsidRPr="001E7AA4">
        <w:t xml:space="preserve"> online and collaborative teaching.</w:t>
      </w:r>
      <w:r w:rsidR="006F0F6B" w:rsidRPr="001E7AA4">
        <w:rPr>
          <w:color w:val="000000" w:themeColor="text1"/>
        </w:rPr>
        <w:t xml:space="preserve"> </w:t>
      </w:r>
      <w:r w:rsidR="000F0DFC" w:rsidRPr="001E7AA4">
        <w:rPr>
          <w:color w:val="000000" w:themeColor="text1"/>
        </w:rPr>
        <w:t xml:space="preserve">To deliver </w:t>
      </w:r>
      <w:r w:rsidR="00F678DA" w:rsidRPr="001E7AA4">
        <w:rPr>
          <w:color w:val="000000" w:themeColor="text1"/>
        </w:rPr>
        <w:t xml:space="preserve">a </w:t>
      </w:r>
      <w:r w:rsidR="006F0F6B" w:rsidRPr="001E7AA4">
        <w:rPr>
          <w:color w:val="000000" w:themeColor="text1"/>
        </w:rPr>
        <w:t xml:space="preserve">better </w:t>
      </w:r>
      <w:r w:rsidRPr="001E7AA4">
        <w:rPr>
          <w:color w:val="000000" w:themeColor="text1"/>
        </w:rPr>
        <w:t>student experience, we also</w:t>
      </w:r>
      <w:r w:rsidR="006F0F6B" w:rsidRPr="001E7AA4">
        <w:rPr>
          <w:color w:val="000000" w:themeColor="text1"/>
        </w:rPr>
        <w:t xml:space="preserve"> require</w:t>
      </w:r>
      <w:r w:rsidRPr="001E7AA4">
        <w:rPr>
          <w:color w:val="000000" w:themeColor="text1"/>
        </w:rPr>
        <w:t xml:space="preserve"> a highly skilled, professional </w:t>
      </w:r>
      <w:r w:rsidRPr="001E7AA4">
        <w:t>workforce</w:t>
      </w:r>
      <w:r w:rsidR="006F0F6B" w:rsidRPr="001E7AA4">
        <w:t xml:space="preserve"> enjoying</w:t>
      </w:r>
      <w:r w:rsidRPr="001E7AA4">
        <w:t xml:space="preserve"> </w:t>
      </w:r>
      <w:r w:rsidRPr="001E7AA4">
        <w:rPr>
          <w:rStyle w:val="normaltextrun"/>
          <w:shd w:val="clear" w:color="auto" w:fill="FFFFFF"/>
        </w:rPr>
        <w:t xml:space="preserve">attractive </w:t>
      </w:r>
      <w:r w:rsidRPr="001E7AA4">
        <w:rPr>
          <w:color w:val="000000" w:themeColor="text1"/>
        </w:rPr>
        <w:t xml:space="preserve">career pathways. </w:t>
      </w:r>
    </w:p>
    <w:p w14:paraId="1A1B317D" w14:textId="2D989146" w:rsidR="007332E7" w:rsidRPr="001E7AA4" w:rsidRDefault="007332E7" w:rsidP="007332E7">
      <w:pPr>
        <w:rPr>
          <w:color w:val="000000" w:themeColor="text1"/>
        </w:rPr>
      </w:pPr>
      <w:r w:rsidRPr="001E7AA4">
        <w:rPr>
          <w:color w:val="000000" w:themeColor="text1"/>
        </w:rPr>
        <w:t xml:space="preserve">This </w:t>
      </w:r>
      <w:r w:rsidR="00A75AD6" w:rsidRPr="001E7AA4">
        <w:rPr>
          <w:color w:val="000000" w:themeColor="text1"/>
        </w:rPr>
        <w:t xml:space="preserve">section </w:t>
      </w:r>
      <w:r w:rsidRPr="001E7AA4">
        <w:rPr>
          <w:color w:val="000000" w:themeColor="text1"/>
        </w:rPr>
        <w:t xml:space="preserve">discusses current issues in learning and </w:t>
      </w:r>
      <w:r w:rsidR="0065483C" w:rsidRPr="001E7AA4">
        <w:rPr>
          <w:color w:val="000000" w:themeColor="text1"/>
        </w:rPr>
        <w:t>teaching</w:t>
      </w:r>
      <w:r w:rsidRPr="001E7AA4">
        <w:rPr>
          <w:color w:val="000000" w:themeColor="text1"/>
        </w:rPr>
        <w:t xml:space="preserve"> and student experience, </w:t>
      </w:r>
      <w:r w:rsidR="006F0F6B" w:rsidRPr="001E7AA4">
        <w:rPr>
          <w:color w:val="000000" w:themeColor="text1"/>
        </w:rPr>
        <w:t xml:space="preserve">including more </w:t>
      </w:r>
      <w:r w:rsidRPr="001E7AA4">
        <w:rPr>
          <w:color w:val="000000" w:themeColor="text1"/>
        </w:rPr>
        <w:t>inclusive student-centred approach</w:t>
      </w:r>
      <w:r w:rsidR="006F0F6B" w:rsidRPr="001E7AA4">
        <w:rPr>
          <w:color w:val="000000" w:themeColor="text1"/>
        </w:rPr>
        <w:t>es, digital teaching technologies</w:t>
      </w:r>
      <w:r w:rsidR="00A75AD6" w:rsidRPr="001E7AA4">
        <w:rPr>
          <w:color w:val="000000" w:themeColor="text1"/>
        </w:rPr>
        <w:t>,</w:t>
      </w:r>
      <w:r w:rsidR="006F0F6B" w:rsidRPr="001E7AA4">
        <w:rPr>
          <w:color w:val="000000" w:themeColor="text1"/>
        </w:rPr>
        <w:t xml:space="preserve"> cutting edge curricula and greater collaboration</w:t>
      </w:r>
      <w:r w:rsidR="00A75AD6" w:rsidRPr="001E7AA4">
        <w:rPr>
          <w:color w:val="000000" w:themeColor="text1"/>
        </w:rPr>
        <w:t xml:space="preserve"> in course offerings</w:t>
      </w:r>
      <w:r w:rsidR="006F0F6B" w:rsidRPr="001E7AA4">
        <w:rPr>
          <w:color w:val="000000" w:themeColor="text1"/>
        </w:rPr>
        <w:t xml:space="preserve">. </w:t>
      </w:r>
      <w:bookmarkStart w:id="189" w:name="_Toc136259199"/>
      <w:bookmarkStart w:id="190" w:name="_Toc135739788"/>
      <w:bookmarkStart w:id="191" w:name="_Toc135741091"/>
    </w:p>
    <w:p w14:paraId="204653DD" w14:textId="378DCDBC" w:rsidR="007332E7" w:rsidRPr="001E7AA4" w:rsidRDefault="396F51D7" w:rsidP="00F72CFE">
      <w:pPr>
        <w:pStyle w:val="Heading5"/>
      </w:pPr>
      <w:bookmarkStart w:id="192" w:name="_Toc137829557"/>
      <w:bookmarkStart w:id="193" w:name="_Toc73255539"/>
      <w:bookmarkStart w:id="194" w:name="_Toc139028889"/>
      <w:r w:rsidRPr="001E7AA4">
        <w:t xml:space="preserve">2.4.1 </w:t>
      </w:r>
      <w:r w:rsidR="0065483C" w:rsidRPr="001E7AA4">
        <w:t>L</w:t>
      </w:r>
      <w:r w:rsidRPr="001E7AA4">
        <w:t xml:space="preserve">earning </w:t>
      </w:r>
      <w:r w:rsidR="0065483C" w:rsidRPr="001E7AA4">
        <w:t>and teaching</w:t>
      </w:r>
      <w:r w:rsidRPr="001E7AA4">
        <w:t xml:space="preserve"> that is personalised and scalable</w:t>
      </w:r>
      <w:bookmarkEnd w:id="189"/>
      <w:bookmarkEnd w:id="192"/>
      <w:bookmarkEnd w:id="193"/>
      <w:bookmarkEnd w:id="194"/>
    </w:p>
    <w:p w14:paraId="450C1BC1" w14:textId="21FE5495" w:rsidR="007332E7" w:rsidRPr="001E7AA4" w:rsidRDefault="007332E7" w:rsidP="007332E7">
      <w:r w:rsidRPr="001E7AA4">
        <w:t>A</w:t>
      </w:r>
      <w:r w:rsidR="006F0F6B" w:rsidRPr="001E7AA4">
        <w:t xml:space="preserve"> more</w:t>
      </w:r>
      <w:r w:rsidRPr="001E7AA4">
        <w:t xml:space="preserve"> student-centric approach to teaching, tailored to the cultural, social and academic needs of the individual student, </w:t>
      </w:r>
      <w:r w:rsidR="006F0F6B" w:rsidRPr="001E7AA4">
        <w:t>will deliver a superior education</w:t>
      </w:r>
      <w:r w:rsidRPr="001E7AA4">
        <w:t xml:space="preserve">. </w:t>
      </w:r>
      <w:r w:rsidR="006F0F6B" w:rsidRPr="001E7AA4">
        <w:t>What’s needed is innovation and scalability.</w:t>
      </w:r>
    </w:p>
    <w:p w14:paraId="7C91861D" w14:textId="46B50DFD" w:rsidR="007332E7" w:rsidRPr="001E7AA4" w:rsidRDefault="007332E7" w:rsidP="007332E7">
      <w:pPr>
        <w:pStyle w:val="Quote"/>
      </w:pPr>
      <w:r w:rsidRPr="001E7AA4">
        <w:t xml:space="preserve">“Often students are dealing with complex disadvantage, where as one challenge is addressed, another emerges. To respond to this, each of these students needs a form of individualised learning plan.” </w:t>
      </w:r>
      <w:r w:rsidR="00E50536">
        <w:br/>
      </w:r>
      <w:r w:rsidRPr="001E7AA4">
        <w:t>– University of Tasmania</w:t>
      </w:r>
    </w:p>
    <w:p w14:paraId="4AE753FD" w14:textId="6C0A38AB" w:rsidR="007332E7" w:rsidRPr="001E7AA4" w:rsidRDefault="007332E7" w:rsidP="7C5E3583">
      <w:pPr>
        <w:spacing w:line="257" w:lineRule="auto"/>
        <w:rPr>
          <w:rFonts w:ascii="Calibri" w:eastAsia="Calibri" w:hAnsi="Calibri" w:cs="Calibri"/>
        </w:rPr>
      </w:pPr>
      <w:r w:rsidRPr="001E7AA4">
        <w:t xml:space="preserve">Preparatory and enabling programs are proven </w:t>
      </w:r>
      <w:r w:rsidR="006F0F6B" w:rsidRPr="001E7AA4">
        <w:t>way</w:t>
      </w:r>
      <w:r w:rsidR="002507BA" w:rsidRPr="001E7AA4">
        <w:t>s</w:t>
      </w:r>
      <w:r w:rsidR="006F0F6B" w:rsidRPr="001E7AA4">
        <w:t xml:space="preserve"> </w:t>
      </w:r>
      <w:r w:rsidRPr="001E7AA4">
        <w:t xml:space="preserve">to build academic preparation and provide a supportive pathway to further study for students, particularly students from equity cohorts as discussed in </w:t>
      </w:r>
      <w:r w:rsidR="00DA2613" w:rsidRPr="001E7AA4">
        <w:t>Section</w:t>
      </w:r>
      <w:r w:rsidRPr="001E7AA4">
        <w:t xml:space="preserve"> 2.2.</w:t>
      </w:r>
      <w:r w:rsidR="00433091" w:rsidRPr="001E7AA4">
        <w:rPr>
          <w:rStyle w:val="FootnoteReference"/>
        </w:rPr>
        <w:footnoteReference w:id="93"/>
      </w:r>
      <w:r w:rsidRPr="001E7AA4">
        <w:t xml:space="preserve"> </w:t>
      </w:r>
      <w:r w:rsidR="78C21C81" w:rsidRPr="001E7AA4">
        <w:t>The</w:t>
      </w:r>
      <w:r w:rsidR="21C67036" w:rsidRPr="001E7AA4">
        <w:t xml:space="preserve"> Review </w:t>
      </w:r>
      <w:r w:rsidR="006F0F6B" w:rsidRPr="001E7AA4">
        <w:t xml:space="preserve">believes such programs should be expanded. </w:t>
      </w:r>
    </w:p>
    <w:p w14:paraId="658C600D" w14:textId="57A8D244" w:rsidR="00672023" w:rsidRDefault="007332E7" w:rsidP="00672023">
      <w:r w:rsidRPr="001E7AA4">
        <w:t xml:space="preserve">There are many examples of providers developing student-focused learning and support programs. This includes </w:t>
      </w:r>
      <w:r w:rsidR="006F0F6B" w:rsidRPr="001E7AA4">
        <w:t xml:space="preserve">those </w:t>
      </w:r>
      <w:r w:rsidRPr="001E7AA4">
        <w:t>universities implementing the Universal Design for Learning framework,</w:t>
      </w:r>
      <w:r w:rsidR="004B1AC9" w:rsidRPr="001E7AA4">
        <w:rPr>
          <w:rStyle w:val="FootnoteReference"/>
        </w:rPr>
        <w:footnoteReference w:id="94"/>
      </w:r>
      <w:r w:rsidRPr="001E7AA4">
        <w:t xml:space="preserve"> which adopts a learner-centred approach to pedagogy. </w:t>
      </w:r>
      <w:r w:rsidR="006F0F6B" w:rsidRPr="001E7AA4">
        <w:t xml:space="preserve">Related </w:t>
      </w:r>
      <w:r w:rsidRPr="001E7AA4">
        <w:t xml:space="preserve">pathways </w:t>
      </w:r>
      <w:r w:rsidR="006F0F6B" w:rsidRPr="001E7AA4">
        <w:t xml:space="preserve">include the fast, </w:t>
      </w:r>
      <w:r w:rsidRPr="001E7AA4">
        <w:t>stackable and portable credentials</w:t>
      </w:r>
      <w:r w:rsidR="006F0F6B" w:rsidRPr="001E7AA4">
        <w:t xml:space="preserve"> </w:t>
      </w:r>
      <w:r w:rsidRPr="001E7AA4">
        <w:t xml:space="preserve">explored </w:t>
      </w:r>
      <w:r w:rsidR="00513BFF" w:rsidRPr="001E7AA4">
        <w:t xml:space="preserve">in </w:t>
      </w:r>
      <w:r w:rsidR="00B5307B" w:rsidRPr="001E7AA4">
        <w:t xml:space="preserve">Section </w:t>
      </w:r>
      <w:r w:rsidR="00513BFF" w:rsidRPr="001E7AA4">
        <w:t>2</w:t>
      </w:r>
      <w:r w:rsidRPr="001E7AA4">
        <w:t>.</w:t>
      </w:r>
      <w:r w:rsidR="00513BFF" w:rsidRPr="001E7AA4">
        <w:t>2</w:t>
      </w:r>
      <w:r w:rsidRPr="001E7AA4">
        <w:t>.</w:t>
      </w:r>
    </w:p>
    <w:p w14:paraId="029752D3" w14:textId="77777777" w:rsidR="00672023" w:rsidRDefault="00672023">
      <w:pPr>
        <w:spacing w:after="160"/>
      </w:pPr>
      <w:r>
        <w:br w:type="page"/>
      </w:r>
    </w:p>
    <w:tbl>
      <w:tblPr>
        <w:tblStyle w:val="CaseStudy0"/>
        <w:tblW w:w="0" w:type="auto"/>
        <w:tblLook w:val="04A0" w:firstRow="1" w:lastRow="0" w:firstColumn="1" w:lastColumn="0" w:noHBand="0" w:noVBand="1"/>
      </w:tblPr>
      <w:tblGrid>
        <w:gridCol w:w="9016"/>
      </w:tblGrid>
      <w:tr w:rsidR="00672023" w14:paraId="5CF87DD9" w14:textId="77777777" w:rsidTr="00672023">
        <w:tc>
          <w:tcPr>
            <w:tcW w:w="9016" w:type="dxa"/>
          </w:tcPr>
          <w:p w14:paraId="1EE1D580" w14:textId="77777777" w:rsidR="00672023" w:rsidRPr="00BC1824" w:rsidRDefault="00672023" w:rsidP="00672023">
            <w:pPr>
              <w:pStyle w:val="CaseStudy-Heading"/>
            </w:pPr>
            <w:r w:rsidRPr="00BC1824">
              <w:lastRenderedPageBreak/>
              <w:t xml:space="preserve">Case study: Innovative delivery models </w:t>
            </w:r>
          </w:p>
          <w:p w14:paraId="58C85781" w14:textId="77777777" w:rsidR="00672023" w:rsidRPr="001E7AA4" w:rsidRDefault="00672023" w:rsidP="00672023">
            <w:r w:rsidRPr="001E7AA4">
              <w:t xml:space="preserve">The Victoria University Block Model is an alternative study model where students study one subject at a time in a shortened timeframe, rather than several subjects over a typical semester. Each subject takes four weeks to complete, and students attend multiple classes per week, usually three-hour classes three times a week. </w:t>
            </w:r>
          </w:p>
          <w:p w14:paraId="18D1DF0F" w14:textId="77777777" w:rsidR="00672023" w:rsidRPr="001E7AA4" w:rsidDel="004C49FC" w:rsidRDefault="00672023" w:rsidP="00672023">
            <w:r w:rsidRPr="001E7AA4">
              <w:t>This model has proven to be successful, particularly with students who require more support.</w:t>
            </w:r>
            <w:r w:rsidRPr="001E7AA4">
              <w:rPr>
                <w:rStyle w:val="FootnoteReference"/>
              </w:rPr>
              <w:footnoteReference w:id="95"/>
            </w:r>
            <w:r w:rsidRPr="001E7AA4">
              <w:t xml:space="preserve"> Victoria University has reported increased student retention and pass rates, with special consideration requests reduced by 80%. Success rates for equity group students are at 90.4%, with first generation students having a 91.1</w:t>
            </w:r>
            <w:r w:rsidRPr="001E7AA4" w:rsidDel="0002240E">
              <w:t>%</w:t>
            </w:r>
            <w:r w:rsidRPr="001E7AA4">
              <w:t xml:space="preserve"> success rate.</w:t>
            </w:r>
          </w:p>
          <w:p w14:paraId="46670B34" w14:textId="77777777" w:rsidR="00672023" w:rsidRPr="001E7AA4" w:rsidRDefault="00672023" w:rsidP="00672023">
            <w:r w:rsidRPr="001E7AA4">
              <w:t>Victoria University notes that the success of the Block Model is due to a combination of factors, including smaller classes with significant engagement, quality learning resources, student support and assessment methods.</w:t>
            </w:r>
            <w:r w:rsidRPr="001E7AA4">
              <w:rPr>
                <w:rStyle w:val="FootnoteReference"/>
              </w:rPr>
              <w:footnoteReference w:id="96"/>
            </w:r>
          </w:p>
          <w:p w14:paraId="63D42767" w14:textId="4DE73CDA" w:rsidR="00672023" w:rsidRDefault="00672023" w:rsidP="00672023">
            <w:pPr>
              <w:spacing w:after="120"/>
            </w:pPr>
            <w:r w:rsidRPr="001E7AA4">
              <w:t>Southern Cross University offers a slightly different model in which students study up to two subjects at a time, across a six-week term. There are six terms in an academic year, providing flexibility for a full-time student to complete up to twelve units in one year, or take a term off when they prefer. Other institutions are trialling similar programs, including Western Sydney University’s foundation diploma program.</w:t>
            </w:r>
          </w:p>
        </w:tc>
      </w:tr>
    </w:tbl>
    <w:p w14:paraId="6822A7E9" w14:textId="65C18464" w:rsidR="007332E7" w:rsidRPr="001E7AA4" w:rsidRDefault="006F0F6B" w:rsidP="00672023">
      <w:pPr>
        <w:pStyle w:val="Normal-AfterTable"/>
      </w:pPr>
      <w:r w:rsidRPr="001E7AA4">
        <w:t>Innovative s</w:t>
      </w:r>
      <w:r w:rsidR="007332E7" w:rsidRPr="001E7AA4">
        <w:t xml:space="preserve">tudent-focused learning </w:t>
      </w:r>
      <w:r w:rsidR="005E171F" w:rsidRPr="001E7AA4">
        <w:t>and teaching</w:t>
      </w:r>
      <w:r w:rsidR="007332E7" w:rsidRPr="001E7AA4">
        <w:t xml:space="preserve"> </w:t>
      </w:r>
      <w:r w:rsidRPr="001E7AA4">
        <w:t xml:space="preserve">programs </w:t>
      </w:r>
      <w:r w:rsidR="007332E7" w:rsidRPr="001E7AA4">
        <w:t xml:space="preserve">are </w:t>
      </w:r>
      <w:r w:rsidRPr="001E7AA4">
        <w:t xml:space="preserve">showing </w:t>
      </w:r>
      <w:r w:rsidR="007332E7" w:rsidRPr="001E7AA4">
        <w:t>promising</w:t>
      </w:r>
      <w:r w:rsidRPr="001E7AA4">
        <w:t xml:space="preserve"> results and the </w:t>
      </w:r>
      <w:r w:rsidR="003B1229" w:rsidRPr="001E7AA4">
        <w:t>Review</w:t>
      </w:r>
      <w:r w:rsidRPr="001E7AA4">
        <w:t xml:space="preserve"> believes they have the potential to be used at scale across the sector. </w:t>
      </w:r>
      <w:r w:rsidR="007332E7" w:rsidRPr="001E7AA4">
        <w:t xml:space="preserve"> </w:t>
      </w:r>
    </w:p>
    <w:p w14:paraId="14907DB9" w14:textId="37EF2E37" w:rsidR="007332E7" w:rsidRPr="001E7AA4" w:rsidRDefault="396F51D7" w:rsidP="00F72CFE">
      <w:pPr>
        <w:pStyle w:val="Heading5"/>
      </w:pPr>
      <w:bookmarkStart w:id="195" w:name="_Toc136259200"/>
      <w:bookmarkStart w:id="196" w:name="_Toc137829558"/>
      <w:bookmarkStart w:id="197" w:name="_Toc1374377217"/>
      <w:bookmarkStart w:id="198" w:name="_Toc139028890"/>
      <w:r w:rsidRPr="001E7AA4">
        <w:t>2.4.2 Inclusive and high-quality teaching</w:t>
      </w:r>
      <w:bookmarkEnd w:id="190"/>
      <w:bookmarkEnd w:id="191"/>
      <w:bookmarkEnd w:id="195"/>
      <w:r w:rsidRPr="001E7AA4">
        <w:t xml:space="preserve"> that embraces technological advancements</w:t>
      </w:r>
      <w:bookmarkEnd w:id="196"/>
      <w:bookmarkEnd w:id="197"/>
      <w:bookmarkEnd w:id="198"/>
    </w:p>
    <w:p w14:paraId="0633E127" w14:textId="3C1D7D58" w:rsidR="007332E7" w:rsidRPr="001E7AA4" w:rsidRDefault="007332E7" w:rsidP="007332E7">
      <w:r w:rsidRPr="001E7AA4">
        <w:t xml:space="preserve">Online learning broadens access to education, especially for </w:t>
      </w:r>
      <w:r w:rsidR="006F0F6B" w:rsidRPr="001E7AA4">
        <w:t xml:space="preserve">time poor and remote </w:t>
      </w:r>
      <w:r w:rsidRPr="001E7AA4">
        <w:t xml:space="preserve">students. </w:t>
      </w:r>
    </w:p>
    <w:p w14:paraId="0F513876" w14:textId="7EB4CACC" w:rsidR="007332E7" w:rsidRPr="001E7AA4" w:rsidRDefault="007332E7" w:rsidP="007332E7">
      <w:pPr>
        <w:pStyle w:val="Quote"/>
        <w:rPr>
          <w:rStyle w:val="FootnoteReference"/>
        </w:rPr>
      </w:pPr>
      <w:r w:rsidRPr="001E7AA4">
        <w:t xml:space="preserve">“These students are often mature age, in full-time work and studying part-time – choosing the online modality in order to accommodate their work and family while seeking to attain the skills and qualifications that will allow them to advance in their current or new careers.” </w:t>
      </w:r>
      <w:r w:rsidR="00E50536">
        <w:br/>
      </w:r>
      <w:r w:rsidRPr="001E7AA4">
        <w:t>– University of New England</w:t>
      </w:r>
    </w:p>
    <w:p w14:paraId="3F6161E3" w14:textId="7939B737" w:rsidR="00D04F5E" w:rsidRPr="001E7AA4" w:rsidRDefault="007332E7" w:rsidP="007332E7">
      <w:r w:rsidRPr="001E7AA4">
        <w:t xml:space="preserve">The </w:t>
      </w:r>
      <w:r w:rsidR="00426C19" w:rsidRPr="001E7AA4">
        <w:t>COVID</w:t>
      </w:r>
      <w:r w:rsidRPr="001E7AA4">
        <w:t xml:space="preserve">-19 pandemic accelerated the </w:t>
      </w:r>
      <w:r w:rsidR="006F0F6B" w:rsidRPr="001E7AA4">
        <w:t xml:space="preserve">steady </w:t>
      </w:r>
      <w:r w:rsidRPr="001E7AA4">
        <w:t>expansion of online learning</w:t>
      </w:r>
      <w:r w:rsidR="006F0F6B" w:rsidRPr="001E7AA4">
        <w:t xml:space="preserve">. While it has been a feature of higher education for many years, </w:t>
      </w:r>
      <w:r w:rsidRPr="001E7AA4">
        <w:t xml:space="preserve">educators and learners are still </w:t>
      </w:r>
      <w:r w:rsidR="006F0F6B" w:rsidRPr="001E7AA4">
        <w:t xml:space="preserve">learning to adapt and use it to best advantage. </w:t>
      </w:r>
      <w:r w:rsidRPr="001E7AA4">
        <w:t xml:space="preserve">Some universities, </w:t>
      </w:r>
      <w:r w:rsidR="006F0F6B" w:rsidRPr="001E7AA4">
        <w:t>like</w:t>
      </w:r>
      <w:r w:rsidRPr="001E7AA4">
        <w:t xml:space="preserve"> the University of New England and Charles Sturt University, were early adopters, educating high numbers of students through online and distance education. </w:t>
      </w:r>
      <w:r w:rsidR="00F521F2" w:rsidRPr="001E7AA4">
        <w:t>Many students with disability stud</w:t>
      </w:r>
      <w:r w:rsidR="00BA28DC" w:rsidRPr="001E7AA4">
        <w:t>ied online or</w:t>
      </w:r>
      <w:r w:rsidR="00F521F2" w:rsidRPr="001E7AA4">
        <w:t xml:space="preserve"> through hybrid options during the </w:t>
      </w:r>
      <w:r w:rsidR="11E20A88" w:rsidRPr="001E7AA4">
        <w:t>COVID</w:t>
      </w:r>
      <w:r w:rsidR="00F521F2" w:rsidRPr="001E7AA4">
        <w:t>-19 pandemic</w:t>
      </w:r>
      <w:r w:rsidR="00BA28DC" w:rsidRPr="001E7AA4">
        <w:t>, and participation for this cohort rose</w:t>
      </w:r>
      <w:r w:rsidR="0040635F" w:rsidRPr="001E7AA4">
        <w:t xml:space="preserve"> over the period</w:t>
      </w:r>
      <w:r w:rsidR="000D7548" w:rsidRPr="001E7AA4">
        <w:t xml:space="preserve">, </w:t>
      </w:r>
      <w:r w:rsidR="0040635F" w:rsidRPr="001E7AA4">
        <w:t xml:space="preserve">demonstrating </w:t>
      </w:r>
      <w:r w:rsidR="00662E32" w:rsidRPr="001E7AA4">
        <w:t>t</w:t>
      </w:r>
      <w:r w:rsidR="0040635F" w:rsidRPr="001E7AA4">
        <w:t>he success of these models</w:t>
      </w:r>
      <w:r w:rsidR="001866B0" w:rsidRPr="001E7AA4">
        <w:t xml:space="preserve"> (see Figure </w:t>
      </w:r>
      <w:r w:rsidR="00452B44" w:rsidRPr="001E7AA4">
        <w:t>2.1-7</w:t>
      </w:r>
      <w:r w:rsidR="001866B0" w:rsidRPr="001E7AA4">
        <w:t xml:space="preserve"> in </w:t>
      </w:r>
      <w:r w:rsidR="00DA2613" w:rsidRPr="001E7AA4">
        <w:t>Section</w:t>
      </w:r>
      <w:r w:rsidR="001866B0" w:rsidRPr="001E7AA4">
        <w:t xml:space="preserve"> 2.</w:t>
      </w:r>
      <w:r w:rsidR="00452B44" w:rsidRPr="001E7AA4">
        <w:t>1</w:t>
      </w:r>
      <w:r w:rsidR="001866B0" w:rsidRPr="001E7AA4">
        <w:t>)</w:t>
      </w:r>
      <w:r w:rsidR="0040635F" w:rsidRPr="001E7AA4">
        <w:t xml:space="preserve">. </w:t>
      </w:r>
    </w:p>
    <w:p w14:paraId="39EFCF8C" w14:textId="3636C177" w:rsidR="007332E7" w:rsidRPr="001E7AA4" w:rsidRDefault="006F0F6B" w:rsidP="007332E7">
      <w:r w:rsidRPr="001E7AA4">
        <w:t>R</w:t>
      </w:r>
      <w:r w:rsidR="007332E7" w:rsidRPr="001E7AA4">
        <w:t xml:space="preserve">ecent advances in </w:t>
      </w:r>
      <w:r w:rsidR="003A0D2B" w:rsidRPr="001E7AA4">
        <w:t>a</w:t>
      </w:r>
      <w:r w:rsidR="0055769E" w:rsidRPr="001E7AA4">
        <w:t xml:space="preserve">rtificial </w:t>
      </w:r>
      <w:r w:rsidR="003A0D2B" w:rsidRPr="001E7AA4">
        <w:t>i</w:t>
      </w:r>
      <w:r w:rsidR="0055769E" w:rsidRPr="001E7AA4">
        <w:t>ntelligence</w:t>
      </w:r>
      <w:r w:rsidR="007332E7" w:rsidRPr="001E7AA4">
        <w:t xml:space="preserve"> including machine learning platforms have also seen universities adapt their learning </w:t>
      </w:r>
      <w:r w:rsidR="0065483C" w:rsidRPr="001E7AA4">
        <w:t>and teaching</w:t>
      </w:r>
      <w:r w:rsidR="007332E7" w:rsidRPr="001E7AA4">
        <w:t xml:space="preserve"> environments. When done well, online and hybrid </w:t>
      </w:r>
      <w:r w:rsidR="007332E7" w:rsidRPr="001E7AA4">
        <w:lastRenderedPageBreak/>
        <w:t>learning arrangements can be more inclusive, allowing students with caring or work responsibilities or from regional and remote areas to participate more equitably in higher education.</w:t>
      </w:r>
    </w:p>
    <w:p w14:paraId="3FFA0F0B" w14:textId="37C5C191" w:rsidR="007332E7" w:rsidRPr="001E7AA4" w:rsidRDefault="007332E7" w:rsidP="007332E7">
      <w:r w:rsidRPr="001E7AA4">
        <w:t>The Review has heard that our universities are not doing enough to adapt and keep pace with this change:</w:t>
      </w:r>
    </w:p>
    <w:p w14:paraId="771FE306" w14:textId="27C562A4" w:rsidR="007332E7" w:rsidRPr="001E7AA4" w:rsidRDefault="007332E7" w:rsidP="007332E7">
      <w:pPr>
        <w:pStyle w:val="Quote"/>
      </w:pPr>
      <w:r w:rsidRPr="001E7AA4">
        <w:t xml:space="preserve">“The current experience of online delivery is still largely focused on asynchronous delivery (with recorded lectures) but there is an opportunity to develop new models with a rich student experience through technology-enabled universities.” </w:t>
      </w:r>
      <w:r w:rsidR="00E50536">
        <w:br/>
      </w:r>
      <w:r w:rsidRPr="001E7AA4">
        <w:t>– Innovative Research Universities</w:t>
      </w:r>
    </w:p>
    <w:p w14:paraId="7E01B876" w14:textId="2DB69EC1" w:rsidR="00A94A09" w:rsidRPr="001E7AA4" w:rsidRDefault="002D7B8E" w:rsidP="007538CC">
      <w:pPr>
        <w:pStyle w:val="Quote"/>
      </w:pPr>
      <w:r w:rsidRPr="001E7AA4">
        <w:t>“</w:t>
      </w:r>
      <w:r w:rsidR="0047021A" w:rsidRPr="001E7AA4">
        <w:t>[D]espite its importance in nurturing a culture of lifelong learning, online teaching is often poorly remunerated and inadequately accounted for in staff workloads, which reduces the quality of the student experience</w:t>
      </w:r>
      <w:r w:rsidR="007538CC" w:rsidRPr="001E7AA4">
        <w:t>…</w:t>
      </w:r>
      <w:r w:rsidR="0047021A" w:rsidRPr="001E7AA4">
        <w:t xml:space="preserve"> Urgent investment is required to enable staff to provide a high-quality education in online settings.</w:t>
      </w:r>
      <w:r w:rsidRPr="001E7AA4">
        <w:t xml:space="preserve">” </w:t>
      </w:r>
      <w:r w:rsidR="00E50536">
        <w:br/>
      </w:r>
      <w:r w:rsidR="00424938" w:rsidRPr="001E7AA4">
        <w:t>–</w:t>
      </w:r>
      <w:r w:rsidRPr="001E7AA4">
        <w:t xml:space="preserve"> </w:t>
      </w:r>
      <w:r w:rsidR="002F3D6D" w:rsidRPr="001E7AA4">
        <w:t>Australian Historical Association</w:t>
      </w:r>
    </w:p>
    <w:p w14:paraId="1D5548B4" w14:textId="4D6521E7" w:rsidR="007332E7" w:rsidRPr="001E7AA4" w:rsidRDefault="008254B9" w:rsidP="007332E7">
      <w:pPr>
        <w:spacing w:after="160" w:line="257" w:lineRule="auto"/>
        <w:rPr>
          <w:rFonts w:ascii="Calibri" w:eastAsia="Calibri" w:hAnsi="Calibri" w:cs="Calibri"/>
        </w:rPr>
      </w:pPr>
      <w:r w:rsidRPr="001E7AA4">
        <w:rPr>
          <w:rFonts w:ascii="Calibri" w:eastAsia="Calibri" w:hAnsi="Calibri" w:cs="Calibri"/>
        </w:rPr>
        <w:t>While s</w:t>
      </w:r>
      <w:r w:rsidR="007332E7" w:rsidRPr="001E7AA4">
        <w:rPr>
          <w:rFonts w:ascii="Calibri" w:eastAsia="Calibri" w:hAnsi="Calibri" w:cs="Calibri"/>
        </w:rPr>
        <w:t>tudent ratings of experience are not uniformly lower among online students, they do consistently rate their engagement with learning at lower levels than students studying on campus (refer Figure 2.4-1).</w:t>
      </w:r>
    </w:p>
    <w:p w14:paraId="3160907F" w14:textId="6DA8B37E" w:rsidR="005B19E1" w:rsidRPr="001E7AA4" w:rsidRDefault="007332E7" w:rsidP="0093125A">
      <w:pPr>
        <w:pStyle w:val="Caption"/>
      </w:pPr>
      <w:r w:rsidRPr="001E7AA4">
        <w:t>Figure 2.4-1: Student experience by study mode, 20</w:t>
      </w:r>
      <w:r w:rsidR="00CA05D6" w:rsidRPr="001E7AA4">
        <w:t>22</w:t>
      </w:r>
      <w:r w:rsidRPr="001E7AA4">
        <w:t xml:space="preserve"> (% positive rating)</w:t>
      </w:r>
      <w:r w:rsidR="000A2DEF" w:rsidRPr="001E7AA4">
        <w:t>.</w:t>
      </w:r>
    </w:p>
    <w:p w14:paraId="040D3742" w14:textId="7BFACAA0" w:rsidR="00CA05D6" w:rsidRPr="001E7AA4" w:rsidRDefault="007F5389" w:rsidP="00CA05D6">
      <w:pPr>
        <w:spacing w:after="160" w:line="257" w:lineRule="auto"/>
        <w:rPr>
          <w:rFonts w:ascii="Calibri" w:eastAsia="Calibri" w:hAnsi="Calibri" w:cs="Calibri"/>
          <w:color w:val="808080" w:themeColor="background1" w:themeShade="80"/>
          <w:sz w:val="18"/>
          <w:szCs w:val="18"/>
        </w:rPr>
      </w:pPr>
      <w:r w:rsidRPr="001E7AA4">
        <w:rPr>
          <w:noProof/>
        </w:rPr>
        <w:drawing>
          <wp:inline distT="0" distB="0" distL="0" distR="0" wp14:anchorId="63026B7D" wp14:editId="17540099">
            <wp:extent cx="5731510" cy="2155439"/>
            <wp:effectExtent l="0" t="0" r="0" b="0"/>
            <wp:docPr id="45" name="Picture 45" descr="Column chart showing the percentage of positive ratings of undergraduate student experience by study mode, 2022. The graph shows comparable results across online and in-person attendance except in learner engagement where online performs far worse than in-p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Column chart showing the percentage of positive ratings of undergraduate student experience by study mode, 2022. The graph shows comparable results across online and in-person attendance except in learner engagement where online performs far worse than in-person."/>
                    <pic:cNvPicPr/>
                  </pic:nvPicPr>
                  <pic:blipFill>
                    <a:blip r:embed="rId63">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5731510" cy="2155439"/>
                    </a:xfrm>
                    <a:prstGeom prst="rect">
                      <a:avLst/>
                    </a:prstGeom>
                  </pic:spPr>
                </pic:pic>
              </a:graphicData>
            </a:graphic>
          </wp:inline>
        </w:drawing>
      </w:r>
    </w:p>
    <w:p w14:paraId="1602EEDF" w14:textId="2B6DDDF8" w:rsidR="007332E7" w:rsidRPr="00E96855" w:rsidRDefault="007332E7" w:rsidP="0093125A">
      <w:pPr>
        <w:pStyle w:val="Source"/>
        <w:rPr>
          <w:rFonts w:asciiTheme="majorHAnsi" w:eastAsiaTheme="majorEastAsia" w:hAnsiTheme="majorHAnsi" w:cstheme="majorBidi"/>
          <w:b/>
          <w:iCs/>
          <w:color w:val="00254A" w:themeColor="text2"/>
        </w:rPr>
      </w:pPr>
      <w:r w:rsidRPr="00E96855">
        <w:t xml:space="preserve">Source: </w:t>
      </w:r>
      <w:r w:rsidR="005A4B8E" w:rsidRPr="00E96855">
        <w:t xml:space="preserve">Quality Indicators for Learning and Teaching (QILT), </w:t>
      </w:r>
      <w:hyperlink r:id="rId65" w:history="1">
        <w:r w:rsidR="005A4B8E" w:rsidRPr="00E96855">
          <w:rPr>
            <w:rStyle w:val="Hyperlink"/>
            <w:i/>
            <w:color w:val="7030A0"/>
            <w:szCs w:val="18"/>
          </w:rPr>
          <w:t>Student Experience Survey</w:t>
        </w:r>
      </w:hyperlink>
      <w:r w:rsidR="005A4B8E" w:rsidRPr="00E96855">
        <w:t xml:space="preserve"> [data set], 2022, accessed 26 June 2023.</w:t>
      </w:r>
    </w:p>
    <w:p w14:paraId="09929098" w14:textId="6075919E" w:rsidR="007332E7" w:rsidRPr="001E7AA4" w:rsidRDefault="007332E7" w:rsidP="00F72CFE">
      <w:pPr>
        <w:pStyle w:val="Heading6"/>
      </w:pPr>
      <w:r w:rsidRPr="001E7AA4">
        <w:t>2.4.2.</w:t>
      </w:r>
      <w:r w:rsidR="00757921" w:rsidRPr="001E7AA4">
        <w:t>1</w:t>
      </w:r>
      <w:r w:rsidRPr="001E7AA4">
        <w:t xml:space="preserve"> Utilising knowledge from across the sector, Australia and the world</w:t>
      </w:r>
    </w:p>
    <w:p w14:paraId="56C1D7CE" w14:textId="1DF2142A" w:rsidR="007332E7" w:rsidRPr="001E7AA4" w:rsidRDefault="007332E7" w:rsidP="007332E7">
      <w:pPr>
        <w:rPr>
          <w:rFonts w:ascii="Calibri" w:eastAsia="Calibri" w:hAnsi="Calibri" w:cs="Calibri"/>
          <w:color w:val="000000" w:themeColor="text1"/>
        </w:rPr>
      </w:pPr>
      <w:r w:rsidRPr="001E7AA4">
        <w:rPr>
          <w:rFonts w:ascii="Calibri" w:eastAsia="Calibri" w:hAnsi="Calibri" w:cs="Calibri"/>
          <w:color w:val="000000" w:themeColor="text1"/>
        </w:rPr>
        <w:t xml:space="preserve">To </w:t>
      </w:r>
      <w:r w:rsidR="006F0F6B" w:rsidRPr="001E7AA4">
        <w:rPr>
          <w:rFonts w:ascii="Calibri" w:eastAsia="Calibri" w:hAnsi="Calibri" w:cs="Calibri"/>
          <w:color w:val="000000" w:themeColor="text1"/>
        </w:rPr>
        <w:t>meet</w:t>
      </w:r>
      <w:r w:rsidRPr="001E7AA4">
        <w:rPr>
          <w:rFonts w:ascii="Calibri" w:eastAsia="Calibri" w:hAnsi="Calibri" w:cs="Calibri"/>
          <w:color w:val="000000" w:themeColor="text1"/>
        </w:rPr>
        <w:t xml:space="preserve"> student</w:t>
      </w:r>
      <w:r w:rsidR="006F0F6B" w:rsidRPr="001E7AA4">
        <w:rPr>
          <w:rFonts w:ascii="Calibri" w:eastAsia="Calibri" w:hAnsi="Calibri" w:cs="Calibri"/>
          <w:color w:val="000000" w:themeColor="text1"/>
        </w:rPr>
        <w:t xml:space="preserve"> </w:t>
      </w:r>
      <w:r w:rsidRPr="001E7AA4">
        <w:rPr>
          <w:rFonts w:ascii="Calibri" w:eastAsia="Calibri" w:hAnsi="Calibri" w:cs="Calibri"/>
          <w:color w:val="000000" w:themeColor="text1"/>
        </w:rPr>
        <w:t>and industry</w:t>
      </w:r>
      <w:r w:rsidR="006F0F6B" w:rsidRPr="001E7AA4">
        <w:rPr>
          <w:rFonts w:ascii="Calibri" w:eastAsia="Calibri" w:hAnsi="Calibri" w:cs="Calibri"/>
          <w:color w:val="000000" w:themeColor="text1"/>
        </w:rPr>
        <w:t xml:space="preserve"> demand</w:t>
      </w:r>
      <w:r w:rsidRPr="001E7AA4">
        <w:rPr>
          <w:rFonts w:ascii="Calibri" w:eastAsia="Calibri" w:hAnsi="Calibri" w:cs="Calibri"/>
          <w:color w:val="000000" w:themeColor="text1"/>
        </w:rPr>
        <w:t xml:space="preserve">, higher education providers need a more targeted approach to online delivery, designing content and learning activities with digital and hybrid delivery in mind. </w:t>
      </w:r>
      <w:r w:rsidR="00971583" w:rsidRPr="001E7AA4">
        <w:t>It will also need to draw from online resources and shared content repositories to keep pace with the most recent innovations in a field of study.</w:t>
      </w:r>
    </w:p>
    <w:p w14:paraId="6580E9B4" w14:textId="5A51E115" w:rsidR="007332E7" w:rsidRPr="001E7AA4" w:rsidRDefault="007332E7" w:rsidP="007332E7">
      <w:pPr>
        <w:pStyle w:val="Quote"/>
        <w:rPr>
          <w:rStyle w:val="FootnoteReference"/>
        </w:rPr>
      </w:pPr>
      <w:r w:rsidRPr="001E7AA4">
        <w:t xml:space="preserve">“Quality online education requires the design, development and deployment of high-quality online-specific learning materials that focus on the active engagement of the learner – it is insufficient to simply record and broadcast a lecture.” </w:t>
      </w:r>
      <w:r w:rsidR="00E50536">
        <w:br/>
      </w:r>
      <w:r w:rsidRPr="001E7AA4">
        <w:t>– Online Education Services</w:t>
      </w:r>
    </w:p>
    <w:p w14:paraId="2E5484FE" w14:textId="3A38D519" w:rsidR="007332E7" w:rsidRPr="001E7AA4" w:rsidRDefault="007332E7" w:rsidP="00F72CFE">
      <w:pPr>
        <w:pStyle w:val="Heading6"/>
      </w:pPr>
      <w:r w:rsidRPr="001E7AA4">
        <w:lastRenderedPageBreak/>
        <w:t>2.4.2.</w:t>
      </w:r>
      <w:r w:rsidR="00757921" w:rsidRPr="001E7AA4">
        <w:t>2</w:t>
      </w:r>
      <w:r w:rsidRPr="001E7AA4">
        <w:t xml:space="preserve"> Embracing new tools and methods for teaching</w:t>
      </w:r>
    </w:p>
    <w:p w14:paraId="7B7EC4EF" w14:textId="5DACDB3F" w:rsidR="007332E7" w:rsidRPr="001E7AA4" w:rsidRDefault="007332E7" w:rsidP="007332E7">
      <w:pPr>
        <w:rPr>
          <w:rFonts w:ascii="Calibri" w:eastAsia="Calibri" w:hAnsi="Calibri" w:cs="Calibri"/>
          <w:color w:val="000000" w:themeColor="text1"/>
        </w:rPr>
      </w:pPr>
      <w:r w:rsidRPr="001E7AA4">
        <w:t xml:space="preserve">Online learning can be challenging when students do not have access to scaffolded learning support. Embracing technological advancement will assist educators and providers to support and empower learners to use these platforms and to share best practice, </w:t>
      </w:r>
      <w:r w:rsidRPr="001E7AA4">
        <w:rPr>
          <w:rFonts w:ascii="Calibri" w:eastAsia="Calibri" w:hAnsi="Calibri" w:cs="Calibri"/>
          <w:color w:val="000000" w:themeColor="text1"/>
        </w:rPr>
        <w:t>encouraging the rapid evolution of high</w:t>
      </w:r>
      <w:r w:rsidR="5D38499E" w:rsidRPr="001E7AA4">
        <w:rPr>
          <w:rFonts w:ascii="Calibri" w:eastAsia="Calibri" w:hAnsi="Calibri" w:cs="Calibri"/>
          <w:color w:val="000000" w:themeColor="text1"/>
        </w:rPr>
        <w:t>-</w:t>
      </w:r>
      <w:r w:rsidRPr="001E7AA4">
        <w:rPr>
          <w:rFonts w:ascii="Calibri" w:eastAsia="Calibri" w:hAnsi="Calibri" w:cs="Calibri"/>
          <w:color w:val="000000" w:themeColor="text1"/>
        </w:rPr>
        <w:t xml:space="preserve">quality digital delivery. The growth in online platforms, like </w:t>
      </w:r>
      <w:r w:rsidR="009601FE" w:rsidRPr="001E7AA4">
        <w:rPr>
          <w:rFonts w:ascii="Calibri" w:eastAsia="Calibri" w:hAnsi="Calibri" w:cs="Calibri"/>
          <w:color w:val="000000" w:themeColor="text1"/>
        </w:rPr>
        <w:t>Z</w:t>
      </w:r>
      <w:r w:rsidRPr="001E7AA4">
        <w:rPr>
          <w:rFonts w:ascii="Calibri" w:eastAsia="Calibri" w:hAnsi="Calibri" w:cs="Calibri"/>
          <w:color w:val="000000" w:themeColor="text1"/>
        </w:rPr>
        <w:t xml:space="preserve">oom and </w:t>
      </w:r>
      <w:r w:rsidR="009601FE" w:rsidRPr="001E7AA4">
        <w:rPr>
          <w:rFonts w:ascii="Calibri" w:eastAsia="Calibri" w:hAnsi="Calibri" w:cs="Calibri"/>
          <w:color w:val="000000" w:themeColor="text1"/>
        </w:rPr>
        <w:t>Microsoft T</w:t>
      </w:r>
      <w:r w:rsidRPr="001E7AA4">
        <w:rPr>
          <w:rFonts w:ascii="Calibri" w:eastAsia="Calibri" w:hAnsi="Calibri" w:cs="Calibri"/>
          <w:color w:val="000000" w:themeColor="text1"/>
        </w:rPr>
        <w:t>eams, bring opportunity for a new</w:t>
      </w:r>
      <w:r w:rsidR="003564F9" w:rsidRPr="001E7AA4">
        <w:rPr>
          <w:rFonts w:ascii="Calibri" w:eastAsia="Calibri" w:hAnsi="Calibri" w:cs="Calibri"/>
          <w:color w:val="000000" w:themeColor="text1"/>
        </w:rPr>
        <w:t>,</w:t>
      </w:r>
      <w:r w:rsidRPr="001E7AA4">
        <w:rPr>
          <w:rFonts w:ascii="Calibri" w:eastAsia="Calibri" w:hAnsi="Calibri" w:cs="Calibri"/>
          <w:color w:val="000000" w:themeColor="text1"/>
        </w:rPr>
        <w:t xml:space="preserve"> more engaged approach to online learning. As these platforms grow and continue to develop this could help drive a better online learning experience for students.</w:t>
      </w:r>
    </w:p>
    <w:p w14:paraId="4955FBA9" w14:textId="307188F4" w:rsidR="007332E7" w:rsidRDefault="007332E7" w:rsidP="007332E7">
      <w:pPr>
        <w:rPr>
          <w:rFonts w:ascii="Calibri" w:eastAsia="Calibri" w:hAnsi="Calibri" w:cs="Calibri"/>
          <w:color w:val="000000" w:themeColor="text1"/>
        </w:rPr>
      </w:pPr>
      <w:r w:rsidRPr="001E7AA4">
        <w:rPr>
          <w:rFonts w:ascii="Calibri" w:eastAsia="Calibri" w:hAnsi="Calibri" w:cs="Calibri"/>
          <w:color w:val="000000" w:themeColor="text1"/>
        </w:rPr>
        <w:t>The Review notes some providers are already implementing innovative and effective</w:t>
      </w:r>
      <w:r w:rsidR="006F0F6B" w:rsidRPr="001E7AA4">
        <w:rPr>
          <w:rFonts w:ascii="Calibri" w:eastAsia="Calibri" w:hAnsi="Calibri" w:cs="Calibri"/>
          <w:color w:val="000000" w:themeColor="text1"/>
        </w:rPr>
        <w:t>ly</w:t>
      </w:r>
      <w:r w:rsidRPr="001E7AA4">
        <w:rPr>
          <w:rFonts w:ascii="Calibri" w:eastAsia="Calibri" w:hAnsi="Calibri" w:cs="Calibri"/>
          <w:color w:val="000000" w:themeColor="text1"/>
        </w:rPr>
        <w:t xml:space="preserve"> scaffolded support models for online cohorts. These could be modified and implemented across the sector.</w:t>
      </w:r>
    </w:p>
    <w:tbl>
      <w:tblPr>
        <w:tblStyle w:val="CaseStudy0"/>
        <w:tblW w:w="0" w:type="auto"/>
        <w:tblLook w:val="04A0" w:firstRow="1" w:lastRow="0" w:firstColumn="1" w:lastColumn="0" w:noHBand="0" w:noVBand="1"/>
      </w:tblPr>
      <w:tblGrid>
        <w:gridCol w:w="9016"/>
      </w:tblGrid>
      <w:tr w:rsidR="00672023" w14:paraId="2669FAB8" w14:textId="77777777" w:rsidTr="00672023">
        <w:tc>
          <w:tcPr>
            <w:tcW w:w="9016" w:type="dxa"/>
          </w:tcPr>
          <w:p w14:paraId="1B23EDFB" w14:textId="77777777" w:rsidR="00672023" w:rsidRPr="00BC1824" w:rsidRDefault="00672023" w:rsidP="00672023">
            <w:pPr>
              <w:pStyle w:val="CaseStudy-Heading"/>
            </w:pPr>
            <w:r w:rsidRPr="00BC1824">
              <w:t>Case study: Digital Solutions to student engagement and performance at Charles Sturt University</w:t>
            </w:r>
            <w:r w:rsidRPr="00BC1824">
              <w:rPr>
                <w:vertAlign w:val="superscript"/>
              </w:rPr>
              <w:footnoteReference w:id="97"/>
            </w:r>
          </w:p>
          <w:p w14:paraId="0D8AF1C6" w14:textId="0EDA9E86" w:rsidR="00672023" w:rsidRPr="00672023" w:rsidRDefault="00672023" w:rsidP="007332E7">
            <w:r w:rsidRPr="001E7AA4">
              <w:t>The Embedded Tutors Program has enabled equitable access to support for students regardless of their location. The program was established at Charles Sturt University in 2021 and delivered digitally. The program supported first-year undergraduate s</w:t>
            </w:r>
            <w:r w:rsidRPr="00672023">
              <w:t>tudents by providing access to a faculty-specific tutor who could give timely feedback on a draft assignment. Some 428 students met with a tutor at least once. This group of students received an average cumulative subject mark 6.2</w:t>
            </w:r>
            <w:r w:rsidRPr="00672023" w:rsidDel="0002240E">
              <w:t>%</w:t>
            </w:r>
            <w:r w:rsidRPr="00672023">
              <w:t xml:space="preserve"> higher than students who had not met with a tutor. The benefits of an increased average mark were seen across cohorts including students from low SES backgrounds, First Nations students, regional, rural and remote students and first-in-family students.</w:t>
            </w:r>
            <w:r w:rsidRPr="00672023">
              <w:rPr>
                <w:vertAlign w:val="superscript"/>
              </w:rPr>
              <w:footnoteReference w:id="98"/>
            </w:r>
          </w:p>
        </w:tc>
      </w:tr>
    </w:tbl>
    <w:p w14:paraId="3203C8B3" w14:textId="6645DBC0" w:rsidR="007332E7" w:rsidRPr="001E7AA4" w:rsidRDefault="007332E7" w:rsidP="00672023">
      <w:pPr>
        <w:pStyle w:val="Normal-AfterTable"/>
      </w:pPr>
      <w:r w:rsidRPr="001E7AA4">
        <w:t>Improving online learning capability also presents an opportunity for Australia to expand its teaching footprint</w:t>
      </w:r>
      <w:r w:rsidR="006F0F6B" w:rsidRPr="001E7AA4">
        <w:t xml:space="preserve"> and reach</w:t>
      </w:r>
      <w:r w:rsidRPr="001E7AA4">
        <w:t xml:space="preserve"> new students and overseas markets. Current regulatory and policy settings </w:t>
      </w:r>
      <w:r w:rsidR="006F0F6B" w:rsidRPr="001E7AA4">
        <w:t xml:space="preserve">are </w:t>
      </w:r>
      <w:r w:rsidRPr="001E7AA4">
        <w:t>limit</w:t>
      </w:r>
      <w:r w:rsidR="006F0F6B" w:rsidRPr="001E7AA4">
        <w:t>ing</w:t>
      </w:r>
      <w:r w:rsidRPr="001E7AA4">
        <w:t xml:space="preserve"> innovation by restricting access to offshore online delivery for international students.</w:t>
      </w:r>
      <w:bookmarkStart w:id="199" w:name="_Toc135739790"/>
      <w:bookmarkStart w:id="200" w:name="_Toc135741093"/>
      <w:bookmarkStart w:id="201" w:name="_Toc136259201"/>
    </w:p>
    <w:p w14:paraId="56373C37" w14:textId="7E651A29" w:rsidR="007332E7" w:rsidRPr="001E7AA4" w:rsidRDefault="396F51D7" w:rsidP="00F72CFE">
      <w:pPr>
        <w:pStyle w:val="Heading5"/>
      </w:pPr>
      <w:bookmarkStart w:id="202" w:name="_Toc137829559"/>
      <w:bookmarkStart w:id="203" w:name="_Toc1228963534"/>
      <w:bookmarkStart w:id="204" w:name="_Toc139028891"/>
      <w:r w:rsidRPr="001E7AA4">
        <w:t>2.4.3 Curriculum design and delivery</w:t>
      </w:r>
      <w:bookmarkEnd w:id="199"/>
      <w:bookmarkEnd w:id="200"/>
      <w:bookmarkEnd w:id="201"/>
      <w:r w:rsidRPr="001E7AA4">
        <w:t xml:space="preserve"> that is responsive and collaborative</w:t>
      </w:r>
      <w:bookmarkEnd w:id="202"/>
      <w:bookmarkEnd w:id="203"/>
      <w:bookmarkEnd w:id="204"/>
    </w:p>
    <w:p w14:paraId="200DE4DF" w14:textId="5986C5CA" w:rsidR="00672023" w:rsidRDefault="006F0F6B" w:rsidP="007332E7">
      <w:r w:rsidRPr="001E7AA4">
        <w:t xml:space="preserve">No matter what its </w:t>
      </w:r>
      <w:r w:rsidR="007332E7" w:rsidRPr="001E7AA4">
        <w:t xml:space="preserve">mode of course delivery, a quality learning experience </w:t>
      </w:r>
      <w:r w:rsidRPr="001E7AA4">
        <w:t xml:space="preserve">requires </w:t>
      </w:r>
      <w:r w:rsidR="007332E7" w:rsidRPr="001E7AA4">
        <w:t xml:space="preserve">engaging teaching that is highly responsive to students' needs. This means teachers who are compelling communicators and who design and deliver robust curricula in engaging and stimulating ways, teaching students what they need to know </w:t>
      </w:r>
      <w:r w:rsidRPr="001E7AA4">
        <w:t xml:space="preserve">and </w:t>
      </w:r>
      <w:r w:rsidR="007332E7" w:rsidRPr="001E7AA4">
        <w:t>challenging them to engage critically and creatively with their field of study. A quality learning experience also means well-designed methods of assessment and straightforward access to academic advice and learning support when needed. A</w:t>
      </w:r>
      <w:r w:rsidRPr="001E7AA4">
        <w:t xml:space="preserve">s discussed in </w:t>
      </w:r>
      <w:r w:rsidR="00DA2613" w:rsidRPr="001E7AA4">
        <w:t>Section</w:t>
      </w:r>
      <w:r w:rsidRPr="001E7AA4">
        <w:t xml:space="preserve"> 3.2, </w:t>
      </w:r>
      <w:r w:rsidR="0085633A" w:rsidRPr="001E7AA4">
        <w:t xml:space="preserve">a </w:t>
      </w:r>
      <w:r w:rsidR="007332E7" w:rsidRPr="001E7AA4">
        <w:t>positive experience outside of the classroom</w:t>
      </w:r>
      <w:r w:rsidRPr="001E7AA4">
        <w:t xml:space="preserve"> is also crucial to student success</w:t>
      </w:r>
      <w:r w:rsidR="007332E7" w:rsidRPr="001E7AA4">
        <w:t xml:space="preserve">. </w:t>
      </w:r>
    </w:p>
    <w:p w14:paraId="225EAAC1" w14:textId="77777777" w:rsidR="00672023" w:rsidRDefault="00672023">
      <w:pPr>
        <w:spacing w:after="160"/>
      </w:pPr>
      <w:r>
        <w:br w:type="page"/>
      </w:r>
    </w:p>
    <w:p w14:paraId="5011FF26" w14:textId="1413775F" w:rsidR="007332E7" w:rsidRPr="001E7AA4" w:rsidRDefault="006F0F6B" w:rsidP="007332E7">
      <w:r w:rsidRPr="001E7AA4">
        <w:lastRenderedPageBreak/>
        <w:t>While t</w:t>
      </w:r>
      <w:r w:rsidR="007332E7" w:rsidRPr="001E7AA4">
        <w:t xml:space="preserve">he Review heard about phenomenal teachers, </w:t>
      </w:r>
      <w:r w:rsidRPr="001E7AA4">
        <w:t xml:space="preserve">it was also presented with </w:t>
      </w:r>
      <w:r w:rsidR="007332E7" w:rsidRPr="001E7AA4">
        <w:t xml:space="preserve">evidence suggesting variability in teaching practice across the sector, </w:t>
      </w:r>
      <w:r w:rsidRPr="001E7AA4">
        <w:t xml:space="preserve">leading sometimes to intense student disappointment. </w:t>
      </w:r>
    </w:p>
    <w:p w14:paraId="5D764139" w14:textId="3923A877" w:rsidR="007332E7" w:rsidRPr="001E7AA4" w:rsidRDefault="007332E7" w:rsidP="007332E7">
      <w:pPr>
        <w:pStyle w:val="Quote"/>
      </w:pPr>
      <w:r w:rsidRPr="001E7AA4">
        <w:t xml:space="preserve">“Students feel that the fast-paced in </w:t>
      </w:r>
      <w:r w:rsidR="006F0F6B" w:rsidRPr="001E7AA4">
        <w:t>and</w:t>
      </w:r>
      <w:r w:rsidRPr="001E7AA4">
        <w:t xml:space="preserve"> out structure of university lectures </w:t>
      </w:r>
      <w:r w:rsidR="006F0F6B" w:rsidRPr="001E7AA4">
        <w:t>and</w:t>
      </w:r>
      <w:r w:rsidRPr="001E7AA4">
        <w:t xml:space="preserve"> tutorials, combined with how much academics have to manage, leaves them feeling like a gear in a machine. Students want a system that enables them to discuss with tutors </w:t>
      </w:r>
      <w:r w:rsidR="006F0F6B" w:rsidRPr="001E7AA4">
        <w:t xml:space="preserve">and </w:t>
      </w:r>
      <w:r w:rsidRPr="001E7AA4">
        <w:t>subject coordinators their degree structure</w:t>
      </w:r>
      <w:r w:rsidR="006F0F6B" w:rsidRPr="001E7AA4">
        <w:t>. T</w:t>
      </w:r>
      <w:r w:rsidRPr="001E7AA4">
        <w:t xml:space="preserve">hey want services </w:t>
      </w:r>
      <w:r w:rsidR="006F0F6B" w:rsidRPr="001E7AA4">
        <w:t xml:space="preserve">and </w:t>
      </w:r>
      <w:r w:rsidRPr="001E7AA4">
        <w:t xml:space="preserve">people who are able to adequately support them in changing a degree or subject...” </w:t>
      </w:r>
      <w:r w:rsidR="00997AD0">
        <w:br/>
      </w:r>
      <w:r w:rsidRPr="001E7AA4">
        <w:t>– National Union of Students</w:t>
      </w:r>
    </w:p>
    <w:p w14:paraId="1CB1218B" w14:textId="038F0402" w:rsidR="007332E7" w:rsidRPr="001E7AA4" w:rsidRDefault="007332E7" w:rsidP="007332E7">
      <w:pPr>
        <w:rPr>
          <w:rFonts w:eastAsia="Times New Roman"/>
        </w:rPr>
      </w:pPr>
      <w:r w:rsidRPr="001E7AA4">
        <w:t>Improving university-industry engagement will ensure graduates leave the higher education system with the capabilities, skills and experience needed to succeed in the workforce, h</w:t>
      </w:r>
      <w:r w:rsidRPr="001E7AA4">
        <w:rPr>
          <w:rFonts w:eastAsia="Times New Roman"/>
        </w:rPr>
        <w:t xml:space="preserve">elping them to fill existing and emerging skills gaps in industry, and </w:t>
      </w:r>
      <w:r w:rsidR="006F0F6B" w:rsidRPr="001E7AA4">
        <w:rPr>
          <w:rFonts w:eastAsia="Times New Roman"/>
        </w:rPr>
        <w:t xml:space="preserve">help </w:t>
      </w:r>
      <w:r w:rsidRPr="001E7AA4">
        <w:rPr>
          <w:rFonts w:eastAsia="Times New Roman"/>
        </w:rPr>
        <w:t xml:space="preserve">increase </w:t>
      </w:r>
      <w:r w:rsidR="006F0F6B" w:rsidRPr="001E7AA4">
        <w:rPr>
          <w:rFonts w:eastAsia="Times New Roman"/>
        </w:rPr>
        <w:t xml:space="preserve">national </w:t>
      </w:r>
      <w:r w:rsidRPr="001E7AA4">
        <w:rPr>
          <w:rFonts w:eastAsia="Times New Roman"/>
        </w:rPr>
        <w:t>productivity.</w:t>
      </w:r>
    </w:p>
    <w:p w14:paraId="5260924F" w14:textId="008931A0" w:rsidR="007332E7" w:rsidRPr="001E7AA4" w:rsidRDefault="007332E7" w:rsidP="007332E7">
      <w:pPr>
        <w:pStyle w:val="Quote"/>
      </w:pPr>
      <w:r w:rsidRPr="001E7AA4">
        <w:t>“Enhanced engagement with industry will improve the quality of the curriculum and ensure graduates are career-ready with industry-relevant experience</w:t>
      </w:r>
      <w:r w:rsidR="00A62F03" w:rsidRPr="001E7AA4">
        <w:t>.</w:t>
      </w:r>
      <w:r w:rsidRPr="001E7AA4">
        <w:t xml:space="preserve">” </w:t>
      </w:r>
      <w:r w:rsidR="00997AD0">
        <w:br/>
      </w:r>
      <w:r w:rsidRPr="001E7AA4">
        <w:t>– South Australia Government</w:t>
      </w:r>
    </w:p>
    <w:p w14:paraId="5DD9BF1B" w14:textId="73E7D028" w:rsidR="007332E7" w:rsidRPr="001E7AA4" w:rsidRDefault="007332E7" w:rsidP="007332E7">
      <w:r w:rsidRPr="001E7AA4">
        <w:t>There are many good examples of providers working with industry to develop new models of learning</w:t>
      </w:r>
      <w:r w:rsidR="0065483C" w:rsidRPr="001E7AA4">
        <w:t xml:space="preserve"> and teaching</w:t>
      </w:r>
      <w:r w:rsidRPr="001E7AA4">
        <w:t xml:space="preserve">. Some universities enable students to study under the direct supervision of industry experts. Others have developed courses in collaboration with industry and provide students with the opportunity to undertake </w:t>
      </w:r>
      <w:r w:rsidR="000C5538" w:rsidRPr="001E7AA4">
        <w:t>WIL</w:t>
      </w:r>
      <w:r w:rsidRPr="001E7AA4">
        <w:t>.</w:t>
      </w:r>
    </w:p>
    <w:p w14:paraId="058569EB" w14:textId="5ED4CC29" w:rsidR="00672023" w:rsidRDefault="007332E7" w:rsidP="007332E7">
      <w:pPr>
        <w:rPr>
          <w:rStyle w:val="eop"/>
          <w:color w:val="000000" w:themeColor="text1"/>
        </w:rPr>
      </w:pPr>
      <w:r w:rsidRPr="001E7AA4">
        <w:t>More can be done, however, to boost university-industry collaboration and course co-design, for the benefit of student learning. This</w:t>
      </w:r>
      <w:r w:rsidR="77FD263A" w:rsidRPr="001E7AA4">
        <w:t xml:space="preserve"> could</w:t>
      </w:r>
      <w:r w:rsidRPr="001E7AA4">
        <w:t xml:space="preserve"> include a strong commitment from universities, industry</w:t>
      </w:r>
      <w:r w:rsidR="00D13DF3" w:rsidRPr="001E7AA4">
        <w:t>, unions</w:t>
      </w:r>
      <w:r w:rsidRPr="001E7AA4">
        <w:t xml:space="preserve"> and community to increase collaboration, and to provide</w:t>
      </w:r>
      <w:r w:rsidRPr="001E7AA4">
        <w:rPr>
          <w:rStyle w:val="eop"/>
          <w:color w:val="000000" w:themeColor="text1"/>
        </w:rPr>
        <w:t xml:space="preserve"> the time, resources and expertise to deliver current and meaningful curriculum.</w:t>
      </w:r>
    </w:p>
    <w:p w14:paraId="24A92E24" w14:textId="77777777" w:rsidR="00672023" w:rsidRDefault="00672023">
      <w:pPr>
        <w:spacing w:after="160"/>
        <w:rPr>
          <w:rStyle w:val="eop"/>
          <w:color w:val="000000" w:themeColor="text1"/>
        </w:rPr>
      </w:pPr>
      <w:r>
        <w:rPr>
          <w:rStyle w:val="eop"/>
          <w:color w:val="000000" w:themeColor="text1"/>
        </w:rPr>
        <w:br w:type="page"/>
      </w:r>
    </w:p>
    <w:tbl>
      <w:tblPr>
        <w:tblStyle w:val="SpotLight0"/>
        <w:tblW w:w="0" w:type="auto"/>
        <w:tblLook w:val="04A0" w:firstRow="1" w:lastRow="0" w:firstColumn="1" w:lastColumn="0" w:noHBand="0" w:noVBand="1"/>
      </w:tblPr>
      <w:tblGrid>
        <w:gridCol w:w="9016"/>
      </w:tblGrid>
      <w:tr w:rsidR="00672023" w14:paraId="4ABEA8B8" w14:textId="77777777" w:rsidTr="00672023">
        <w:tc>
          <w:tcPr>
            <w:tcW w:w="9016" w:type="dxa"/>
          </w:tcPr>
          <w:p w14:paraId="0D7747AC" w14:textId="77777777" w:rsidR="00672023" w:rsidRPr="00BC1824" w:rsidRDefault="00672023" w:rsidP="00672023">
            <w:pPr>
              <w:pStyle w:val="CaseStudy-Heading"/>
            </w:pPr>
            <w:r w:rsidRPr="00BC1824">
              <w:lastRenderedPageBreak/>
              <w:t>Spotlight: Cooperative Skills Centres</w:t>
            </w:r>
          </w:p>
          <w:p w14:paraId="3405573E" w14:textId="77777777" w:rsidR="00672023" w:rsidRPr="00BC1824" w:rsidRDefault="00672023" w:rsidP="00672023">
            <w:r w:rsidRPr="00BC1824">
              <w:t>Cooperative Skills Centres are a proposal from the University of Newcastle to enable rapid upskilling managed cooperatively by industry and universities. This proposal is based on the existing Cooperative Research Centres. Education providers and employers would bid together for funding to develop education entities in specific areas of skills needs.</w:t>
            </w:r>
          </w:p>
          <w:p w14:paraId="4BF0C37C" w14:textId="77777777" w:rsidR="00672023" w:rsidRPr="00BC1824" w:rsidRDefault="00672023" w:rsidP="00672023">
            <w:pPr>
              <w:rPr>
                <w:rFonts w:ascii="Calibri" w:hAnsi="Calibri" w:cs="Calibri"/>
              </w:rPr>
            </w:pPr>
            <w:r w:rsidRPr="00BC1824">
              <w:rPr>
                <w:rFonts w:ascii="Calibri" w:hAnsi="Calibri" w:cs="Calibri"/>
              </w:rPr>
              <w:t>Long-term funding agreements of around seven years would provide flexibility for TAFEs, industry and universities to co-develop and deliver both university-style courses and competency-based training. The content of the programs could continually evolve to meet the changing needs of regions and industries experiencing rapid growth and transition. Scale would also be flexible, from a single university, TAFE or business partner focused on a particular industry, up to regional or national footprints involving multiple education and industry partners.</w:t>
            </w:r>
            <w:r w:rsidRPr="00BC1824">
              <w:rPr>
                <w:rStyle w:val="FootnoteReference"/>
                <w:rFonts w:ascii="Calibri" w:hAnsi="Calibri" w:cs="Calibri"/>
              </w:rPr>
              <w:footnoteReference w:id="99"/>
            </w:r>
          </w:p>
          <w:p w14:paraId="6E883D57" w14:textId="77777777" w:rsidR="00672023" w:rsidRPr="00BC1824" w:rsidRDefault="00672023" w:rsidP="00672023">
            <w:pPr>
              <w:rPr>
                <w:rFonts w:ascii="Calibri" w:hAnsi="Calibri" w:cs="Calibri"/>
              </w:rPr>
            </w:pPr>
            <w:r w:rsidRPr="00BC1824">
              <w:rPr>
                <w:rFonts w:ascii="Calibri" w:hAnsi="Calibri" w:cs="Calibri"/>
              </w:rPr>
              <w:t>A similar initiative is already underway through the New Education and Training Model (NETM), developed by Western Parkland City Authority to meet the skills needs arising from the construction of the Western Sydney International Airport and surrounding business precincts. In partnership with industry, VET providers, universities and government, up to 100 microcredentials will be developed by 2025. There is a focus on technical skills required by employers, in fields such as supply chains, automation and advanced manufacturing.</w:t>
            </w:r>
            <w:r w:rsidRPr="00BC1824">
              <w:rPr>
                <w:rStyle w:val="FootnoteReference"/>
                <w:rFonts w:ascii="Calibri" w:hAnsi="Calibri" w:cs="Calibri"/>
              </w:rPr>
              <w:footnoteReference w:id="100"/>
            </w:r>
          </w:p>
          <w:p w14:paraId="5D6A1BF0" w14:textId="33F6A9D4" w:rsidR="00672023" w:rsidRPr="00672023" w:rsidRDefault="00672023" w:rsidP="00672023">
            <w:pPr>
              <w:spacing w:after="120"/>
              <w:rPr>
                <w:rStyle w:val="eop"/>
                <w:rFonts w:ascii="Calibri" w:hAnsi="Calibri" w:cs="Calibri"/>
              </w:rPr>
            </w:pPr>
            <w:r w:rsidRPr="00BC1824">
              <w:rPr>
                <w:rFonts w:ascii="Calibri" w:hAnsi="Calibri" w:cs="Calibri"/>
              </w:rPr>
              <w:t>This proposal would complement the development of new TAFE Centres of Excellence announced as part of the establishment of the new National Skills Agreement.</w:t>
            </w:r>
          </w:p>
        </w:tc>
      </w:tr>
    </w:tbl>
    <w:p w14:paraId="7F1C24E7" w14:textId="1494C9C6" w:rsidR="007332E7" w:rsidRPr="001E7AA4" w:rsidRDefault="396F51D7" w:rsidP="00F72CFE">
      <w:pPr>
        <w:pStyle w:val="Heading5"/>
        <w:rPr>
          <w:color w:val="000000" w:themeColor="text1"/>
        </w:rPr>
      </w:pPr>
      <w:bookmarkStart w:id="205" w:name="_Toc135739791"/>
      <w:bookmarkStart w:id="206" w:name="_Toc135741094"/>
      <w:bookmarkStart w:id="207" w:name="_Toc136259202"/>
      <w:bookmarkStart w:id="208" w:name="_Toc137829560"/>
      <w:bookmarkStart w:id="209" w:name="_Toc220687963"/>
      <w:bookmarkStart w:id="210" w:name="_Toc139028892"/>
      <w:r w:rsidRPr="001E7AA4">
        <w:t>2.4.4 Committing to teaching excellence and collaboration</w:t>
      </w:r>
      <w:bookmarkEnd w:id="205"/>
      <w:bookmarkEnd w:id="206"/>
      <w:bookmarkEnd w:id="207"/>
      <w:bookmarkEnd w:id="208"/>
      <w:bookmarkEnd w:id="209"/>
      <w:bookmarkEnd w:id="210"/>
    </w:p>
    <w:p w14:paraId="75C0B0EB" w14:textId="0BFD3008" w:rsidR="007332E7" w:rsidRPr="001E7AA4" w:rsidRDefault="007332E7" w:rsidP="00F72CFE">
      <w:pPr>
        <w:pStyle w:val="Heading6"/>
      </w:pPr>
      <w:r w:rsidRPr="001E7AA4">
        <w:t>2.4.4.1 Moving beyond a minimum standards</w:t>
      </w:r>
      <w:r w:rsidR="00D23B29" w:rsidRPr="001E7AA4">
        <w:t xml:space="preserve"> </w:t>
      </w:r>
      <w:r w:rsidRPr="001E7AA4">
        <w:t>benchmark</w:t>
      </w:r>
    </w:p>
    <w:p w14:paraId="7C502313" w14:textId="5F4B1944" w:rsidR="007332E7" w:rsidRDefault="007332E7" w:rsidP="007332E7">
      <w:r w:rsidRPr="001E7AA4">
        <w:t>The regulatory regime overseen by</w:t>
      </w:r>
      <w:r w:rsidR="00BE71D3" w:rsidRPr="001E7AA4">
        <w:t xml:space="preserve"> the</w:t>
      </w:r>
      <w:r w:rsidRPr="001E7AA4">
        <w:t xml:space="preserve"> </w:t>
      </w:r>
      <w:r w:rsidR="00BE71D3" w:rsidRPr="001E7AA4">
        <w:t>Tertiary Education Quality and Standards Agency (</w:t>
      </w:r>
      <w:r w:rsidRPr="001E7AA4">
        <w:t>TEQSA</w:t>
      </w:r>
      <w:r w:rsidR="00BE71D3" w:rsidRPr="001E7AA4">
        <w:t>)</w:t>
      </w:r>
      <w:r w:rsidRPr="001E7AA4">
        <w:t xml:space="preserve"> is based on a threshold standards approach, which has been successful in maintaining quality as the system has expanded in recent years. </w:t>
      </w:r>
      <w:r w:rsidRPr="001E7AA4">
        <w:rPr>
          <w:rFonts w:ascii="Calibri" w:eastAsia="Calibri" w:hAnsi="Calibri" w:cs="Calibri"/>
          <w:color w:val="000000" w:themeColor="text1"/>
        </w:rPr>
        <w:t xml:space="preserve">But for Australia to </w:t>
      </w:r>
      <w:r w:rsidRPr="001E7AA4">
        <w:t xml:space="preserve">deliver world-leading learning experiences, the </w:t>
      </w:r>
      <w:r w:rsidR="08C44CBC" w:rsidRPr="001E7AA4">
        <w:t xml:space="preserve">Review is considering </w:t>
      </w:r>
      <w:r w:rsidR="005049D6" w:rsidRPr="001E7AA4">
        <w:t>what would encourage</w:t>
      </w:r>
      <w:r w:rsidR="08C44CBC" w:rsidRPr="001E7AA4">
        <w:t xml:space="preserve"> the</w:t>
      </w:r>
      <w:r w:rsidR="78C21C81" w:rsidRPr="001E7AA4">
        <w:t xml:space="preserve"> </w:t>
      </w:r>
      <w:r w:rsidRPr="001E7AA4">
        <w:t>sector</w:t>
      </w:r>
      <w:r w:rsidR="003E0C7C" w:rsidRPr="001E7AA4">
        <w:t xml:space="preserve"> to move</w:t>
      </w:r>
      <w:r w:rsidRPr="001E7AA4">
        <w:t xml:space="preserve"> </w:t>
      </w:r>
      <w:r w:rsidRPr="001E7AA4">
        <w:rPr>
          <w:rFonts w:ascii="Calibri" w:eastAsia="Calibri" w:hAnsi="Calibri" w:cs="Calibri"/>
          <w:color w:val="000000" w:themeColor="text1"/>
        </w:rPr>
        <w:t xml:space="preserve">beyond the minimal standards approach and </w:t>
      </w:r>
      <w:r w:rsidR="13F251D6" w:rsidRPr="001E7AA4">
        <w:rPr>
          <w:rFonts w:ascii="Calibri" w:eastAsia="Calibri" w:hAnsi="Calibri" w:cs="Calibri"/>
          <w:color w:val="000000" w:themeColor="text1"/>
        </w:rPr>
        <w:t xml:space="preserve">to </w:t>
      </w:r>
      <w:r w:rsidRPr="001E7AA4">
        <w:rPr>
          <w:rFonts w:ascii="Calibri" w:eastAsia="Calibri" w:hAnsi="Calibri" w:cs="Calibri"/>
          <w:color w:val="000000" w:themeColor="text1"/>
        </w:rPr>
        <w:t xml:space="preserve">pursue systemic excellence in learning and teaching. </w:t>
      </w:r>
      <w:r w:rsidR="006F0F6B" w:rsidRPr="001E7AA4">
        <w:t>S</w:t>
      </w:r>
      <w:r w:rsidRPr="001E7AA4">
        <w:t xml:space="preserve">tudent ratings of their study experience have </w:t>
      </w:r>
      <w:r w:rsidR="006F0F6B" w:rsidRPr="001E7AA4">
        <w:t xml:space="preserve">been consistently strong for some time, </w:t>
      </w:r>
      <w:r w:rsidR="00F232D8" w:rsidRPr="001E7AA4">
        <w:t xml:space="preserve">though </w:t>
      </w:r>
      <w:r w:rsidRPr="001E7AA4">
        <w:t>declin</w:t>
      </w:r>
      <w:r w:rsidR="006F0F6B" w:rsidRPr="001E7AA4">
        <w:t xml:space="preserve">ing sharply during the </w:t>
      </w:r>
      <w:r w:rsidR="00426C19" w:rsidRPr="001E7AA4">
        <w:t>COVID</w:t>
      </w:r>
      <w:r w:rsidR="006F0F6B" w:rsidRPr="001E7AA4">
        <w:t>-19 closures</w:t>
      </w:r>
      <w:r w:rsidR="00806082" w:rsidRPr="001E7AA4">
        <w:t>, as shown in Figure</w:t>
      </w:r>
      <w:r w:rsidR="00861628" w:rsidRPr="001E7AA4">
        <w:t xml:space="preserve"> 2.4-2</w:t>
      </w:r>
      <w:r w:rsidR="006F0F6B" w:rsidRPr="001E7AA4">
        <w:t xml:space="preserve">. </w:t>
      </w:r>
      <w:r w:rsidR="00AB7F9E" w:rsidRPr="001E7AA4">
        <w:t xml:space="preserve">The Review notes that student experience </w:t>
      </w:r>
      <w:r w:rsidR="00BF5514" w:rsidRPr="001E7AA4">
        <w:t xml:space="preserve">ratings </w:t>
      </w:r>
      <w:r w:rsidR="00A669C0" w:rsidRPr="001E7AA4">
        <w:t>recovered substantially in 2022</w:t>
      </w:r>
      <w:r w:rsidR="00E52C0E" w:rsidRPr="001E7AA4">
        <w:t>, closer to pre-pandemic levels</w:t>
      </w:r>
      <w:r w:rsidR="00BF5514" w:rsidRPr="001E7AA4">
        <w:t>.</w:t>
      </w:r>
      <w:r w:rsidRPr="001E7AA4">
        <w:t xml:space="preserve"> </w:t>
      </w:r>
    </w:p>
    <w:p w14:paraId="78699484" w14:textId="77777777" w:rsidR="00C52937" w:rsidRDefault="00C52937">
      <w:pPr>
        <w:spacing w:after="160"/>
      </w:pPr>
      <w:r>
        <w:rPr>
          <w:iCs/>
        </w:rPr>
        <w:br w:type="page"/>
      </w:r>
    </w:p>
    <w:p w14:paraId="295E8BE9" w14:textId="572D1ACA" w:rsidR="007332E7" w:rsidRPr="001E7AA4" w:rsidRDefault="007332E7" w:rsidP="0093125A">
      <w:pPr>
        <w:pStyle w:val="Caption"/>
        <w:rPr>
          <w:rFonts w:cs="Calibri"/>
        </w:rPr>
      </w:pPr>
      <w:r w:rsidRPr="001E7AA4">
        <w:lastRenderedPageBreak/>
        <w:t>Figure 2.4-2: Quality of entire educational experience by study level, 2012</w:t>
      </w:r>
      <w:r w:rsidR="00385755" w:rsidRPr="001E7AA4">
        <w:t xml:space="preserve"> to </w:t>
      </w:r>
      <w:r w:rsidRPr="001E7AA4">
        <w:t>202</w:t>
      </w:r>
      <w:r w:rsidR="002F372B" w:rsidRPr="001E7AA4">
        <w:t>2</w:t>
      </w:r>
      <w:r w:rsidRPr="001E7AA4">
        <w:t xml:space="preserve"> (% positive rating)</w:t>
      </w:r>
      <w:r w:rsidR="00385755" w:rsidRPr="001E7AA4">
        <w:t>.</w:t>
      </w:r>
    </w:p>
    <w:p w14:paraId="2B2A34CD" w14:textId="4CA95827" w:rsidR="007332E7" w:rsidRPr="001E7AA4" w:rsidRDefault="00614EED" w:rsidP="007332E7">
      <w:r w:rsidRPr="001E7AA4">
        <w:rPr>
          <w:noProof/>
        </w:rPr>
        <w:drawing>
          <wp:inline distT="0" distB="0" distL="0" distR="0" wp14:anchorId="1C63B607" wp14:editId="4593EE63">
            <wp:extent cx="5731510" cy="2302401"/>
            <wp:effectExtent l="0" t="0" r="0" b="0"/>
            <wp:docPr id="46" name="Picture 46" descr="Line chart tracking the quality of student experience by study level from 2012-2022. The graph shows stable positive ratings across the two study levels before they dip significantly in 2019 and rebound in 2021 and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Line chart tracking the quality of student experience by study level from 2012-2022. The graph shows stable positive ratings across the two study levels before they dip significantly in 2019 and rebound in 2021 and 2022."/>
                    <pic:cNvPicPr/>
                  </pic:nvPicPr>
                  <pic:blipFill>
                    <a:blip r:embed="rId66">
                      <a:extLst>
                        <a:ext uri="{28A0092B-C50C-407E-A947-70E740481C1C}">
                          <a14:useLocalDpi xmlns:a14="http://schemas.microsoft.com/office/drawing/2010/main" val="0"/>
                        </a:ext>
                        <a:ext uri="{96DAC541-7B7A-43D3-8B79-37D633B846F1}">
                          <asvg:svgBlip xmlns:asvg="http://schemas.microsoft.com/office/drawing/2016/SVG/main" r:embed="rId67"/>
                        </a:ext>
                      </a:extLst>
                    </a:blip>
                    <a:stretch>
                      <a:fillRect/>
                    </a:stretch>
                  </pic:blipFill>
                  <pic:spPr>
                    <a:xfrm>
                      <a:off x="0" y="0"/>
                      <a:ext cx="5731510" cy="2302401"/>
                    </a:xfrm>
                    <a:prstGeom prst="rect">
                      <a:avLst/>
                    </a:prstGeom>
                  </pic:spPr>
                </pic:pic>
              </a:graphicData>
            </a:graphic>
          </wp:inline>
        </w:drawing>
      </w:r>
    </w:p>
    <w:p w14:paraId="0CC75C50" w14:textId="1AE61C54" w:rsidR="004749CE" w:rsidRPr="001E7AA4" w:rsidRDefault="007332E7" w:rsidP="0093125A">
      <w:pPr>
        <w:pStyle w:val="Source"/>
        <w:rPr>
          <w:rFonts w:ascii="Calibri" w:eastAsia="Times New Roman" w:hAnsi="Calibri" w:cs="Calibri"/>
          <w:sz w:val="20"/>
          <w:szCs w:val="20"/>
          <w:lang w:eastAsia="en-AU"/>
        </w:rPr>
      </w:pPr>
      <w:r w:rsidRPr="004A78B4">
        <w:t xml:space="preserve">Source: </w:t>
      </w:r>
      <w:r w:rsidR="004749CE" w:rsidRPr="004A78B4">
        <w:t>QILT,</w:t>
      </w:r>
      <w:r w:rsidR="004749CE" w:rsidRPr="001E7AA4">
        <w:rPr>
          <w:rFonts w:ascii="Calibri" w:eastAsia="Times New Roman" w:hAnsi="Calibri" w:cs="Calibri"/>
          <w:i/>
          <w:iCs/>
          <w:color w:val="808080" w:themeColor="background1" w:themeShade="80"/>
          <w:lang w:eastAsia="en-AU"/>
        </w:rPr>
        <w:t xml:space="preserve"> </w:t>
      </w:r>
      <w:hyperlink r:id="rId68" w:history="1">
        <w:r w:rsidR="004749CE" w:rsidRPr="001E7AA4">
          <w:rPr>
            <w:rStyle w:val="Hyperlink"/>
            <w:rFonts w:ascii="Calibri" w:eastAsia="Times New Roman" w:hAnsi="Calibri" w:cs="Calibri"/>
            <w:i/>
            <w:iCs/>
            <w:color w:val="7030A0"/>
            <w:szCs w:val="18"/>
            <w:lang w:eastAsia="en-AU"/>
          </w:rPr>
          <w:t>Student Experience Survey</w:t>
        </w:r>
      </w:hyperlink>
      <w:r w:rsidR="004749CE" w:rsidRPr="001E7AA4">
        <w:rPr>
          <w:rFonts w:ascii="Calibri" w:eastAsia="Times New Roman" w:hAnsi="Calibri" w:cs="Calibri"/>
          <w:i/>
          <w:iCs/>
          <w:color w:val="808080" w:themeColor="background1" w:themeShade="80"/>
          <w:lang w:eastAsia="en-AU"/>
        </w:rPr>
        <w:t xml:space="preserve"> </w:t>
      </w:r>
      <w:r w:rsidR="004749CE" w:rsidRPr="004A78B4">
        <w:t>[data set], 2012-2022, accessed 26 June 2023.</w:t>
      </w:r>
    </w:p>
    <w:p w14:paraId="457102AA" w14:textId="1FF6154B" w:rsidR="007332E7" w:rsidRPr="001E7AA4" w:rsidRDefault="007332E7" w:rsidP="007332E7">
      <w:pPr>
        <w:rPr>
          <w:rFonts w:ascii="Calibri" w:eastAsia="Calibri" w:hAnsi="Calibri" w:cs="Calibri"/>
          <w:color w:val="000000" w:themeColor="text1"/>
        </w:rPr>
      </w:pPr>
      <w:r w:rsidRPr="001E7AA4">
        <w:rPr>
          <w:rFonts w:ascii="Calibri" w:eastAsia="Calibri" w:hAnsi="Calibri" w:cs="Calibri"/>
          <w:color w:val="000000" w:themeColor="text1"/>
        </w:rPr>
        <w:t>The funding and regulatory systems</w:t>
      </w:r>
      <w:r w:rsidR="00624968" w:rsidRPr="001E7AA4">
        <w:rPr>
          <w:rFonts w:ascii="Calibri" w:eastAsia="Calibri" w:hAnsi="Calibri" w:cs="Calibri"/>
          <w:color w:val="000000" w:themeColor="text1"/>
        </w:rPr>
        <w:t xml:space="preserve">, discussed in Chapter 3, </w:t>
      </w:r>
      <w:r w:rsidR="75BFE38C" w:rsidRPr="001E7AA4">
        <w:rPr>
          <w:rFonts w:ascii="Calibri" w:eastAsia="Calibri" w:hAnsi="Calibri" w:cs="Calibri"/>
          <w:color w:val="000000" w:themeColor="text1"/>
        </w:rPr>
        <w:t>could be</w:t>
      </w:r>
      <w:r w:rsidR="78C21C81" w:rsidRPr="001E7AA4">
        <w:rPr>
          <w:rFonts w:ascii="Calibri" w:eastAsia="Calibri" w:hAnsi="Calibri" w:cs="Calibri"/>
          <w:color w:val="000000" w:themeColor="text1"/>
        </w:rPr>
        <w:t xml:space="preserve"> </w:t>
      </w:r>
      <w:r w:rsidR="78C21C81" w:rsidRPr="001E7AA4">
        <w:t>incentivise</w:t>
      </w:r>
      <w:r w:rsidR="03F9AFBF" w:rsidRPr="001E7AA4">
        <w:t>d</w:t>
      </w:r>
      <w:r w:rsidR="78C21C81" w:rsidRPr="001E7AA4">
        <w:t xml:space="preserve"> </w:t>
      </w:r>
      <w:r w:rsidR="72DD8239" w:rsidRPr="001E7AA4">
        <w:t>to</w:t>
      </w:r>
      <w:r w:rsidRPr="001E7AA4">
        <w:t xml:space="preserve"> reward excellence in learning</w:t>
      </w:r>
      <w:r w:rsidR="0065483C" w:rsidRPr="001E7AA4">
        <w:t xml:space="preserve"> and teaching</w:t>
      </w:r>
      <w:r w:rsidRPr="001E7AA4">
        <w:rPr>
          <w:rFonts w:ascii="Calibri" w:eastAsia="Calibri" w:hAnsi="Calibri" w:cs="Calibri"/>
          <w:color w:val="000000" w:themeColor="text1"/>
        </w:rPr>
        <w:t xml:space="preserve">, </w:t>
      </w:r>
      <w:r w:rsidR="78C21C81" w:rsidRPr="001E7AA4">
        <w:rPr>
          <w:rFonts w:ascii="Calibri" w:eastAsia="Calibri" w:hAnsi="Calibri" w:cs="Calibri"/>
          <w:color w:val="000000" w:themeColor="text1"/>
        </w:rPr>
        <w:t>whil</w:t>
      </w:r>
      <w:r w:rsidR="745FB9FA" w:rsidRPr="001E7AA4">
        <w:rPr>
          <w:rFonts w:ascii="Calibri" w:eastAsia="Calibri" w:hAnsi="Calibri" w:cs="Calibri"/>
          <w:color w:val="000000" w:themeColor="text1"/>
        </w:rPr>
        <w:t>st</w:t>
      </w:r>
      <w:r w:rsidRPr="001E7AA4">
        <w:rPr>
          <w:rFonts w:ascii="Calibri" w:eastAsia="Calibri" w:hAnsi="Calibri" w:cs="Calibri"/>
          <w:color w:val="000000" w:themeColor="text1"/>
        </w:rPr>
        <w:t xml:space="preserve"> ensuring institutions have the resources and flexibility to develop innovative approaches to course delivery.</w:t>
      </w:r>
    </w:p>
    <w:p w14:paraId="1B800548" w14:textId="18465336" w:rsidR="007332E7" w:rsidRPr="001E7AA4" w:rsidRDefault="007332E7" w:rsidP="00F72CFE">
      <w:pPr>
        <w:pStyle w:val="Heading6"/>
      </w:pPr>
      <w:r w:rsidRPr="001E7AA4">
        <w:t>2.4.4.2 Sharing best</w:t>
      </w:r>
      <w:r w:rsidR="00CA6DF7" w:rsidRPr="001E7AA4">
        <w:t xml:space="preserve"> </w:t>
      </w:r>
      <w:r w:rsidRPr="001E7AA4">
        <w:t>practice and driving high-quality learning and teaching</w:t>
      </w:r>
    </w:p>
    <w:p w14:paraId="1957669D" w14:textId="5CF30B44" w:rsidR="007332E7" w:rsidRPr="001E7AA4" w:rsidRDefault="007332E7" w:rsidP="007332E7">
      <w:r w:rsidRPr="001E7AA4">
        <w:t>Currently, improvements in teaching practice and the student experience are</w:t>
      </w:r>
      <w:r w:rsidR="00FB28D3" w:rsidRPr="001E7AA4">
        <w:t xml:space="preserve"> often</w:t>
      </w:r>
      <w:r w:rsidRPr="001E7AA4">
        <w:t xml:space="preserve"> left to individual institutions and educators, rather than any systemic or collaborative approach to raising quality. This fails to capitalise on the many elements of good teaching within individual institutions that could be shared across the sector.</w:t>
      </w:r>
    </w:p>
    <w:p w14:paraId="49084524" w14:textId="19F1ED11" w:rsidR="007332E7" w:rsidRPr="001E7AA4" w:rsidRDefault="007332E7" w:rsidP="007332E7">
      <w:pPr>
        <w:pStyle w:val="Quote"/>
      </w:pPr>
      <w:r w:rsidRPr="001E7AA4">
        <w:t xml:space="preserve">“Australia is a world leader in higher education research but notably lags internationally in collective translation to practice. Despite pockets of excellence, Australia has no national mechanisms for translation to practice that unite diverse expertise across learning and teaching and the student experience.” </w:t>
      </w:r>
      <w:r w:rsidR="00997AD0">
        <w:br/>
      </w:r>
      <w:r w:rsidRPr="001E7AA4">
        <w:t xml:space="preserve">– </w:t>
      </w:r>
      <w:r w:rsidR="00ED229D" w:rsidRPr="001E7AA4">
        <w:t>Professor</w:t>
      </w:r>
      <w:r w:rsidR="001F3D8F" w:rsidRPr="001E7AA4">
        <w:t xml:space="preserve"> </w:t>
      </w:r>
      <w:r w:rsidRPr="001E7AA4">
        <w:t>Liz Johnson</w:t>
      </w:r>
      <w:r w:rsidR="00ED229D" w:rsidRPr="001E7AA4">
        <w:t xml:space="preserve">, </w:t>
      </w:r>
      <w:r w:rsidR="001F3D8F" w:rsidRPr="001E7AA4">
        <w:t xml:space="preserve">Professor Sally Kift and </w:t>
      </w:r>
      <w:r w:rsidR="00D167C6" w:rsidRPr="001E7AA4">
        <w:t>Associate Professor Jason Lodge</w:t>
      </w:r>
      <w:r w:rsidRPr="001E7AA4">
        <w:t xml:space="preserve"> </w:t>
      </w:r>
    </w:p>
    <w:p w14:paraId="5D514114" w14:textId="51AC771C" w:rsidR="007332E7" w:rsidRPr="001E7AA4" w:rsidRDefault="00154AE7" w:rsidP="007332E7">
      <w:r w:rsidRPr="001E7AA4">
        <w:t xml:space="preserve">The </w:t>
      </w:r>
      <w:r w:rsidR="004104C4" w:rsidRPr="001E7AA4">
        <w:t xml:space="preserve">Review </w:t>
      </w:r>
      <w:r w:rsidRPr="001E7AA4">
        <w:t>believes consideration could be given to a</w:t>
      </w:r>
      <w:r w:rsidR="007332E7" w:rsidRPr="001E7AA4">
        <w:t xml:space="preserve">n office or committee for quality teaching </w:t>
      </w:r>
      <w:r w:rsidRPr="001E7AA4">
        <w:t xml:space="preserve">to </w:t>
      </w:r>
      <w:r w:rsidR="007332E7" w:rsidRPr="001E7AA4">
        <w:t>enable collaborative and innovative models of learning</w:t>
      </w:r>
      <w:r w:rsidR="009028A5" w:rsidRPr="001E7AA4">
        <w:t xml:space="preserve"> and </w:t>
      </w:r>
      <w:r w:rsidR="000C4298" w:rsidRPr="001E7AA4">
        <w:t>teaching and</w:t>
      </w:r>
      <w:r w:rsidR="007332E7" w:rsidRPr="001E7AA4">
        <w:t xml:space="preserve"> advise government on structural issues. Some of these functions were undertaken by the Office for Learning and Teaching (OLT) before it was abolished in 2016. </w:t>
      </w:r>
      <w:r w:rsidRPr="001E7AA4">
        <w:t xml:space="preserve">A potential </w:t>
      </w:r>
      <w:r w:rsidR="007332E7" w:rsidRPr="001E7AA4">
        <w:t xml:space="preserve">new body </w:t>
      </w:r>
      <w:r w:rsidRPr="001E7AA4">
        <w:t>c</w:t>
      </w:r>
      <w:r w:rsidR="007332E7" w:rsidRPr="001E7AA4">
        <w:t>ould include a focus on equity of access and outcomes as participation widens and should prioritise evidenced-based approaches and innovative use of data.</w:t>
      </w:r>
    </w:p>
    <w:p w14:paraId="113A95A7" w14:textId="53D521F4" w:rsidR="007332E7" w:rsidRPr="001E7AA4" w:rsidRDefault="007332E7" w:rsidP="007332E7">
      <w:pPr>
        <w:pStyle w:val="Quote"/>
      </w:pPr>
      <w:r w:rsidRPr="001E7AA4">
        <w:t xml:space="preserve">“Collaborative effort is particularly urgent to respond to a changing external environment. The demands of digital education, life and work, challenges to conventional career paths for graduates and increasing pressure on the academic workforce are wicked problems that are not easily solvable by individual institutions. An independent national centre creates a national mechanism to develop and share effective responses which are otherwise fragmented.” </w:t>
      </w:r>
      <w:r w:rsidR="00997AD0">
        <w:br/>
      </w:r>
      <w:r w:rsidR="00C60194" w:rsidRPr="001E7AA4">
        <w:t>–</w:t>
      </w:r>
      <w:r w:rsidRPr="001E7AA4">
        <w:t xml:space="preserve"> U</w:t>
      </w:r>
      <w:r w:rsidR="00C60194" w:rsidRPr="001E7AA4">
        <w:t xml:space="preserve">niversities </w:t>
      </w:r>
      <w:r w:rsidRPr="001E7AA4">
        <w:t>A</w:t>
      </w:r>
      <w:r w:rsidR="00C60194" w:rsidRPr="001E7AA4">
        <w:t>ustralia</w:t>
      </w:r>
      <w:r w:rsidRPr="001E7AA4">
        <w:t xml:space="preserve"> DVC-A Network</w:t>
      </w:r>
    </w:p>
    <w:p w14:paraId="0F8BE50A" w14:textId="222999B9" w:rsidR="007332E7" w:rsidRDefault="007332E7" w:rsidP="007332E7">
      <w:r w:rsidRPr="001E7AA4">
        <w:t xml:space="preserve">Alongside the work of this </w:t>
      </w:r>
      <w:r w:rsidR="00154AE7" w:rsidRPr="001E7AA4">
        <w:t xml:space="preserve">potential </w:t>
      </w:r>
      <w:r w:rsidRPr="001E7AA4">
        <w:t xml:space="preserve">body, centres of excellence for teaching could be established across universities and VET providers, modelled along the lines of the ARC Centres of Excellence for </w:t>
      </w:r>
      <w:r w:rsidRPr="001E7AA4">
        <w:lastRenderedPageBreak/>
        <w:t>research. These centres would act as focal points for building leading edge knowledge repositories and developing high</w:t>
      </w:r>
      <w:r w:rsidR="4FF1692E" w:rsidRPr="001E7AA4">
        <w:t>-</w:t>
      </w:r>
      <w:r w:rsidRPr="001E7AA4">
        <w:t xml:space="preserve">quality pedagogical material for </w:t>
      </w:r>
      <w:r w:rsidR="004171B8" w:rsidRPr="001E7AA4">
        <w:t xml:space="preserve">particular </w:t>
      </w:r>
      <w:r w:rsidRPr="001E7AA4">
        <w:t>disciplines</w:t>
      </w:r>
      <w:r w:rsidR="00A411E1" w:rsidRPr="001E7AA4">
        <w:t xml:space="preserve"> (such as is available for first year economics through CORE Econ)</w:t>
      </w:r>
      <w:r w:rsidRPr="001E7AA4">
        <w:t>.</w:t>
      </w:r>
    </w:p>
    <w:tbl>
      <w:tblPr>
        <w:tblStyle w:val="CaseStudy0"/>
        <w:tblW w:w="0" w:type="auto"/>
        <w:tblLook w:val="04A0" w:firstRow="1" w:lastRow="0" w:firstColumn="1" w:lastColumn="0" w:noHBand="0" w:noVBand="1"/>
      </w:tblPr>
      <w:tblGrid>
        <w:gridCol w:w="9016"/>
      </w:tblGrid>
      <w:tr w:rsidR="00672023" w14:paraId="7204689E" w14:textId="77777777" w:rsidTr="00672023">
        <w:tc>
          <w:tcPr>
            <w:tcW w:w="9016" w:type="dxa"/>
          </w:tcPr>
          <w:p w14:paraId="38E2D31E" w14:textId="77777777" w:rsidR="00672023" w:rsidRPr="001E7AA4" w:rsidRDefault="00672023" w:rsidP="00672023">
            <w:pPr>
              <w:pStyle w:val="CaseStudy-Heading"/>
            </w:pPr>
            <w:r w:rsidRPr="00BC1824">
              <w:t>Case study: CORE Econ</w:t>
            </w:r>
            <w:r w:rsidRPr="00880A18">
              <w:rPr>
                <w:vertAlign w:val="superscript"/>
              </w:rPr>
              <w:footnoteReference w:id="101"/>
            </w:r>
          </w:p>
          <w:p w14:paraId="70C9F911" w14:textId="77777777" w:rsidR="00672023" w:rsidRPr="001E7AA4" w:rsidRDefault="00672023" w:rsidP="00672023">
            <w:r w:rsidRPr="001E7AA4">
              <w:t xml:space="preserve">CORE (Curriculum Open-access Resources in Economics) Econ is a foundational economics curriculum developed by an independent editorial board in collaboration with business and university partners. </w:t>
            </w:r>
          </w:p>
          <w:p w14:paraId="0F64F2D8" w14:textId="77777777" w:rsidR="00672023" w:rsidRPr="001E7AA4" w:rsidRDefault="00672023" w:rsidP="00672023">
            <w:r w:rsidRPr="001E7AA4">
              <w:t xml:space="preserve">Following the Global Financial Crisis of 2007-8, CORE Econ emerged in the early 2010s as an international collaborative project among academics concerned about an overly narrow focus within the standard economics curriculum on theoretical models which lacked connection to real world developments. </w:t>
            </w:r>
          </w:p>
          <w:p w14:paraId="65C92E5C" w14:textId="299EAD0D" w:rsidR="00672023" w:rsidRDefault="00672023" w:rsidP="00672023">
            <w:pPr>
              <w:spacing w:after="120"/>
            </w:pPr>
            <w:r w:rsidRPr="001E7AA4">
              <w:t>CORE Econ offers a student-centred curriculum that aims to “change economics education globally to a focus on the most important problems faced by our societies including climate change, injustice, innovation and the future of work.” Incorporating a range of open-source materials, CORE Econ has been adopted by nearly 400 institutions worldwide, including several in Australia.</w:t>
            </w:r>
          </w:p>
        </w:tc>
      </w:tr>
    </w:tbl>
    <w:p w14:paraId="04DE5B0C" w14:textId="27F3A357" w:rsidR="007332E7" w:rsidRPr="001E7AA4" w:rsidRDefault="007332E7" w:rsidP="00F72CFE">
      <w:pPr>
        <w:pStyle w:val="Heading6"/>
      </w:pPr>
      <w:bookmarkStart w:id="211" w:name="_Toc135739792"/>
      <w:bookmarkStart w:id="212" w:name="_Toc135741095"/>
      <w:r w:rsidRPr="001E7AA4">
        <w:t>2.4.4.</w:t>
      </w:r>
      <w:r w:rsidR="003312CF" w:rsidRPr="001E7AA4">
        <w:t>3</w:t>
      </w:r>
      <w:r w:rsidRPr="001E7AA4">
        <w:t xml:space="preserve"> Incentivising and valuing all </w:t>
      </w:r>
      <w:bookmarkEnd w:id="211"/>
      <w:bookmarkEnd w:id="212"/>
      <w:r w:rsidRPr="001E7AA4">
        <w:t>academic roles</w:t>
      </w:r>
    </w:p>
    <w:p w14:paraId="6157877E" w14:textId="6CDDFB37" w:rsidR="007332E7" w:rsidRPr="001E7AA4" w:rsidRDefault="007332E7" w:rsidP="007332E7">
      <w:r w:rsidRPr="001E7AA4">
        <w:t>Highly skilled educators are needed to help students succeed. As the student participation in Australia’s higher education system grows in size and diversity, so must its academic workforce. The Review has heard evidence of under-investment and under-prioritisation of teaching capability and esteem for teaching across the sector, driven by several interrelated factors.</w:t>
      </w:r>
    </w:p>
    <w:p w14:paraId="75F5C616" w14:textId="7CF45096" w:rsidR="007332E7" w:rsidRPr="001E7AA4" w:rsidRDefault="007332E7" w:rsidP="007332E7">
      <w:r w:rsidRPr="001E7AA4">
        <w:t>More needs to be done to promote higher education teaching capability and to attract the best talent from both academia and practice. This should include better recognising and incentivising teaching excellence through internal and external performance structures, enhancing industry mobility and recognition of non-academic career achievements, strengthening professional development for the teaching workforce</w:t>
      </w:r>
      <w:r w:rsidR="00931057" w:rsidRPr="001E7AA4">
        <w:t>,</w:t>
      </w:r>
      <w:r w:rsidRPr="001E7AA4">
        <w:t xml:space="preserve"> and implementing better long-term workforce and capability planning.</w:t>
      </w:r>
    </w:p>
    <w:p w14:paraId="70BD279C" w14:textId="1AFB5CC7" w:rsidR="007332E7" w:rsidRPr="001E7AA4" w:rsidRDefault="007332E7" w:rsidP="007332E7">
      <w:r w:rsidRPr="001E7AA4">
        <w:t>An important part of the higher education workforce are academics who are both excellent teachers and cutting-edge researchers. These academics can be particularly inspiring in exposing students to the process of knowledge breakthroughs. This is a vital contribution for graduates hoping to work in the knowledge economy. Another important though smaller workforce cohort are academics who are both excellent teachers and active practitioners in their profession. These academics teach students about leading</w:t>
      </w:r>
      <w:r w:rsidR="00931057" w:rsidRPr="001E7AA4">
        <w:t>-</w:t>
      </w:r>
      <w:r w:rsidRPr="001E7AA4">
        <w:t xml:space="preserve">edge professional practice. </w:t>
      </w:r>
    </w:p>
    <w:p w14:paraId="23A581FC" w14:textId="2F2CFA46" w:rsidR="007332E7" w:rsidRPr="001E7AA4" w:rsidRDefault="007332E7" w:rsidP="007332E7">
      <w:r w:rsidRPr="001E7AA4">
        <w:t xml:space="preserve">Addressing the issues raised above will involve action by staff, unions, institutions and </w:t>
      </w:r>
      <w:r w:rsidR="006F0F6B" w:rsidRPr="001E7AA4">
        <w:t>g</w:t>
      </w:r>
      <w:r w:rsidRPr="001E7AA4">
        <w:t>overnment. This could include discussion of whether existing industrial settings support strengthening teaching capability across the higher education workforce. These discussions ideally could revisit the current settings connecting teaching and research workloads across many positions in academia.</w:t>
      </w:r>
    </w:p>
    <w:p w14:paraId="1F787332" w14:textId="49E0D0C9" w:rsidR="007332E7" w:rsidRPr="001E7AA4" w:rsidRDefault="007332E7" w:rsidP="00F72CFE">
      <w:pPr>
        <w:pStyle w:val="Heading6"/>
      </w:pPr>
      <w:r w:rsidRPr="001E7AA4">
        <w:lastRenderedPageBreak/>
        <w:t>2.4.4.</w:t>
      </w:r>
      <w:r w:rsidR="00FB5AB5" w:rsidRPr="001E7AA4">
        <w:t>4</w:t>
      </w:r>
      <w:r w:rsidRPr="001E7AA4">
        <w:t xml:space="preserve"> Measuring excellence </w:t>
      </w:r>
    </w:p>
    <w:p w14:paraId="292ED0C0" w14:textId="59F79C94" w:rsidR="00317700" w:rsidRPr="001E7AA4" w:rsidRDefault="007332E7" w:rsidP="007332E7">
      <w:r w:rsidRPr="001E7AA4">
        <w:t>Student experience and learning and teaching need to be monitored to encourage improvements. It is inherently difficult to measure teaching quality or student experience. The current measure of quality, the Student Experience Survey</w:t>
      </w:r>
      <w:r w:rsidR="00482243" w:rsidRPr="001E7AA4">
        <w:t xml:space="preserve"> (SES)</w:t>
      </w:r>
      <w:r w:rsidRPr="001E7AA4">
        <w:t>, is conducted using a well-defined methodology</w:t>
      </w:r>
      <w:r w:rsidR="0C25FF04" w:rsidRPr="001E7AA4">
        <w:t xml:space="preserve"> which </w:t>
      </w:r>
      <w:r w:rsidR="01D13310" w:rsidRPr="001E7AA4">
        <w:t xml:space="preserve">compares well with international best practice. </w:t>
      </w:r>
    </w:p>
    <w:p w14:paraId="6AE8060D" w14:textId="0F4D7283" w:rsidR="007332E7" w:rsidRPr="001E7AA4" w:rsidRDefault="01D13310" w:rsidP="007332E7">
      <w:r w:rsidRPr="001E7AA4">
        <w:t>The wider Q</w:t>
      </w:r>
      <w:r w:rsidR="31EA4473" w:rsidRPr="001E7AA4">
        <w:t>uality Indicators for Learning and Teaching</w:t>
      </w:r>
      <w:r w:rsidRPr="001E7AA4">
        <w:t xml:space="preserve"> </w:t>
      </w:r>
      <w:r w:rsidR="00482243" w:rsidRPr="001E7AA4">
        <w:t xml:space="preserve">(QILT) </w:t>
      </w:r>
      <w:r w:rsidRPr="001E7AA4">
        <w:t xml:space="preserve">survey suite has focused attention on </w:t>
      </w:r>
      <w:r w:rsidR="723A328A" w:rsidRPr="001E7AA4">
        <w:t xml:space="preserve">teaching quality by publishing indicators at the </w:t>
      </w:r>
      <w:r w:rsidR="4F1DD0D9" w:rsidRPr="001E7AA4">
        <w:t>institution</w:t>
      </w:r>
      <w:r w:rsidR="723A328A" w:rsidRPr="001E7AA4">
        <w:t xml:space="preserve"> level and provides an evidence base for </w:t>
      </w:r>
      <w:r w:rsidR="542E198F" w:rsidRPr="001E7AA4">
        <w:t>continuous improvement</w:t>
      </w:r>
      <w:r w:rsidR="1ADE88FF" w:rsidRPr="001E7AA4">
        <w:t>.</w:t>
      </w:r>
      <w:r w:rsidR="3C32112F" w:rsidRPr="001E7AA4">
        <w:t xml:space="preserve"> </w:t>
      </w:r>
      <w:r w:rsidR="1083967D" w:rsidRPr="001E7AA4">
        <w:t>H</w:t>
      </w:r>
      <w:r w:rsidR="70791F5C" w:rsidRPr="001E7AA4">
        <w:t>owever</w:t>
      </w:r>
      <w:r w:rsidR="007332E7" w:rsidRPr="001E7AA4">
        <w:t>, there is no triangulation of survey results against other measures of quality and no clear correlation between high student ratings and employment outcomes.</w:t>
      </w:r>
    </w:p>
    <w:p w14:paraId="623D0619" w14:textId="3467F9FB" w:rsidR="007332E7" w:rsidRPr="001E7AA4" w:rsidRDefault="007332E7" w:rsidP="007332E7">
      <w:pPr>
        <w:rPr>
          <w:rFonts w:ascii="Calibri" w:eastAsia="Calibri" w:hAnsi="Calibri" w:cs="Calibri"/>
          <w:color w:val="000000" w:themeColor="text1"/>
        </w:rPr>
      </w:pPr>
      <w:r w:rsidRPr="001E7AA4">
        <w:rPr>
          <w:rFonts w:ascii="Calibri" w:eastAsia="Calibri" w:hAnsi="Calibri" w:cs="Calibri"/>
          <w:color w:val="000000" w:themeColor="text1"/>
        </w:rPr>
        <w:t xml:space="preserve">The Productivity Commission suggests using peer review of teaching methods </w:t>
      </w:r>
      <w:r w:rsidR="00A03D7D" w:rsidRPr="001E7AA4">
        <w:rPr>
          <w:rFonts w:ascii="Calibri" w:eastAsia="Calibri" w:hAnsi="Calibri" w:cs="Calibri"/>
          <w:color w:val="000000" w:themeColor="text1"/>
        </w:rPr>
        <w:t xml:space="preserve">to address some of the biases that arise from surveys and to </w:t>
      </w:r>
      <w:r w:rsidRPr="001E7AA4">
        <w:rPr>
          <w:rFonts w:ascii="Calibri" w:eastAsia="Calibri" w:hAnsi="Calibri" w:cs="Calibri"/>
          <w:color w:val="000000" w:themeColor="text1"/>
        </w:rPr>
        <w:t>complement and corroborate the SES.</w:t>
      </w:r>
      <w:r w:rsidR="007163C1" w:rsidRPr="001E7AA4">
        <w:rPr>
          <w:rStyle w:val="FootnoteReference"/>
          <w:rFonts w:ascii="Calibri" w:eastAsia="Calibri" w:hAnsi="Calibri" w:cs="Calibri"/>
          <w:color w:val="000000" w:themeColor="text1"/>
        </w:rPr>
        <w:footnoteReference w:id="102"/>
      </w:r>
    </w:p>
    <w:p w14:paraId="5A1FE424" w14:textId="3822F212" w:rsidR="007332E7" w:rsidRPr="001E7AA4" w:rsidRDefault="007332E7" w:rsidP="007332E7">
      <w:pPr>
        <w:rPr>
          <w:rFonts w:ascii="Calibri" w:eastAsia="Calibri" w:hAnsi="Calibri" w:cs="Calibri"/>
          <w:color w:val="000000" w:themeColor="text1"/>
        </w:rPr>
      </w:pPr>
      <w:r w:rsidRPr="001E7AA4">
        <w:rPr>
          <w:rFonts w:ascii="Calibri" w:eastAsia="Calibri" w:hAnsi="Calibri" w:cs="Calibri"/>
          <w:color w:val="000000" w:themeColor="text1"/>
        </w:rPr>
        <w:t xml:space="preserve">Irregular and frequently delayed timing of publication of higher education administrative and survey data reduces the ability of institutions and educators to use </w:t>
      </w:r>
      <w:r w:rsidR="00602199" w:rsidRPr="001E7AA4">
        <w:rPr>
          <w:rFonts w:ascii="Calibri" w:eastAsia="Calibri" w:hAnsi="Calibri" w:cs="Calibri"/>
          <w:color w:val="000000" w:themeColor="text1"/>
        </w:rPr>
        <w:t>data-</w:t>
      </w:r>
      <w:r w:rsidRPr="001E7AA4">
        <w:rPr>
          <w:rFonts w:ascii="Calibri" w:eastAsia="Calibri" w:hAnsi="Calibri" w:cs="Calibri"/>
          <w:color w:val="000000" w:themeColor="text1"/>
        </w:rPr>
        <w:t xml:space="preserve">driven approaches to quality improvement. </w:t>
      </w:r>
      <w:r w:rsidR="00154AE7" w:rsidRPr="001E7AA4">
        <w:rPr>
          <w:rFonts w:ascii="Calibri" w:eastAsia="Calibri" w:hAnsi="Calibri" w:cs="Calibri"/>
          <w:color w:val="000000" w:themeColor="text1"/>
        </w:rPr>
        <w:t xml:space="preserve">It is the </w:t>
      </w:r>
      <w:r w:rsidR="004104C4" w:rsidRPr="001E7AA4">
        <w:rPr>
          <w:rFonts w:ascii="Calibri" w:eastAsia="Calibri" w:hAnsi="Calibri" w:cs="Calibri"/>
          <w:color w:val="000000" w:themeColor="text1"/>
        </w:rPr>
        <w:t xml:space="preserve">Review’s </w:t>
      </w:r>
      <w:r w:rsidR="00154AE7" w:rsidRPr="001E7AA4">
        <w:rPr>
          <w:rFonts w:ascii="Calibri" w:eastAsia="Calibri" w:hAnsi="Calibri" w:cs="Calibri"/>
          <w:color w:val="000000" w:themeColor="text1"/>
        </w:rPr>
        <w:t>view that h</w:t>
      </w:r>
      <w:r w:rsidRPr="001E7AA4">
        <w:rPr>
          <w:rFonts w:ascii="Calibri" w:eastAsia="Calibri" w:hAnsi="Calibri" w:cs="Calibri"/>
          <w:color w:val="000000" w:themeColor="text1"/>
        </w:rPr>
        <w:t xml:space="preserve">igher education administrative and survey data should be released on a regular, publicly available schedule, agreed with institutions, to allow timely submission </w:t>
      </w:r>
      <w:r w:rsidR="00602199" w:rsidRPr="001E7AA4">
        <w:rPr>
          <w:rFonts w:ascii="Calibri" w:eastAsia="Calibri" w:hAnsi="Calibri" w:cs="Calibri"/>
          <w:color w:val="000000" w:themeColor="text1"/>
        </w:rPr>
        <w:t xml:space="preserve">and then analysis </w:t>
      </w:r>
      <w:r w:rsidRPr="001E7AA4">
        <w:rPr>
          <w:rFonts w:ascii="Calibri" w:eastAsia="Calibri" w:hAnsi="Calibri" w:cs="Calibri"/>
          <w:color w:val="000000" w:themeColor="text1"/>
        </w:rPr>
        <w:t>of high-quality data.</w:t>
      </w:r>
    </w:p>
    <w:p w14:paraId="14802AF9" w14:textId="3DE3B65D" w:rsidR="007332E7" w:rsidRPr="001E7AA4" w:rsidRDefault="00045EB9" w:rsidP="00F72CFE">
      <w:pPr>
        <w:pStyle w:val="Heading5"/>
      </w:pPr>
      <w:bookmarkStart w:id="213" w:name="_Toc139028893"/>
      <w:r w:rsidRPr="001E7AA4">
        <w:t>Considerations for change</w:t>
      </w:r>
      <w:bookmarkEnd w:id="213"/>
    </w:p>
    <w:p w14:paraId="13FD4988" w14:textId="5210CB00" w:rsidR="007332E7" w:rsidRPr="001E7AA4" w:rsidRDefault="007332E7" w:rsidP="00A8390A">
      <w:pPr>
        <w:spacing w:after="160" w:line="240" w:lineRule="auto"/>
      </w:pPr>
      <w:r w:rsidRPr="001E7AA4">
        <w:t xml:space="preserve">To promote high-quality learning and teaching across the higher education system, </w:t>
      </w:r>
      <w:r w:rsidR="00154AE7" w:rsidRPr="001E7AA4">
        <w:t xml:space="preserve">the </w:t>
      </w:r>
      <w:r w:rsidR="004104C4" w:rsidRPr="001E7AA4">
        <w:t xml:space="preserve">Review </w:t>
      </w:r>
      <w:r w:rsidR="00154AE7" w:rsidRPr="001E7AA4">
        <w:t>will continue to give consideration to</w:t>
      </w:r>
      <w:r w:rsidR="006B0208" w:rsidRPr="001E7AA4">
        <w:t xml:space="preserve"> the following policy areas</w:t>
      </w:r>
      <w:r w:rsidRPr="001E7AA4">
        <w:t xml:space="preserve">: </w:t>
      </w:r>
    </w:p>
    <w:p w14:paraId="07A8CD92" w14:textId="77777777" w:rsidR="00BE2C93" w:rsidRPr="001E7AA4" w:rsidRDefault="00BE2C93" w:rsidP="00A025B1">
      <w:pPr>
        <w:pStyle w:val="ListParagraph"/>
        <w:numPr>
          <w:ilvl w:val="0"/>
          <w:numId w:val="54"/>
        </w:numPr>
        <w:spacing w:after="0" w:line="240" w:lineRule="auto"/>
      </w:pPr>
      <w:r w:rsidRPr="001E7AA4">
        <w:t>encouraging and rewarding effective learning and teaching practices, including best practice for digital and hybrid delivery modes and use of new technologies and structures, particularly artificial intelligence and knowledge repositories</w:t>
      </w:r>
    </w:p>
    <w:p w14:paraId="71E31694" w14:textId="77777777" w:rsidR="00BE2C93" w:rsidRPr="001E7AA4" w:rsidRDefault="00BE2C93" w:rsidP="00A025B1">
      <w:pPr>
        <w:pStyle w:val="ListParagraph"/>
        <w:numPr>
          <w:ilvl w:val="0"/>
          <w:numId w:val="54"/>
        </w:numPr>
        <w:spacing w:after="0" w:line="240" w:lineRule="auto"/>
      </w:pPr>
      <w:r w:rsidRPr="001E7AA4">
        <w:t>enhancing the professional development of academic staff in teaching, especially for those newly employed to teach</w:t>
      </w:r>
    </w:p>
    <w:p w14:paraId="2FE622FA" w14:textId="77777777" w:rsidR="00BE2C93" w:rsidRPr="001E7AA4" w:rsidRDefault="00BE2C93" w:rsidP="00A025B1">
      <w:pPr>
        <w:pStyle w:val="ListParagraph"/>
        <w:numPr>
          <w:ilvl w:val="0"/>
          <w:numId w:val="54"/>
        </w:numPr>
        <w:spacing w:after="0" w:line="240" w:lineRule="auto"/>
      </w:pPr>
      <w:r w:rsidRPr="001E7AA4">
        <w:t>promoting collaboration and shared best practice in learning and teaching</w:t>
      </w:r>
    </w:p>
    <w:p w14:paraId="2AD8AA5C" w14:textId="342B14C3" w:rsidR="00672023" w:rsidRDefault="00BE2C93" w:rsidP="00A025B1">
      <w:pPr>
        <w:pStyle w:val="ListParagraph"/>
        <w:numPr>
          <w:ilvl w:val="0"/>
          <w:numId w:val="54"/>
        </w:numPr>
        <w:spacing w:after="0" w:line="240" w:lineRule="auto"/>
      </w:pPr>
      <w:r w:rsidRPr="001E7AA4">
        <w:t>ensuring the system encourages improvements in quality learning and teaching, responds to new curriculum approaches that take account of the pace of new knowledge production, and provides for appropriate teaching infrastructure.</w:t>
      </w:r>
    </w:p>
    <w:p w14:paraId="73C85D45" w14:textId="77777777" w:rsidR="00672023" w:rsidRDefault="00672023">
      <w:pPr>
        <w:spacing w:after="160"/>
      </w:pPr>
      <w:r>
        <w:br w:type="page"/>
      </w:r>
    </w:p>
    <w:p w14:paraId="596DAD12" w14:textId="3D3B3378" w:rsidR="00BC1824" w:rsidRPr="00672023" w:rsidRDefault="00BC1824" w:rsidP="00672023">
      <w:pPr>
        <w:pStyle w:val="BlueShadedBox-Body"/>
        <w:rPr>
          <w:rStyle w:val="Strong"/>
        </w:rPr>
      </w:pPr>
      <w:r w:rsidRPr="00672023">
        <w:rPr>
          <w:rStyle w:val="Strong"/>
        </w:rPr>
        <w:lastRenderedPageBreak/>
        <w:t xml:space="preserve">Potential proposals the Review may also consider for the Final Report, and that reflect the broad themes outlined above, include: </w:t>
      </w:r>
    </w:p>
    <w:p w14:paraId="5F958226" w14:textId="77777777" w:rsidR="00BC1824" w:rsidRDefault="00BC1824" w:rsidP="00560132">
      <w:pPr>
        <w:pStyle w:val="BlueShadedBox-Body"/>
        <w:spacing w:after="120"/>
      </w:pPr>
      <w:r w:rsidRPr="006200D3">
        <w:t>New and more collaborative approaches to learning and teaching:</w:t>
      </w:r>
    </w:p>
    <w:p w14:paraId="05AEDA41" w14:textId="77777777" w:rsidR="00BC1824" w:rsidRPr="001E7AA4" w:rsidRDefault="00BC1824" w:rsidP="00A025B1">
      <w:pPr>
        <w:pStyle w:val="BlueShadedBox-ListLetterstest"/>
        <w:numPr>
          <w:ilvl w:val="0"/>
          <w:numId w:val="33"/>
        </w:numPr>
        <w:ind w:left="570"/>
      </w:pPr>
      <w:r w:rsidRPr="001E7AA4">
        <w:t>establishing a National Learning and Teaching Committee (within the Tertiary Education Commission)</w:t>
      </w:r>
    </w:p>
    <w:p w14:paraId="1FF7990D" w14:textId="77777777" w:rsidR="00BC1824" w:rsidRDefault="00BC1824" w:rsidP="00A025B1">
      <w:pPr>
        <w:pStyle w:val="BlueShadedBox-ListLetterstest"/>
        <w:numPr>
          <w:ilvl w:val="0"/>
          <w:numId w:val="33"/>
        </w:numPr>
        <w:ind w:left="570"/>
      </w:pPr>
      <w:r w:rsidRPr="001E7AA4">
        <w:t>encouraging all institutions to provide high-quality accredited professional development in teaching for academic staff, especially new appointments, and including casual academics and postgraduate students involved in sessional teaching.</w:t>
      </w:r>
    </w:p>
    <w:p w14:paraId="78B74C5B" w14:textId="77777777" w:rsidR="00BC1824" w:rsidRDefault="00BC1824" w:rsidP="00560132">
      <w:pPr>
        <w:pStyle w:val="BlueShadedBox-Body"/>
        <w:spacing w:after="120"/>
      </w:pPr>
      <w:r w:rsidRPr="006200D3">
        <w:t>New funding incentives and programs:</w:t>
      </w:r>
    </w:p>
    <w:p w14:paraId="2AF92796" w14:textId="77777777" w:rsidR="00BC1824" w:rsidRPr="001E7AA4" w:rsidRDefault="00BC1824" w:rsidP="00A025B1">
      <w:pPr>
        <w:pStyle w:val="BlueShadedBox-ListLetterstest"/>
        <w:numPr>
          <w:ilvl w:val="0"/>
          <w:numId w:val="34"/>
        </w:numPr>
        <w:ind w:left="570"/>
      </w:pPr>
      <w:r w:rsidRPr="001E7AA4">
        <w:t>launching a competitive funding program across multiple institutions (universities and TAFEs) with material produced to be available under open access. This concept could be modelled in terms of collaboration and advisory boards on the ARC Centres of Excellence</w:t>
      </w:r>
    </w:p>
    <w:p w14:paraId="67418A7C" w14:textId="337067F4" w:rsidR="00BC1824" w:rsidRDefault="00BC1824" w:rsidP="00A025B1">
      <w:pPr>
        <w:pStyle w:val="BlueShadedBox-ListLetterstest"/>
        <w:numPr>
          <w:ilvl w:val="0"/>
          <w:numId w:val="34"/>
        </w:numPr>
        <w:ind w:left="570"/>
      </w:pPr>
      <w:r w:rsidRPr="001E7AA4">
        <w:t>rewarding institutions taking a leadership role in learning and teaching, fostering excellence and improved performance across the sector.</w:t>
      </w:r>
    </w:p>
    <w:p w14:paraId="5E81A63A" w14:textId="6CBF7A2F" w:rsidR="007332E7" w:rsidRPr="001E7AA4" w:rsidRDefault="007332E7">
      <w:pPr>
        <w:spacing w:after="160"/>
        <w:rPr>
          <w:b/>
        </w:rPr>
      </w:pPr>
      <w:r w:rsidRPr="001E7AA4">
        <w:rPr>
          <w:b/>
        </w:rPr>
        <w:br w:type="page"/>
      </w:r>
    </w:p>
    <w:p w14:paraId="448C403E" w14:textId="0A58E0A8" w:rsidR="007332E7" w:rsidRPr="001D56F3" w:rsidRDefault="396F51D7" w:rsidP="00F72CFE">
      <w:pPr>
        <w:pStyle w:val="Heading4"/>
      </w:pPr>
      <w:bookmarkStart w:id="214" w:name="_Toc136259204"/>
      <w:bookmarkStart w:id="215" w:name="_Toc137829562"/>
      <w:bookmarkStart w:id="216" w:name="_Toc277695421"/>
      <w:bookmarkStart w:id="217" w:name="_Toc139028894"/>
      <w:r w:rsidRPr="001D56F3">
        <w:lastRenderedPageBreak/>
        <w:t>2.5: Fostering international engagement</w:t>
      </w:r>
      <w:bookmarkEnd w:id="214"/>
      <w:bookmarkEnd w:id="215"/>
      <w:bookmarkEnd w:id="216"/>
      <w:bookmarkEnd w:id="217"/>
      <w:r w:rsidRPr="001D56F3">
        <w:t xml:space="preserve"> </w:t>
      </w:r>
    </w:p>
    <w:p w14:paraId="538972AC" w14:textId="77777777" w:rsidR="007332E7" w:rsidRPr="001E7AA4" w:rsidRDefault="007332E7" w:rsidP="007332E7">
      <w:pPr>
        <w:spacing w:after="0"/>
        <w:ind w:left="855" w:right="855"/>
        <w:jc w:val="center"/>
        <w:textAlignment w:val="baseline"/>
        <w:rPr>
          <w:rStyle w:val="normaltextrun"/>
          <w:rFonts w:ascii="Calibri" w:hAnsi="Calibri" w:cs="Calibri"/>
          <w:color w:val="5F6369"/>
        </w:rPr>
      </w:pPr>
    </w:p>
    <w:p w14:paraId="5B011CC1" w14:textId="2D2BEF71" w:rsidR="007332E7" w:rsidRPr="004C673F" w:rsidRDefault="007332E7" w:rsidP="004C673F">
      <w:pPr>
        <w:pStyle w:val="Quote"/>
      </w:pPr>
      <w:r w:rsidRPr="004C673F">
        <w:t>“International education is critical for Australia. The international education industry and international students are key contributors to the Australian economy and society. … Given the varied and significant contribution of the international education industry and international students, it is critical that Australia’s strong reputation is maintained and the sector continues to thrive</w:t>
      </w:r>
      <w:r w:rsidR="002C57F7" w:rsidRPr="004C673F">
        <w:t>.</w:t>
      </w:r>
      <w:r w:rsidRPr="004C673F">
        <w:t xml:space="preserve">” </w:t>
      </w:r>
      <w:r w:rsidR="00997AD0" w:rsidRPr="004C673F">
        <w:br/>
      </w:r>
      <w:r w:rsidRPr="004C673F">
        <w:t>– Navitas</w:t>
      </w:r>
    </w:p>
    <w:p w14:paraId="54B90402" w14:textId="77777777" w:rsidR="007332E7" w:rsidRPr="001E7AA4" w:rsidRDefault="396F51D7" w:rsidP="00F72CFE">
      <w:pPr>
        <w:pStyle w:val="Heading5"/>
      </w:pPr>
      <w:bookmarkStart w:id="218" w:name="_Toc137829563"/>
      <w:bookmarkStart w:id="219" w:name="_Toc1830214506"/>
      <w:bookmarkStart w:id="220" w:name="_Toc139028895"/>
      <w:r w:rsidRPr="001E7AA4">
        <w:t>Issues</w:t>
      </w:r>
      <w:bookmarkEnd w:id="218"/>
      <w:bookmarkEnd w:id="219"/>
      <w:bookmarkEnd w:id="220"/>
    </w:p>
    <w:p w14:paraId="58DBB025" w14:textId="5D9AF102" w:rsidR="007332E7" w:rsidRPr="001E7AA4" w:rsidRDefault="007332E7" w:rsidP="007332E7">
      <w:pPr>
        <w:rPr>
          <w:rStyle w:val="normaltextrun"/>
          <w:rFonts w:ascii="Calibri" w:hAnsi="Calibri" w:cs="Calibri"/>
          <w:color w:val="000000"/>
        </w:rPr>
      </w:pPr>
      <w:r w:rsidRPr="001E7AA4">
        <w:rPr>
          <w:rStyle w:val="normaltextrun"/>
          <w:rFonts w:ascii="Calibri" w:hAnsi="Calibri" w:cs="Calibri"/>
          <w:color w:val="000000"/>
        </w:rPr>
        <w:t xml:space="preserve">Though strong, Australia’s international education enterprise is deeply affected by global events. </w:t>
      </w:r>
      <w:r w:rsidR="00186EB0" w:rsidRPr="001E7AA4">
        <w:rPr>
          <w:rStyle w:val="normaltextrun"/>
          <w:rFonts w:ascii="Calibri" w:hAnsi="Calibri" w:cs="Calibri"/>
          <w:color w:val="000000"/>
        </w:rPr>
        <w:t>S</w:t>
      </w:r>
      <w:r w:rsidRPr="001E7AA4">
        <w:rPr>
          <w:rStyle w:val="normaltextrun"/>
          <w:rFonts w:ascii="Calibri" w:hAnsi="Calibri" w:cs="Calibri"/>
          <w:color w:val="000000"/>
        </w:rPr>
        <w:t xml:space="preserve">hocks </w:t>
      </w:r>
      <w:r w:rsidR="006F0F6B" w:rsidRPr="001E7AA4">
        <w:rPr>
          <w:rStyle w:val="normaltextrun"/>
          <w:rFonts w:ascii="Calibri" w:hAnsi="Calibri" w:cs="Calibri"/>
          <w:color w:val="000000"/>
        </w:rPr>
        <w:t xml:space="preserve">to </w:t>
      </w:r>
      <w:r w:rsidRPr="001E7AA4">
        <w:rPr>
          <w:rStyle w:val="normaltextrun"/>
          <w:rFonts w:ascii="Calibri" w:hAnsi="Calibri" w:cs="Calibri"/>
          <w:color w:val="000000"/>
        </w:rPr>
        <w:t xml:space="preserve">the global economy in recent years have been compounded by political fragmentation and new alliances that have increased uncertainty and turbulence across the world. Higher education providers have a key role to play in helping Australia craft its place in this </w:t>
      </w:r>
      <w:r w:rsidR="006F0F6B" w:rsidRPr="001E7AA4">
        <w:rPr>
          <w:rStyle w:val="normaltextrun"/>
          <w:rFonts w:ascii="Calibri" w:hAnsi="Calibri" w:cs="Calibri"/>
          <w:color w:val="000000"/>
        </w:rPr>
        <w:t xml:space="preserve">sometimes dangerous </w:t>
      </w:r>
      <w:r w:rsidRPr="001E7AA4">
        <w:rPr>
          <w:rStyle w:val="normaltextrun"/>
          <w:rFonts w:ascii="Calibri" w:hAnsi="Calibri" w:cs="Calibri"/>
          <w:color w:val="000000"/>
        </w:rPr>
        <w:t>new world.</w:t>
      </w:r>
    </w:p>
    <w:p w14:paraId="7F015919" w14:textId="2C17CB68" w:rsidR="007332E7" w:rsidRPr="001E7AA4" w:rsidRDefault="4789D4AD" w:rsidP="007332E7">
      <w:pPr>
        <w:rPr>
          <w:rFonts w:ascii="Segoe UI" w:hAnsi="Segoe UI" w:cs="Segoe UI"/>
          <w:sz w:val="18"/>
          <w:szCs w:val="18"/>
        </w:rPr>
      </w:pPr>
      <w:r w:rsidRPr="001E7AA4">
        <w:rPr>
          <w:rStyle w:val="normaltextrun"/>
          <w:rFonts w:ascii="Calibri" w:hAnsi="Calibri" w:cs="Calibri"/>
          <w:color w:val="000000" w:themeColor="text1"/>
        </w:rPr>
        <w:t>T</w:t>
      </w:r>
      <w:r w:rsidR="4B6E2D11" w:rsidRPr="001E7AA4">
        <w:rPr>
          <w:rStyle w:val="normaltextrun"/>
          <w:rFonts w:ascii="Calibri" w:hAnsi="Calibri" w:cs="Calibri"/>
          <w:color w:val="000000" w:themeColor="text1"/>
        </w:rPr>
        <w:t xml:space="preserve">he Review </w:t>
      </w:r>
      <w:r w:rsidR="006F0F6B" w:rsidRPr="001E7AA4">
        <w:rPr>
          <w:rStyle w:val="normaltextrun"/>
          <w:rFonts w:ascii="Calibri" w:hAnsi="Calibri" w:cs="Calibri"/>
          <w:color w:val="000000" w:themeColor="text1"/>
        </w:rPr>
        <w:t xml:space="preserve">is </w:t>
      </w:r>
      <w:r w:rsidR="69A8D725" w:rsidRPr="001E7AA4">
        <w:rPr>
          <w:rStyle w:val="normaltextrun"/>
          <w:rFonts w:ascii="Calibri" w:hAnsi="Calibri" w:cs="Calibri"/>
          <w:color w:val="000000" w:themeColor="text1"/>
        </w:rPr>
        <w:t>considering</w:t>
      </w:r>
      <w:r w:rsidR="4B6E2D11" w:rsidRPr="001E7AA4">
        <w:rPr>
          <w:rStyle w:val="normaltextrun"/>
          <w:rFonts w:ascii="Calibri" w:hAnsi="Calibri" w:cs="Calibri"/>
          <w:color w:val="000000" w:themeColor="text1"/>
        </w:rPr>
        <w:t xml:space="preserve"> how </w:t>
      </w:r>
      <w:r w:rsidR="69A8D725" w:rsidRPr="001E7AA4">
        <w:rPr>
          <w:rStyle w:val="normaltextrun"/>
          <w:rFonts w:ascii="Calibri" w:hAnsi="Calibri" w:cs="Calibri"/>
          <w:color w:val="000000" w:themeColor="text1"/>
        </w:rPr>
        <w:t>best to</w:t>
      </w:r>
      <w:r w:rsidR="007332E7" w:rsidRPr="001E7AA4">
        <w:rPr>
          <w:rStyle w:val="normaltextrun"/>
          <w:rFonts w:ascii="Calibri" w:hAnsi="Calibri" w:cs="Calibri"/>
          <w:color w:val="000000" w:themeColor="text1"/>
        </w:rPr>
        <w:t xml:space="preserve"> meet changes in the global environment over the coming decades</w:t>
      </w:r>
      <w:r w:rsidR="625BA10C" w:rsidRPr="001E7AA4">
        <w:rPr>
          <w:rStyle w:val="normaltextrun"/>
          <w:rFonts w:ascii="Calibri" w:hAnsi="Calibri" w:cs="Calibri"/>
          <w:color w:val="000000" w:themeColor="text1"/>
        </w:rPr>
        <w:t>. I</w:t>
      </w:r>
      <w:r w:rsidR="006F0F6B" w:rsidRPr="001E7AA4">
        <w:rPr>
          <w:rStyle w:val="normaltextrun"/>
          <w:rFonts w:ascii="Calibri" w:hAnsi="Calibri" w:cs="Calibri"/>
          <w:color w:val="000000" w:themeColor="text1"/>
        </w:rPr>
        <w:t>t</w:t>
      </w:r>
      <w:r w:rsidR="625BA10C" w:rsidRPr="001E7AA4">
        <w:rPr>
          <w:rStyle w:val="normaltextrun"/>
          <w:rFonts w:ascii="Calibri" w:hAnsi="Calibri" w:cs="Calibri"/>
          <w:color w:val="000000" w:themeColor="text1"/>
        </w:rPr>
        <w:t xml:space="preserve"> heard that</w:t>
      </w:r>
      <w:r w:rsidR="007332E7" w:rsidRPr="001E7AA4">
        <w:rPr>
          <w:rStyle w:val="normaltextrun"/>
          <w:rFonts w:ascii="Calibri" w:hAnsi="Calibri" w:cs="Calibri"/>
          <w:color w:val="000000" w:themeColor="text1"/>
        </w:rPr>
        <w:t xml:space="preserve"> higher education providers and governments need to consolidate past successes and adapt to evolving student expectations, national and international labour market needs</w:t>
      </w:r>
      <w:r w:rsidR="006F0F6B" w:rsidRPr="001E7AA4">
        <w:rPr>
          <w:rStyle w:val="normaltextrun"/>
          <w:rFonts w:ascii="Calibri" w:hAnsi="Calibri" w:cs="Calibri"/>
          <w:color w:val="000000" w:themeColor="text1"/>
        </w:rPr>
        <w:t>,</w:t>
      </w:r>
      <w:r w:rsidR="007332E7" w:rsidRPr="001E7AA4">
        <w:rPr>
          <w:rStyle w:val="normaltextrun"/>
          <w:rFonts w:ascii="Calibri" w:hAnsi="Calibri" w:cs="Calibri"/>
          <w:color w:val="000000" w:themeColor="text1"/>
        </w:rPr>
        <w:t xml:space="preserve"> and approaches to overseas collaboration.</w:t>
      </w:r>
    </w:p>
    <w:p w14:paraId="0A95C2E8" w14:textId="14FC0986" w:rsidR="007332E7" w:rsidRDefault="007332E7" w:rsidP="007332E7">
      <w:pPr>
        <w:rPr>
          <w:rStyle w:val="normaltextrun"/>
          <w:rFonts w:ascii="Calibri" w:hAnsi="Calibri" w:cs="Calibri"/>
          <w:color w:val="000000" w:themeColor="text1"/>
        </w:rPr>
      </w:pPr>
      <w:r w:rsidRPr="001E7AA4">
        <w:rPr>
          <w:rStyle w:val="normaltextrun"/>
          <w:rFonts w:ascii="Calibri" w:hAnsi="Calibri" w:cs="Calibri"/>
          <w:color w:val="000000" w:themeColor="text1"/>
        </w:rPr>
        <w:t xml:space="preserve">This </w:t>
      </w:r>
      <w:r w:rsidR="002E0FB6" w:rsidRPr="001E7AA4">
        <w:rPr>
          <w:rStyle w:val="normaltextrun"/>
          <w:rFonts w:ascii="Calibri" w:hAnsi="Calibri" w:cs="Calibri"/>
          <w:color w:val="000000" w:themeColor="text1"/>
        </w:rPr>
        <w:t xml:space="preserve">section </w:t>
      </w:r>
      <w:r w:rsidRPr="001E7AA4">
        <w:rPr>
          <w:rStyle w:val="normaltextrun"/>
          <w:rFonts w:ascii="Calibri" w:hAnsi="Calibri" w:cs="Calibri"/>
          <w:color w:val="000000" w:themeColor="text1"/>
        </w:rPr>
        <w:t xml:space="preserve">examines the importance of Australia’s international collaboration as a core element of higher education’s teaching and research mission. It explores </w:t>
      </w:r>
      <w:r w:rsidR="0359757B" w:rsidRPr="001E7AA4">
        <w:rPr>
          <w:rStyle w:val="normaltextrun"/>
          <w:rFonts w:ascii="Calibri" w:hAnsi="Calibri" w:cs="Calibri"/>
          <w:color w:val="000000" w:themeColor="text1"/>
        </w:rPr>
        <w:t>options</w:t>
      </w:r>
      <w:r w:rsidRPr="001E7AA4">
        <w:rPr>
          <w:rStyle w:val="normaltextrun"/>
          <w:rFonts w:ascii="Calibri" w:hAnsi="Calibri" w:cs="Calibri"/>
          <w:color w:val="000000" w:themeColor="text1"/>
        </w:rPr>
        <w:t xml:space="preserve"> to balance an expansion of our international student market with the upkeep of world-leading student experience and the importance of staying on the forefront of innovation </w:t>
      </w:r>
      <w:r w:rsidR="002E0FB6" w:rsidRPr="001E7AA4">
        <w:rPr>
          <w:rStyle w:val="normaltextrun"/>
          <w:rFonts w:ascii="Calibri" w:hAnsi="Calibri" w:cs="Calibri"/>
          <w:color w:val="000000" w:themeColor="text1"/>
        </w:rPr>
        <w:t xml:space="preserve">while </w:t>
      </w:r>
      <w:r w:rsidRPr="001E7AA4">
        <w:rPr>
          <w:rStyle w:val="normaltextrun"/>
          <w:rFonts w:ascii="Calibri" w:hAnsi="Calibri" w:cs="Calibri"/>
          <w:color w:val="000000" w:themeColor="text1"/>
        </w:rPr>
        <w:t xml:space="preserve">helping our neighbours through </w:t>
      </w:r>
      <w:r w:rsidR="002E0FB6" w:rsidRPr="001E7AA4">
        <w:rPr>
          <w:rStyle w:val="normaltextrun"/>
          <w:rFonts w:ascii="Calibri" w:hAnsi="Calibri" w:cs="Calibri"/>
          <w:color w:val="000000" w:themeColor="text1"/>
        </w:rPr>
        <w:t xml:space="preserve">research partnerships and </w:t>
      </w:r>
      <w:r w:rsidRPr="001E7AA4">
        <w:rPr>
          <w:rStyle w:val="normaltextrun"/>
          <w:rFonts w:ascii="Calibri" w:hAnsi="Calibri" w:cs="Calibri"/>
          <w:color w:val="000000" w:themeColor="text1"/>
        </w:rPr>
        <w:t xml:space="preserve">offshore teaching models, especially contributing </w:t>
      </w:r>
      <w:r w:rsidR="0097318D" w:rsidRPr="001E7AA4">
        <w:rPr>
          <w:rStyle w:val="normaltextrun"/>
          <w:rFonts w:ascii="Calibri" w:hAnsi="Calibri" w:cs="Calibri"/>
          <w:color w:val="000000" w:themeColor="text1"/>
        </w:rPr>
        <w:t xml:space="preserve">to </w:t>
      </w:r>
      <w:r w:rsidRPr="001E7AA4">
        <w:rPr>
          <w:rStyle w:val="normaltextrun"/>
          <w:rFonts w:ascii="Calibri" w:hAnsi="Calibri" w:cs="Calibri"/>
          <w:color w:val="000000" w:themeColor="text1"/>
        </w:rPr>
        <w:t>our neighbours</w:t>
      </w:r>
      <w:r w:rsidR="0097318D" w:rsidRPr="001E7AA4">
        <w:rPr>
          <w:rStyle w:val="normaltextrun"/>
          <w:rFonts w:ascii="Calibri" w:hAnsi="Calibri" w:cs="Calibri"/>
          <w:color w:val="000000" w:themeColor="text1"/>
        </w:rPr>
        <w:t>’</w:t>
      </w:r>
      <w:r w:rsidRPr="001E7AA4">
        <w:rPr>
          <w:rStyle w:val="normaltextrun"/>
          <w:rFonts w:ascii="Calibri" w:hAnsi="Calibri" w:cs="Calibri"/>
          <w:color w:val="000000" w:themeColor="text1"/>
        </w:rPr>
        <w:t xml:space="preserve"> efforts to grow their own education offerings. </w:t>
      </w:r>
    </w:p>
    <w:p w14:paraId="1F91FCDB" w14:textId="3E9E2378" w:rsidR="00BC1824" w:rsidRPr="00BC1824" w:rsidRDefault="00BC1824" w:rsidP="00BC1824">
      <w:pPr>
        <w:pStyle w:val="Pulloutboxes"/>
        <w:rPr>
          <w:rStyle w:val="normaltextrun"/>
          <w:b/>
          <w:bCs/>
        </w:rPr>
      </w:pPr>
      <w:r w:rsidRPr="004C673F">
        <w:t>While the Review acknowledges international education’s role as a crucial export industry, it also sees it as a crucial element of Australia’s soft diplomacy and the generation of relationships and reputation across the world. This makes the quality of the education we provide crucially important.</w:t>
      </w:r>
    </w:p>
    <w:p w14:paraId="2E63004B" w14:textId="77777777" w:rsidR="007332E7" w:rsidRPr="001E7AA4" w:rsidRDefault="396F51D7" w:rsidP="00F72CFE">
      <w:pPr>
        <w:pStyle w:val="Heading5"/>
      </w:pPr>
      <w:bookmarkStart w:id="221" w:name="_Toc137829564"/>
      <w:bookmarkStart w:id="222" w:name="_Toc1564933150"/>
      <w:bookmarkStart w:id="223" w:name="_Toc139028896"/>
      <w:bookmarkStart w:id="224" w:name="_Toc136259206"/>
      <w:r w:rsidRPr="001E7AA4">
        <w:t>2.5.1 Promoting global connectivity</w:t>
      </w:r>
      <w:bookmarkEnd w:id="221"/>
      <w:bookmarkEnd w:id="222"/>
      <w:bookmarkEnd w:id="223"/>
      <w:r w:rsidRPr="001E7AA4">
        <w:t xml:space="preserve"> </w:t>
      </w:r>
      <w:bookmarkEnd w:id="224"/>
    </w:p>
    <w:p w14:paraId="270F1810" w14:textId="672D3D9F" w:rsidR="007332E7" w:rsidRPr="001E7AA4" w:rsidRDefault="007332E7" w:rsidP="007332E7">
      <w:pPr>
        <w:rPr>
          <w:rStyle w:val="normaltextrun"/>
          <w:rFonts w:ascii="Calibri" w:hAnsi="Calibri" w:cs="Calibri"/>
          <w:color w:val="000000" w:themeColor="text1"/>
        </w:rPr>
      </w:pPr>
      <w:r w:rsidRPr="001E7AA4">
        <w:rPr>
          <w:rStyle w:val="normaltextrun"/>
          <w:rFonts w:ascii="Calibri" w:hAnsi="Calibri" w:cs="Calibri"/>
          <w:color w:val="000000" w:themeColor="text1"/>
        </w:rPr>
        <w:t xml:space="preserve">Australia’s international education sector is a major national success story. There has been rapid growth in the number of students choosing to come to Australia for higher education. </w:t>
      </w:r>
      <w:r w:rsidR="00DF41E1" w:rsidRPr="001E7AA4">
        <w:rPr>
          <w:rStyle w:val="ui-provider"/>
          <w:rFonts w:eastAsia="Times New Roman"/>
        </w:rPr>
        <w:t>Student numbers almost doubled from 249,454 in 2014 to 440,824 in 2019.</w:t>
      </w:r>
      <w:r w:rsidR="00B6263A" w:rsidRPr="001E7AA4">
        <w:rPr>
          <w:rStyle w:val="FootnoteReference"/>
          <w:rFonts w:eastAsia="Times New Roman"/>
        </w:rPr>
        <w:footnoteReference w:id="103"/>
      </w:r>
      <w:r w:rsidR="00DF41E1" w:rsidRPr="001E7AA4">
        <w:rPr>
          <w:rStyle w:val="ui-provider"/>
          <w:rFonts w:eastAsia="Times New Roman"/>
        </w:rPr>
        <w:t xml:space="preserve"> While this growth was impacted by the </w:t>
      </w:r>
      <w:r w:rsidR="00426C19" w:rsidRPr="001E7AA4">
        <w:rPr>
          <w:rStyle w:val="ui-provider"/>
          <w:rFonts w:eastAsia="Times New Roman"/>
        </w:rPr>
        <w:t>COVID</w:t>
      </w:r>
      <w:r w:rsidR="00DF41E1" w:rsidRPr="001E7AA4">
        <w:rPr>
          <w:rStyle w:val="ui-provider"/>
          <w:rFonts w:eastAsia="Times New Roman"/>
        </w:rPr>
        <w:t>-19 pandemic, there has been significant improvements in 2023</w:t>
      </w:r>
      <w:r w:rsidR="00D90D72" w:rsidRPr="001E7AA4">
        <w:rPr>
          <w:rStyle w:val="ui-provider"/>
          <w:rFonts w:eastAsia="Times New Roman"/>
        </w:rPr>
        <w:t>.</w:t>
      </w:r>
      <w:r w:rsidR="00DF41E1" w:rsidRPr="001E7AA4">
        <w:rPr>
          <w:rStyle w:val="ui-provider"/>
          <w:rFonts w:eastAsia="Times New Roman"/>
        </w:rPr>
        <w:t xml:space="preserve"> </w:t>
      </w:r>
      <w:r w:rsidR="00D90D72" w:rsidRPr="001E7AA4">
        <w:rPr>
          <w:rStyle w:val="ui-provider"/>
          <w:rFonts w:eastAsia="Times New Roman"/>
        </w:rPr>
        <w:t>C</w:t>
      </w:r>
      <w:r w:rsidR="00B3077C" w:rsidRPr="001E7AA4">
        <w:rPr>
          <w:rStyle w:val="ui-provider"/>
          <w:rFonts w:eastAsia="Times New Roman"/>
        </w:rPr>
        <w:t xml:space="preserve">urrent indications suggest that by the end of </w:t>
      </w:r>
      <w:r w:rsidR="00293D7F" w:rsidRPr="001E7AA4">
        <w:rPr>
          <w:rStyle w:val="ui-provider"/>
          <w:rFonts w:eastAsia="Times New Roman"/>
        </w:rPr>
        <w:t>2023</w:t>
      </w:r>
      <w:r w:rsidR="00D90D72" w:rsidRPr="001E7AA4">
        <w:rPr>
          <w:rStyle w:val="ui-provider"/>
          <w:rFonts w:eastAsia="Times New Roman"/>
        </w:rPr>
        <w:t xml:space="preserve"> international student enrolments will have recovered to </w:t>
      </w:r>
      <w:r w:rsidR="00D90D72" w:rsidRPr="001E7AA4">
        <w:rPr>
          <w:rStyle w:val="ui-provider"/>
          <w:rFonts w:eastAsia="Times New Roman"/>
        </w:rPr>
        <w:lastRenderedPageBreak/>
        <w:t xml:space="preserve">near pre-pandemic levels. </w:t>
      </w:r>
      <w:r w:rsidRPr="001E7AA4">
        <w:rPr>
          <w:rStyle w:val="normaltextrun"/>
          <w:rFonts w:ascii="Calibri" w:hAnsi="Calibri" w:cs="Calibri"/>
          <w:color w:val="000000" w:themeColor="text1"/>
        </w:rPr>
        <w:t xml:space="preserve">In 2020, Australia was positioned as the world’s third largest provider of international </w:t>
      </w:r>
      <w:r w:rsidR="00A63337" w:rsidRPr="001E7AA4">
        <w:rPr>
          <w:rStyle w:val="normaltextrun"/>
          <w:rFonts w:ascii="Calibri" w:hAnsi="Calibri" w:cs="Calibri"/>
          <w:color w:val="000000" w:themeColor="text1"/>
        </w:rPr>
        <w:t xml:space="preserve">tertiary </w:t>
      </w:r>
      <w:r w:rsidRPr="001E7AA4">
        <w:rPr>
          <w:rStyle w:val="normaltextrun"/>
          <w:rFonts w:ascii="Calibri" w:hAnsi="Calibri" w:cs="Calibri"/>
          <w:color w:val="000000" w:themeColor="text1"/>
        </w:rPr>
        <w:t>education.</w:t>
      </w:r>
      <w:r w:rsidRPr="001E7AA4">
        <w:rPr>
          <w:rStyle w:val="FootnoteReference"/>
          <w:rFonts w:ascii="Calibri" w:hAnsi="Calibri" w:cs="Calibri"/>
          <w:color w:val="000000" w:themeColor="text1"/>
        </w:rPr>
        <w:footnoteReference w:id="104"/>
      </w:r>
      <w:r w:rsidRPr="001E7AA4">
        <w:rPr>
          <w:rStyle w:val="normaltextrun"/>
          <w:rFonts w:ascii="Calibri" w:hAnsi="Calibri" w:cs="Calibri"/>
          <w:color w:val="000000" w:themeColor="text1"/>
        </w:rPr>
        <w:t xml:space="preserve"> </w:t>
      </w:r>
    </w:p>
    <w:p w14:paraId="091AD6FD" w14:textId="12C7D32A" w:rsidR="007332E7" w:rsidRPr="001E7AA4" w:rsidRDefault="007332E7" w:rsidP="00BA0029">
      <w:pPr>
        <w:pStyle w:val="Caption"/>
        <w:rPr>
          <w:lang w:val="en-US"/>
        </w:rPr>
      </w:pPr>
      <w:r w:rsidRPr="001E7AA4">
        <w:rPr>
          <w:lang w:val="en-US"/>
        </w:rPr>
        <w:t xml:space="preserve">Figure 2.5-1: </w:t>
      </w:r>
      <w:r w:rsidR="000F7A81" w:rsidRPr="001E7AA4">
        <w:rPr>
          <w:lang w:val="en-US"/>
        </w:rPr>
        <w:t>I</w:t>
      </w:r>
      <w:r w:rsidR="00EA3AFC" w:rsidRPr="001E7AA4">
        <w:rPr>
          <w:lang w:val="en-US"/>
        </w:rPr>
        <w:t xml:space="preserve">nternational </w:t>
      </w:r>
      <w:r w:rsidR="007F6800" w:rsidRPr="001E7AA4">
        <w:rPr>
          <w:lang w:val="en-US"/>
        </w:rPr>
        <w:t>student</w:t>
      </w:r>
      <w:r w:rsidR="005915BF" w:rsidRPr="001E7AA4">
        <w:rPr>
          <w:lang w:val="en-US"/>
        </w:rPr>
        <w:t xml:space="preserve"> enrolments</w:t>
      </w:r>
      <w:r w:rsidR="000F7A81" w:rsidRPr="001E7AA4">
        <w:rPr>
          <w:lang w:val="en-US"/>
        </w:rPr>
        <w:t xml:space="preserve"> </w:t>
      </w:r>
      <w:r w:rsidR="00AB7BFA" w:rsidRPr="001E7AA4">
        <w:rPr>
          <w:lang w:val="en-US"/>
        </w:rPr>
        <w:t xml:space="preserve">across all </w:t>
      </w:r>
      <w:r w:rsidR="000F7A81" w:rsidRPr="001E7AA4">
        <w:rPr>
          <w:lang w:val="en-US"/>
        </w:rPr>
        <w:t>Australian</w:t>
      </w:r>
      <w:r w:rsidR="00AB7BFA" w:rsidRPr="001E7AA4">
        <w:rPr>
          <w:lang w:val="en-US"/>
        </w:rPr>
        <w:t xml:space="preserve"> higher education providers</w:t>
      </w:r>
      <w:r w:rsidR="1998507B" w:rsidRPr="001E7AA4">
        <w:rPr>
          <w:lang w:val="en-US"/>
        </w:rPr>
        <w:t>, top</w:t>
      </w:r>
      <w:r w:rsidR="00170DD0" w:rsidRPr="001E7AA4">
        <w:rPr>
          <w:lang w:val="en-US"/>
        </w:rPr>
        <w:t xml:space="preserve"> </w:t>
      </w:r>
      <w:r w:rsidR="001B61F6" w:rsidRPr="001E7AA4">
        <w:rPr>
          <w:lang w:val="en-US"/>
        </w:rPr>
        <w:t xml:space="preserve">5 nationalities, </w:t>
      </w:r>
      <w:r w:rsidR="42B760F7" w:rsidRPr="001E7AA4">
        <w:rPr>
          <w:lang w:val="en-US"/>
        </w:rPr>
        <w:t>2014-2022</w:t>
      </w:r>
      <w:r w:rsidR="00CA19CE" w:rsidRPr="001E7AA4">
        <w:rPr>
          <w:lang w:val="en-US"/>
        </w:rPr>
        <w:t>.</w:t>
      </w:r>
    </w:p>
    <w:p w14:paraId="65B64BB9" w14:textId="16FC9B65" w:rsidR="007332E7" w:rsidRPr="001E7AA4" w:rsidRDefault="008D3674" w:rsidP="007332E7">
      <w:pPr>
        <w:rPr>
          <w:rStyle w:val="normaltextrun"/>
          <w:rFonts w:ascii="Calibri" w:hAnsi="Calibri" w:cs="Calibri"/>
          <w:color w:val="000000"/>
        </w:rPr>
      </w:pPr>
      <w:r w:rsidRPr="001E7AA4">
        <w:rPr>
          <w:noProof/>
        </w:rPr>
        <w:drawing>
          <wp:inline distT="0" distB="0" distL="0" distR="0" wp14:anchorId="357EDCD8" wp14:editId="47903C59">
            <wp:extent cx="5731510" cy="2265661"/>
            <wp:effectExtent l="0" t="0" r="0" b="0"/>
            <wp:docPr id="47" name="Picture 47" descr="Line chart showing the numbers of international student higher education enrolments by top 5 nationalities, year-to-date December 2014 to year-to-date December 2022. The chart shows China is the top source country, followed by other nationalities, then India, Nepal, Vietnam and Indone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Line chart showing the numbers of international student higher education enrolments by top 5 nationalities, year-to-date December 2014 to year-to-date December 2022. The chart shows China is the top source country, followed by other nationalities, then India, Nepal, Vietnam and Indonesia."/>
                    <pic:cNvPicPr/>
                  </pic:nvPicPr>
                  <pic:blipFill>
                    <a:blip r:embed="rId69">
                      <a:extLst>
                        <a:ext uri="{28A0092B-C50C-407E-A947-70E740481C1C}">
                          <a14:useLocalDpi xmlns:a14="http://schemas.microsoft.com/office/drawing/2010/main" val="0"/>
                        </a:ext>
                        <a:ext uri="{96DAC541-7B7A-43D3-8B79-37D633B846F1}">
                          <asvg:svgBlip xmlns:asvg="http://schemas.microsoft.com/office/drawing/2016/SVG/main" r:embed="rId70"/>
                        </a:ext>
                      </a:extLst>
                    </a:blip>
                    <a:stretch>
                      <a:fillRect/>
                    </a:stretch>
                  </pic:blipFill>
                  <pic:spPr>
                    <a:xfrm>
                      <a:off x="0" y="0"/>
                      <a:ext cx="5731510" cy="2265661"/>
                    </a:xfrm>
                    <a:prstGeom prst="rect">
                      <a:avLst/>
                    </a:prstGeom>
                  </pic:spPr>
                </pic:pic>
              </a:graphicData>
            </a:graphic>
          </wp:inline>
        </w:drawing>
      </w:r>
    </w:p>
    <w:p w14:paraId="2140B2AC" w14:textId="5F599FB1" w:rsidR="005B6E27" w:rsidRPr="001E7AA4" w:rsidRDefault="007332E7" w:rsidP="00C278D3">
      <w:pPr>
        <w:pStyle w:val="Source"/>
        <w:rPr>
          <w:rFonts w:ascii="Calibri" w:eastAsia="Times New Roman" w:hAnsi="Calibri" w:cs="Calibri"/>
          <w:color w:val="000000"/>
          <w:szCs w:val="18"/>
          <w:lang w:eastAsia="en-AU"/>
        </w:rPr>
      </w:pPr>
      <w:r w:rsidRPr="004A78B4">
        <w:t xml:space="preserve">Source: </w:t>
      </w:r>
      <w:r w:rsidR="005B6E27" w:rsidRPr="004A78B4">
        <w:t xml:space="preserve">Department of Education, </w:t>
      </w:r>
      <w:hyperlink r:id="rId71" w:anchor="toc-international-student-data-full-year-data-based-on-data-finalised-in-december-2022-" w:history="1">
        <w:r w:rsidR="005B6E27" w:rsidRPr="00DD595B">
          <w:rPr>
            <w:rStyle w:val="Hyperlink"/>
            <w:i/>
            <w:iCs/>
            <w:color w:val="7030A0"/>
            <w:szCs w:val="18"/>
          </w:rPr>
          <w:t>Year to date international student higher education enrolments</w:t>
        </w:r>
      </w:hyperlink>
      <w:r w:rsidR="005B6E27" w:rsidRPr="004A78B4">
        <w:t xml:space="preserve"> [data set], 2014-2022, accessed 10 June 2023.</w:t>
      </w:r>
    </w:p>
    <w:p w14:paraId="69DAF174" w14:textId="5B2C1812" w:rsidR="007332E7" w:rsidRPr="001E7AA4" w:rsidRDefault="007332E7" w:rsidP="007332E7">
      <w:pPr>
        <w:rPr>
          <w:rStyle w:val="normaltextrun"/>
          <w:rFonts w:ascii="Calibri" w:hAnsi="Calibri" w:cs="Calibri"/>
          <w:color w:val="000000" w:themeColor="text1"/>
        </w:rPr>
      </w:pPr>
      <w:r w:rsidRPr="001E7AA4">
        <w:rPr>
          <w:rStyle w:val="normaltextrun"/>
          <w:rFonts w:ascii="Calibri" w:hAnsi="Calibri" w:cs="Calibri"/>
          <w:color w:val="000000" w:themeColor="text1"/>
        </w:rPr>
        <w:t xml:space="preserve">This growth has been driven </w:t>
      </w:r>
      <w:r w:rsidR="00A63337" w:rsidRPr="001E7AA4">
        <w:rPr>
          <w:rStyle w:val="normaltextrun"/>
          <w:rFonts w:ascii="Calibri" w:hAnsi="Calibri" w:cs="Calibri"/>
          <w:color w:val="000000" w:themeColor="text1"/>
        </w:rPr>
        <w:t xml:space="preserve">in part </w:t>
      </w:r>
      <w:r w:rsidRPr="001E7AA4">
        <w:rPr>
          <w:rStyle w:val="normaltextrun"/>
          <w:rFonts w:ascii="Calibri" w:hAnsi="Calibri" w:cs="Calibri"/>
          <w:color w:val="000000" w:themeColor="text1"/>
        </w:rPr>
        <w:t>by higher education providers and has led to deep and rich partnerships with our regional neighbours, expanded opportunities for international students to access quality and trusted education, while supplying providers with a substantial independent revenue base.</w:t>
      </w:r>
    </w:p>
    <w:p w14:paraId="0F6DE229" w14:textId="392E7A28" w:rsidR="007332E7" w:rsidRPr="001E7AA4" w:rsidRDefault="007332E7" w:rsidP="007332E7">
      <w:pPr>
        <w:rPr>
          <w:rStyle w:val="normaltextrun"/>
          <w:rFonts w:ascii="Calibri" w:hAnsi="Calibri" w:cs="Calibri"/>
          <w:color w:val="000000" w:themeColor="text1"/>
        </w:rPr>
      </w:pPr>
      <w:r w:rsidRPr="001E7AA4">
        <w:rPr>
          <w:rStyle w:val="normaltextrun"/>
          <w:rFonts w:ascii="Calibri" w:hAnsi="Calibri" w:cs="Calibri"/>
          <w:color w:val="000000" w:themeColor="text1"/>
        </w:rPr>
        <w:t>Australian universities are also strong international research collaborators. In 2021, 60.5</w:t>
      </w:r>
      <w:r w:rsidRPr="001E7AA4" w:rsidDel="0002240E">
        <w:rPr>
          <w:rStyle w:val="normaltextrun"/>
          <w:rFonts w:ascii="Calibri" w:hAnsi="Calibri" w:cs="Calibri"/>
          <w:color w:val="000000" w:themeColor="text1"/>
        </w:rPr>
        <w:t>%</w:t>
      </w:r>
      <w:r w:rsidR="0002240E" w:rsidRPr="001E7AA4">
        <w:rPr>
          <w:rStyle w:val="normaltextrun"/>
          <w:rFonts w:ascii="Calibri" w:hAnsi="Calibri" w:cs="Calibri"/>
          <w:color w:val="000000" w:themeColor="text1"/>
        </w:rPr>
        <w:t xml:space="preserve"> </w:t>
      </w:r>
      <w:r w:rsidRPr="001E7AA4">
        <w:rPr>
          <w:rStyle w:val="normaltextrun"/>
          <w:rFonts w:ascii="Calibri" w:hAnsi="Calibri" w:cs="Calibri"/>
          <w:color w:val="000000" w:themeColor="text1"/>
        </w:rPr>
        <w:t>of all research publications with an Australian author included an international co-author. This was an increase from 42.6</w:t>
      </w:r>
      <w:r w:rsidRPr="001E7AA4" w:rsidDel="0002240E">
        <w:rPr>
          <w:rStyle w:val="normaltextrun"/>
          <w:rFonts w:ascii="Calibri" w:hAnsi="Calibri" w:cs="Calibri"/>
          <w:color w:val="000000" w:themeColor="text1"/>
        </w:rPr>
        <w:t>%</w:t>
      </w:r>
      <w:r w:rsidRPr="001E7AA4">
        <w:rPr>
          <w:rStyle w:val="normaltextrun"/>
          <w:rFonts w:ascii="Calibri" w:hAnsi="Calibri" w:cs="Calibri"/>
          <w:color w:val="000000" w:themeColor="text1"/>
        </w:rPr>
        <w:t xml:space="preserve"> in </w:t>
      </w:r>
      <w:r w:rsidR="000C4298" w:rsidRPr="001E7AA4">
        <w:rPr>
          <w:rStyle w:val="normaltextrun"/>
          <w:rFonts w:ascii="Calibri" w:hAnsi="Calibri" w:cs="Calibri"/>
          <w:color w:val="000000" w:themeColor="text1"/>
        </w:rPr>
        <w:t>2012 and</w:t>
      </w:r>
      <w:r w:rsidRPr="001E7AA4">
        <w:rPr>
          <w:rStyle w:val="normaltextrun"/>
          <w:rFonts w:ascii="Calibri" w:hAnsi="Calibri" w:cs="Calibri"/>
          <w:color w:val="000000" w:themeColor="text1"/>
        </w:rPr>
        <w:t xml:space="preserve"> </w:t>
      </w:r>
      <w:r w:rsidR="006F0F6B" w:rsidRPr="001E7AA4">
        <w:rPr>
          <w:rStyle w:val="normaltextrun"/>
          <w:rFonts w:ascii="Calibri" w:hAnsi="Calibri" w:cs="Calibri"/>
          <w:color w:val="000000" w:themeColor="text1"/>
        </w:rPr>
        <w:t>demonstrates</w:t>
      </w:r>
      <w:r w:rsidRPr="001E7AA4">
        <w:rPr>
          <w:rStyle w:val="normaltextrun"/>
          <w:rFonts w:ascii="Calibri" w:hAnsi="Calibri" w:cs="Calibri"/>
          <w:color w:val="000000" w:themeColor="text1"/>
        </w:rPr>
        <w:t xml:space="preserve"> significant progress </w:t>
      </w:r>
      <w:r w:rsidR="006F0F6B" w:rsidRPr="001E7AA4">
        <w:rPr>
          <w:rStyle w:val="normaltextrun"/>
          <w:rFonts w:ascii="Calibri" w:hAnsi="Calibri" w:cs="Calibri"/>
          <w:color w:val="000000" w:themeColor="text1"/>
        </w:rPr>
        <w:t xml:space="preserve">over </w:t>
      </w:r>
      <w:r w:rsidRPr="001E7AA4">
        <w:rPr>
          <w:rStyle w:val="normaltextrun"/>
          <w:rFonts w:ascii="Calibri" w:hAnsi="Calibri" w:cs="Calibri"/>
          <w:color w:val="000000" w:themeColor="text1"/>
        </w:rPr>
        <w:t>the last decade.</w:t>
      </w:r>
      <w:r w:rsidRPr="001E7AA4">
        <w:rPr>
          <w:rStyle w:val="FootnoteReference"/>
          <w:rFonts w:ascii="Calibri" w:hAnsi="Calibri" w:cs="Calibri"/>
          <w:color w:val="000000" w:themeColor="text1"/>
        </w:rPr>
        <w:footnoteReference w:id="105"/>
      </w:r>
      <w:r w:rsidRPr="001E7AA4">
        <w:rPr>
          <w:rStyle w:val="normaltextrun"/>
          <w:rFonts w:ascii="Calibri" w:hAnsi="Calibri" w:cs="Calibri"/>
          <w:color w:val="000000" w:themeColor="text1"/>
        </w:rPr>
        <w:t xml:space="preserve"> Not only does international research collaboration deepen Australia’s engagement and influence on the global stage, helping us work with partners overseas to meet common goals, it also means Australia has access to cutting-edge global research and discoveries. </w:t>
      </w:r>
    </w:p>
    <w:p w14:paraId="0589EB68" w14:textId="5D637145" w:rsidR="007332E7" w:rsidRPr="004C673F" w:rsidRDefault="007332E7" w:rsidP="004C673F">
      <w:pPr>
        <w:pStyle w:val="Heading6"/>
      </w:pPr>
      <w:bookmarkStart w:id="225" w:name="_Toc136259208"/>
      <w:r w:rsidRPr="004C673F">
        <w:t>2.5.1.1 Ensuring a world class student experience</w:t>
      </w:r>
    </w:p>
    <w:p w14:paraId="56525FF4" w14:textId="288DE1BB" w:rsidR="0025467D" w:rsidRPr="0025467D" w:rsidRDefault="0025467D" w:rsidP="0025467D">
      <w:pPr>
        <w:pStyle w:val="Quote"/>
      </w:pPr>
      <w:r w:rsidRPr="0025467D">
        <w:t xml:space="preserve">"We also see the Accord as a process to communicate to audiences at home and abroad the excellence of our university system. This includes welcoming  international students for the many benefits they bring to Australian society and culture." </w:t>
      </w:r>
      <w:r w:rsidR="00E61ECB">
        <w:br/>
      </w:r>
      <w:r w:rsidRPr="0025467D">
        <w:t>- University Chancellors Council</w:t>
      </w:r>
    </w:p>
    <w:p w14:paraId="1718A437" w14:textId="34590645" w:rsidR="007332E7" w:rsidRPr="001E7AA4" w:rsidRDefault="007332E7" w:rsidP="007332E7">
      <w:pPr>
        <w:rPr>
          <w:rStyle w:val="normaltextrun"/>
          <w:rFonts w:ascii="Calibri" w:hAnsi="Calibri" w:cs="Calibri"/>
          <w:color w:val="000000"/>
        </w:rPr>
      </w:pPr>
      <w:r w:rsidRPr="001E7AA4">
        <w:rPr>
          <w:rStyle w:val="normaltextrun"/>
          <w:rFonts w:ascii="Calibri" w:hAnsi="Calibri" w:cs="Calibri"/>
          <w:color w:val="000000" w:themeColor="text1"/>
        </w:rPr>
        <w:t xml:space="preserve">The presence of international students in our universities should enrich the educational experience of all students. A high-quality Australian education benefits our global community and international students return home as powerful champions for Australia. International students who stay in </w:t>
      </w:r>
      <w:r w:rsidRPr="001E7AA4">
        <w:rPr>
          <w:rStyle w:val="normaltextrun"/>
          <w:rFonts w:ascii="Calibri" w:hAnsi="Calibri" w:cs="Calibri"/>
          <w:color w:val="000000" w:themeColor="text1"/>
        </w:rPr>
        <w:lastRenderedPageBreak/>
        <w:t>Australia to pursue work opportunities help alleviate national skills shortages and make an ongoing contribution to Australia’s communities and way of life.</w:t>
      </w:r>
    </w:p>
    <w:p w14:paraId="276084A2" w14:textId="63465076" w:rsidR="007332E7" w:rsidRPr="001E7AA4" w:rsidRDefault="58AB13B6" w:rsidP="007332E7">
      <w:pPr>
        <w:rPr>
          <w:rStyle w:val="normaltextrun"/>
          <w:rFonts w:ascii="Calibri" w:hAnsi="Calibri" w:cs="Calibri"/>
          <w:color w:val="000000"/>
        </w:rPr>
      </w:pPr>
      <w:r w:rsidRPr="001E7AA4">
        <w:rPr>
          <w:rStyle w:val="normaltextrun"/>
          <w:rFonts w:ascii="Calibri" w:hAnsi="Calibri" w:cs="Calibri"/>
          <w:color w:val="000000" w:themeColor="text1"/>
        </w:rPr>
        <w:t>The Review is considering how Australia</w:t>
      </w:r>
      <w:r w:rsidR="007332E7" w:rsidRPr="001E7AA4">
        <w:rPr>
          <w:rStyle w:val="normaltextrun"/>
          <w:rFonts w:ascii="Calibri" w:hAnsi="Calibri" w:cs="Calibri"/>
          <w:color w:val="000000" w:themeColor="text1"/>
        </w:rPr>
        <w:t xml:space="preserve"> can improve student experience, or risk undermining its foothold as a destination of choice. Doing what has always been done will no longer meet student needs, noting the international education market is increasingly competitive. Other countries are investing heavily in developing their own universities and research capacity, including offering bespoke student experiences.</w:t>
      </w:r>
    </w:p>
    <w:p w14:paraId="3CCD0C99" w14:textId="7BC11ADB" w:rsidR="007332E7" w:rsidRPr="001E7AA4" w:rsidRDefault="007332E7" w:rsidP="007332E7">
      <w:pPr>
        <w:rPr>
          <w:rStyle w:val="normaltextrun"/>
          <w:rFonts w:ascii="Calibri" w:hAnsi="Calibri" w:cs="Calibri"/>
          <w:color w:val="000000"/>
        </w:rPr>
      </w:pPr>
      <w:r w:rsidRPr="001E7AA4">
        <w:rPr>
          <w:rStyle w:val="normaltextrun"/>
          <w:rFonts w:ascii="Calibri" w:hAnsi="Calibri" w:cs="Calibri"/>
          <w:color w:val="000000" w:themeColor="text1"/>
        </w:rPr>
        <w:t xml:space="preserve">Australia’s higher education system is incentivised to maximise the intake of international students and produce large student cohorts. This can be detrimental to the student experience for both international and domestic students, with large class sizes potentially diminishing students’ ability to connect with their peers and make lasting relationships throughout their studies. This is exacerbated when there is a lack of diversity within classes, leading to cohorts of international students feeling further isolated. </w:t>
      </w:r>
      <w:r w:rsidR="00270AF7" w:rsidRPr="001E7AA4">
        <w:rPr>
          <w:rStyle w:val="normaltextrun"/>
          <w:rFonts w:ascii="Calibri" w:hAnsi="Calibri" w:cs="Calibri"/>
          <w:color w:val="000000" w:themeColor="text1"/>
        </w:rPr>
        <w:t>Greater</w:t>
      </w:r>
      <w:r w:rsidR="00022AE4" w:rsidRPr="001E7AA4">
        <w:rPr>
          <w:rStyle w:val="normaltextrun"/>
          <w:rFonts w:ascii="Calibri" w:hAnsi="Calibri" w:cs="Calibri"/>
          <w:color w:val="000000" w:themeColor="text1"/>
        </w:rPr>
        <w:t xml:space="preserve"> professional development </w:t>
      </w:r>
      <w:r w:rsidR="00846A9F" w:rsidRPr="001E7AA4">
        <w:rPr>
          <w:rStyle w:val="normaltextrun"/>
          <w:rFonts w:ascii="Calibri" w:hAnsi="Calibri" w:cs="Calibri"/>
          <w:color w:val="000000" w:themeColor="text1"/>
        </w:rPr>
        <w:t>of staff</w:t>
      </w:r>
      <w:r w:rsidR="00022AE4" w:rsidRPr="001E7AA4">
        <w:rPr>
          <w:rStyle w:val="normaltextrun"/>
          <w:rFonts w:ascii="Calibri" w:hAnsi="Calibri" w:cs="Calibri"/>
          <w:color w:val="000000" w:themeColor="text1"/>
        </w:rPr>
        <w:t>, including cross-cultural competenc</w:t>
      </w:r>
      <w:r w:rsidR="0012179B" w:rsidRPr="001E7AA4">
        <w:rPr>
          <w:rStyle w:val="normaltextrun"/>
          <w:rFonts w:ascii="Calibri" w:hAnsi="Calibri" w:cs="Calibri"/>
          <w:color w:val="000000" w:themeColor="text1"/>
        </w:rPr>
        <w:t>y</w:t>
      </w:r>
      <w:r w:rsidR="00022AE4" w:rsidRPr="001E7AA4">
        <w:rPr>
          <w:rStyle w:val="normaltextrun"/>
          <w:rFonts w:ascii="Calibri" w:hAnsi="Calibri" w:cs="Calibri"/>
          <w:color w:val="000000" w:themeColor="text1"/>
        </w:rPr>
        <w:t xml:space="preserve"> in teaching and learning, is also relevant.</w:t>
      </w:r>
    </w:p>
    <w:p w14:paraId="216929F1" w14:textId="03C6CA14" w:rsidR="007332E7" w:rsidRPr="001E7AA4" w:rsidRDefault="007332E7" w:rsidP="007332E7">
      <w:pPr>
        <w:rPr>
          <w:rStyle w:val="normaltextrun"/>
          <w:rFonts w:ascii="Calibri" w:hAnsi="Calibri" w:cs="Calibri"/>
          <w:color w:val="000000"/>
        </w:rPr>
      </w:pPr>
      <w:r w:rsidRPr="001E7AA4">
        <w:rPr>
          <w:rStyle w:val="normaltextrun"/>
          <w:rFonts w:ascii="Calibri" w:hAnsi="Calibri" w:cs="Calibri"/>
          <w:color w:val="000000" w:themeColor="text1"/>
        </w:rPr>
        <w:t xml:space="preserve">If the growth of international student numbers is not sustainable, it can make these issues worse. While the sector is concerned with the sustainability of this growth, it has advised that funding stress in the higher education sector is a strong motivator for continued growth in </w:t>
      </w:r>
      <w:r w:rsidR="00877F2D" w:rsidRPr="001E7AA4">
        <w:rPr>
          <w:rStyle w:val="normaltextrun"/>
          <w:rFonts w:ascii="Calibri" w:hAnsi="Calibri" w:cs="Calibri"/>
          <w:color w:val="000000" w:themeColor="text1"/>
        </w:rPr>
        <w:t>the number of</w:t>
      </w:r>
      <w:r w:rsidRPr="001E7AA4">
        <w:rPr>
          <w:rStyle w:val="normaltextrun"/>
          <w:rFonts w:ascii="Calibri" w:hAnsi="Calibri" w:cs="Calibri"/>
          <w:color w:val="000000" w:themeColor="text1"/>
        </w:rPr>
        <w:t xml:space="preserve"> international students. </w:t>
      </w:r>
    </w:p>
    <w:p w14:paraId="1AC5DB73" w14:textId="3A303513" w:rsidR="00D528D7" w:rsidRPr="001E7AA4" w:rsidRDefault="00D528D7" w:rsidP="00D528D7">
      <w:pPr>
        <w:rPr>
          <w:rStyle w:val="normaltextrun"/>
          <w:rFonts w:ascii="Calibri" w:hAnsi="Calibri" w:cs="Calibri"/>
          <w:color w:val="000000" w:themeColor="text1"/>
        </w:rPr>
      </w:pPr>
      <w:r w:rsidRPr="001E7AA4">
        <w:rPr>
          <w:rStyle w:val="normaltextrun"/>
          <w:rFonts w:ascii="Calibri" w:hAnsi="Calibri" w:cs="Calibri"/>
          <w:color w:val="000000" w:themeColor="text1"/>
        </w:rPr>
        <w:t xml:space="preserve">Higher education institutions also need to consider community perceptions of large international cohorts. This includes </w:t>
      </w:r>
      <w:r w:rsidR="0FD4BFB4" w:rsidRPr="001E7AA4">
        <w:rPr>
          <w:rStyle w:val="normaltextrun"/>
          <w:rFonts w:ascii="Calibri" w:hAnsi="Calibri" w:cs="Calibri"/>
          <w:color w:val="000000" w:themeColor="text1"/>
        </w:rPr>
        <w:t>explorin</w:t>
      </w:r>
      <w:r w:rsidR="76DA8297" w:rsidRPr="001E7AA4">
        <w:rPr>
          <w:rStyle w:val="normaltextrun"/>
          <w:rFonts w:ascii="Calibri" w:hAnsi="Calibri" w:cs="Calibri"/>
          <w:color w:val="000000" w:themeColor="text1"/>
        </w:rPr>
        <w:t>g</w:t>
      </w:r>
      <w:r w:rsidRPr="001E7AA4">
        <w:rPr>
          <w:rStyle w:val="normaltextrun"/>
          <w:rFonts w:ascii="Calibri" w:hAnsi="Calibri" w:cs="Calibri"/>
          <w:color w:val="000000" w:themeColor="text1"/>
        </w:rPr>
        <w:t xml:space="preserve"> greater engagement with community services, such as accommodation and social support, to better integrate international students into their local communities, help improve the student experience and support an educationally sustainable increase in the international student intake.</w:t>
      </w:r>
    </w:p>
    <w:p w14:paraId="340A1529" w14:textId="023BF32D" w:rsidR="007332E7" w:rsidRPr="001E7AA4" w:rsidRDefault="007332E7" w:rsidP="007332E7">
      <w:pPr>
        <w:rPr>
          <w:rFonts w:ascii="Segoe UI" w:hAnsi="Segoe UI" w:cs="Segoe UI"/>
        </w:rPr>
      </w:pPr>
      <w:r w:rsidRPr="001E7AA4">
        <w:rPr>
          <w:rStyle w:val="normaltextrun"/>
          <w:rFonts w:ascii="Calibri" w:hAnsi="Calibri" w:cs="Calibri"/>
        </w:rPr>
        <w:t>The Review has heard concerns from a number of stakeholders about low levels of English language proficiency (ELP) among some international students, consistent with observations in the</w:t>
      </w:r>
      <w:r w:rsidR="00D528D7" w:rsidRPr="001E7AA4">
        <w:rPr>
          <w:rStyle w:val="normaltextrun"/>
          <w:rFonts w:ascii="Calibri" w:hAnsi="Calibri" w:cs="Calibri"/>
        </w:rPr>
        <w:t xml:space="preserve"> </w:t>
      </w:r>
      <w:r w:rsidRPr="001E7AA4">
        <w:rPr>
          <w:rStyle w:val="normaltextrun"/>
          <w:rFonts w:ascii="Calibri" w:hAnsi="Calibri" w:cs="Calibri"/>
        </w:rPr>
        <w:t xml:space="preserve">Australian Migration Review </w:t>
      </w:r>
      <w:r w:rsidR="00877F2D" w:rsidRPr="001E7AA4">
        <w:rPr>
          <w:rStyle w:val="normaltextrun"/>
          <w:rFonts w:ascii="Calibri" w:hAnsi="Calibri" w:cs="Calibri"/>
        </w:rPr>
        <w:t>which</w:t>
      </w:r>
      <w:r w:rsidRPr="001E7AA4">
        <w:rPr>
          <w:rStyle w:val="normaltextrun"/>
          <w:rFonts w:ascii="Calibri" w:hAnsi="Calibri" w:cs="Calibri"/>
        </w:rPr>
        <w:t xml:space="preserve"> found students need the language skills </w:t>
      </w:r>
      <w:r w:rsidR="00877F2D" w:rsidRPr="001E7AA4">
        <w:rPr>
          <w:rStyle w:val="normaltextrun"/>
          <w:rFonts w:ascii="Calibri" w:hAnsi="Calibri" w:cs="Calibri"/>
        </w:rPr>
        <w:t xml:space="preserve">that are </w:t>
      </w:r>
      <w:r w:rsidRPr="001E7AA4">
        <w:rPr>
          <w:rStyle w:val="normaltextrun"/>
          <w:rFonts w:ascii="Calibri" w:hAnsi="Calibri" w:cs="Calibri"/>
        </w:rPr>
        <w:t>necessary to actively participate in the classroom and community, and to achieve successful career outcomes</w:t>
      </w:r>
      <w:r w:rsidR="00222B41" w:rsidRPr="001E7AA4">
        <w:rPr>
          <w:rStyle w:val="normaltextrun"/>
          <w:rFonts w:ascii="Calibri" w:hAnsi="Calibri" w:cs="Calibri"/>
        </w:rPr>
        <w:t>.</w:t>
      </w:r>
      <w:r w:rsidR="00D528D7" w:rsidRPr="001E7AA4">
        <w:rPr>
          <w:rStyle w:val="FootnoteReference"/>
          <w:rFonts w:ascii="Calibri" w:hAnsi="Calibri" w:cs="Calibri"/>
        </w:rPr>
        <w:footnoteReference w:id="106"/>
      </w:r>
    </w:p>
    <w:p w14:paraId="19BC66A7" w14:textId="266B2E0A" w:rsidR="00D528D7" w:rsidRPr="001E7AA4" w:rsidRDefault="00D528D7" w:rsidP="00D528D7">
      <w:pPr>
        <w:rPr>
          <w:rFonts w:ascii="Segoe UI" w:hAnsi="Segoe UI" w:cs="Segoe UI"/>
        </w:rPr>
      </w:pPr>
      <w:r w:rsidRPr="001E7AA4">
        <w:rPr>
          <w:rStyle w:val="normaltextrun"/>
          <w:rFonts w:ascii="Calibri" w:hAnsi="Calibri" w:cs="Calibri"/>
        </w:rPr>
        <w:t xml:space="preserve">Improvements to language testing and admissions benchmarks could be considered to protect high-quality education experiences for all students and Australia’s education </w:t>
      </w:r>
      <w:r w:rsidR="008364B9" w:rsidRPr="001E7AA4">
        <w:rPr>
          <w:rStyle w:val="normaltextrun"/>
          <w:rFonts w:ascii="Calibri" w:hAnsi="Calibri" w:cs="Calibri"/>
        </w:rPr>
        <w:t>reputation and</w:t>
      </w:r>
      <w:r w:rsidRPr="001E7AA4">
        <w:rPr>
          <w:rStyle w:val="normaltextrun"/>
          <w:rFonts w:ascii="Calibri" w:hAnsi="Calibri" w:cs="Calibri"/>
        </w:rPr>
        <w:t xml:space="preserve"> provide adequate</w:t>
      </w:r>
      <w:r w:rsidR="00B626FE" w:rsidRPr="001E7AA4">
        <w:rPr>
          <w:rStyle w:val="normaltextrun"/>
          <w:rFonts w:ascii="Calibri" w:hAnsi="Calibri" w:cs="Calibri"/>
        </w:rPr>
        <w:t>ly</w:t>
      </w:r>
      <w:r w:rsidRPr="001E7AA4">
        <w:rPr>
          <w:rStyle w:val="normaltextrun"/>
          <w:rFonts w:ascii="Calibri" w:hAnsi="Calibri" w:cs="Calibri"/>
        </w:rPr>
        <w:t xml:space="preserve"> tailored support where required. </w:t>
      </w:r>
    </w:p>
    <w:p w14:paraId="2708A23C" w14:textId="7098BAD0" w:rsidR="007332E7" w:rsidRPr="004C673F" w:rsidRDefault="007332E7" w:rsidP="004C673F">
      <w:pPr>
        <w:pStyle w:val="Heading6"/>
      </w:pPr>
      <w:r w:rsidRPr="004C673F">
        <w:t>2.5.1.2 Expanding to new international student markets</w:t>
      </w:r>
      <w:bookmarkEnd w:id="225"/>
    </w:p>
    <w:p w14:paraId="32576C05" w14:textId="17893693" w:rsidR="007332E7" w:rsidRPr="001E7AA4" w:rsidRDefault="007332E7" w:rsidP="007332E7">
      <w:pPr>
        <w:rPr>
          <w:rStyle w:val="normaltextrun"/>
        </w:rPr>
      </w:pPr>
      <w:r w:rsidRPr="001E7AA4">
        <w:rPr>
          <w:rStyle w:val="normaltextrun"/>
          <w:rFonts w:ascii="Calibri" w:hAnsi="Calibri" w:cs="Calibri"/>
          <w:color w:val="000000" w:themeColor="text1"/>
        </w:rPr>
        <w:t xml:space="preserve">Market analysis from </w:t>
      </w:r>
      <w:r w:rsidRPr="001E7AA4">
        <w:t>Navitas indicates</w:t>
      </w:r>
      <w:r w:rsidRPr="001E7AA4">
        <w:rPr>
          <w:rStyle w:val="normaltextrun"/>
          <w:rFonts w:ascii="Calibri" w:hAnsi="Calibri" w:cs="Calibri"/>
          <w:color w:val="000000" w:themeColor="text1"/>
        </w:rPr>
        <w:t xml:space="preserve"> Australia’s attractiveness as a study destination </w:t>
      </w:r>
      <w:r w:rsidR="00A82357" w:rsidRPr="001E7AA4">
        <w:rPr>
          <w:rStyle w:val="normaltextrun"/>
          <w:rFonts w:ascii="Calibri" w:hAnsi="Calibri" w:cs="Calibri"/>
          <w:color w:val="000000" w:themeColor="text1"/>
        </w:rPr>
        <w:t xml:space="preserve">is </w:t>
      </w:r>
      <w:r w:rsidRPr="001E7AA4">
        <w:rPr>
          <w:rStyle w:val="normaltextrun"/>
          <w:rFonts w:ascii="Calibri" w:hAnsi="Calibri" w:cs="Calibri"/>
          <w:color w:val="000000" w:themeColor="text1"/>
        </w:rPr>
        <w:t>behind the U</w:t>
      </w:r>
      <w:r w:rsidR="00C110F1" w:rsidRPr="001E7AA4">
        <w:rPr>
          <w:rStyle w:val="normaltextrun"/>
          <w:rFonts w:ascii="Calibri" w:hAnsi="Calibri" w:cs="Calibri"/>
          <w:color w:val="000000" w:themeColor="text1"/>
        </w:rPr>
        <w:t xml:space="preserve">nited Kingdom </w:t>
      </w:r>
      <w:r w:rsidRPr="001E7AA4">
        <w:rPr>
          <w:rStyle w:val="normaltextrun"/>
          <w:rFonts w:ascii="Calibri" w:hAnsi="Calibri" w:cs="Calibri"/>
          <w:color w:val="000000" w:themeColor="text1"/>
        </w:rPr>
        <w:t>and Canada.</w:t>
      </w:r>
      <w:r w:rsidR="006C2E87" w:rsidRPr="001E7AA4">
        <w:rPr>
          <w:rStyle w:val="normaltextrun"/>
          <w:rFonts w:ascii="Calibri" w:hAnsi="Calibri" w:cs="Calibri"/>
          <w:color w:val="000000" w:themeColor="text1"/>
        </w:rPr>
        <w:t xml:space="preserve"> </w:t>
      </w:r>
      <w:r w:rsidRPr="001E7AA4">
        <w:rPr>
          <w:rStyle w:val="normaltextrun"/>
          <w:rFonts w:ascii="Calibri" w:hAnsi="Calibri" w:cs="Calibri"/>
          <w:color w:val="000000" w:themeColor="text1"/>
        </w:rPr>
        <w:t xml:space="preserve">There is increasing competition from </w:t>
      </w:r>
      <w:r w:rsidR="0087311B" w:rsidRPr="001E7AA4">
        <w:rPr>
          <w:rStyle w:val="normaltextrun"/>
          <w:rFonts w:ascii="Calibri" w:hAnsi="Calibri" w:cs="Calibri"/>
          <w:color w:val="000000" w:themeColor="text1"/>
        </w:rPr>
        <w:t xml:space="preserve">universities in our region </w:t>
      </w:r>
      <w:r w:rsidRPr="001E7AA4">
        <w:rPr>
          <w:rStyle w:val="normaltextrun"/>
          <w:rFonts w:ascii="Calibri" w:hAnsi="Calibri" w:cs="Calibri"/>
          <w:color w:val="000000" w:themeColor="text1"/>
        </w:rPr>
        <w:t>that are closer and less costly</w:t>
      </w:r>
      <w:r w:rsidR="0087311B" w:rsidRPr="001E7AA4">
        <w:rPr>
          <w:rStyle w:val="normaltextrun"/>
          <w:rFonts w:ascii="Calibri" w:hAnsi="Calibri" w:cs="Calibri"/>
          <w:color w:val="000000" w:themeColor="text1"/>
        </w:rPr>
        <w:t>, wh</w:t>
      </w:r>
      <w:r w:rsidR="002370F4" w:rsidRPr="001E7AA4">
        <w:rPr>
          <w:rStyle w:val="normaltextrun"/>
          <w:rFonts w:ascii="Calibri" w:hAnsi="Calibri" w:cs="Calibri"/>
          <w:color w:val="000000" w:themeColor="text1"/>
        </w:rPr>
        <w:t xml:space="preserve">ich </w:t>
      </w:r>
      <w:r w:rsidR="0087311B" w:rsidRPr="001E7AA4">
        <w:rPr>
          <w:rStyle w:val="normaltextrun"/>
          <w:rFonts w:ascii="Calibri" w:hAnsi="Calibri" w:cs="Calibri"/>
          <w:color w:val="000000" w:themeColor="text1"/>
        </w:rPr>
        <w:t xml:space="preserve">have ambition to attract international students by offering a high-quality education in an English language environment. </w:t>
      </w:r>
      <w:r w:rsidRPr="001E7AA4">
        <w:rPr>
          <w:rStyle w:val="normaltextrun"/>
          <w:rFonts w:ascii="Calibri" w:hAnsi="Calibri" w:cs="Calibri"/>
          <w:color w:val="000000" w:themeColor="text1"/>
        </w:rPr>
        <w:t>To achieve sustainable international education growth and protect Australia’s future interests, Australian providers need to diversify their source markets and modes of delivery while upholding a quality education and positive student experience.</w:t>
      </w:r>
    </w:p>
    <w:p w14:paraId="5ED7DBF3" w14:textId="66197B0E" w:rsidR="007332E7" w:rsidRPr="004C673F" w:rsidRDefault="00284BA5" w:rsidP="004C673F">
      <w:pPr>
        <w:pStyle w:val="Quote"/>
      </w:pPr>
      <w:r w:rsidRPr="004C673F">
        <w:t>“</w:t>
      </w:r>
      <w:r w:rsidR="007332E7" w:rsidRPr="004C673F">
        <w:t xml:space="preserve">Policy changes, changes in macro-economic circumstances or negative sentiment towards international students can also result in significant redirection </w:t>
      </w:r>
      <w:r w:rsidR="007332E7" w:rsidRPr="004C673F">
        <w:lastRenderedPageBreak/>
        <w:t>of student choice away from particular source countries and towards others. It is therefore important Australia actively manages its reputation and competitive position</w:t>
      </w:r>
      <w:r w:rsidR="002C57F7" w:rsidRPr="004C673F">
        <w:t>.</w:t>
      </w:r>
      <w:r w:rsidRPr="004C673F">
        <w:t>”</w:t>
      </w:r>
      <w:r w:rsidR="007332E7" w:rsidRPr="004C673F">
        <w:t xml:space="preserve"> </w:t>
      </w:r>
      <w:r w:rsidR="00E61ECB" w:rsidRPr="004C673F">
        <w:br/>
      </w:r>
      <w:r w:rsidR="007332E7" w:rsidRPr="004C673F">
        <w:t xml:space="preserve">– Navitas </w:t>
      </w:r>
    </w:p>
    <w:p w14:paraId="0BAD7895" w14:textId="32DE806F" w:rsidR="0087311B" w:rsidRPr="001E7AA4" w:rsidRDefault="00FD397E" w:rsidP="0087311B">
      <w:pPr>
        <w:rPr>
          <w:rStyle w:val="normaltextrun"/>
          <w:rFonts w:ascii="Calibri" w:hAnsi="Calibri" w:cs="Calibri"/>
          <w:color w:val="000000"/>
        </w:rPr>
      </w:pPr>
      <w:r w:rsidRPr="001E7AA4">
        <w:rPr>
          <w:rStyle w:val="normaltextrun"/>
          <w:rFonts w:ascii="Calibri" w:hAnsi="Calibri" w:cs="Calibri"/>
          <w:color w:val="000000" w:themeColor="text1"/>
        </w:rPr>
        <w:t>Diversifying</w:t>
      </w:r>
      <w:r w:rsidR="63A3DBDC" w:rsidRPr="001E7AA4">
        <w:rPr>
          <w:rStyle w:val="normaltextrun"/>
          <w:rFonts w:ascii="Calibri" w:hAnsi="Calibri" w:cs="Calibri"/>
          <w:color w:val="000000" w:themeColor="text1"/>
        </w:rPr>
        <w:t xml:space="preserve"> new international student cohorts requires institutions to continue to innovate and develop their online and transnational education offerings (notably offshore education). This presents an opportunity to access different cohorts of students in new and existing markets from a wider range of locations and demographics through innovative delivery models. This will allow for a more robust and resilient higher education sector by mitigating the risks of overreliance on a small number of student markets. Providers’ abilit</w:t>
      </w:r>
      <w:r w:rsidR="005D7F95" w:rsidRPr="001E7AA4">
        <w:rPr>
          <w:rStyle w:val="normaltextrun"/>
          <w:rFonts w:ascii="Calibri" w:hAnsi="Calibri" w:cs="Calibri"/>
          <w:color w:val="000000" w:themeColor="text1"/>
        </w:rPr>
        <w:t>y</w:t>
      </w:r>
      <w:r w:rsidR="63A3DBDC" w:rsidRPr="001E7AA4">
        <w:rPr>
          <w:rStyle w:val="normaltextrun"/>
          <w:rFonts w:ascii="Calibri" w:hAnsi="Calibri" w:cs="Calibri"/>
          <w:color w:val="000000" w:themeColor="text1"/>
        </w:rPr>
        <w:t xml:space="preserve"> to deliver international education must be underpinned by the ability to deliver a high-quality education and student experience, rather than growth to achieve revenue gains.  </w:t>
      </w:r>
    </w:p>
    <w:p w14:paraId="057B149A" w14:textId="1CF1ECA8" w:rsidR="007332E7" w:rsidRPr="004D7CCB" w:rsidRDefault="396F51D7" w:rsidP="004D7CCB">
      <w:pPr>
        <w:pStyle w:val="Heading5"/>
      </w:pPr>
      <w:bookmarkStart w:id="226" w:name="_Toc137829565"/>
      <w:bookmarkStart w:id="227" w:name="_Toc91533632"/>
      <w:bookmarkStart w:id="228" w:name="_Toc139028897"/>
      <w:r w:rsidRPr="004D7CCB">
        <w:t xml:space="preserve">2.5.2 Optimising </w:t>
      </w:r>
      <w:r w:rsidR="782E3900" w:rsidRPr="004D7CCB">
        <w:t xml:space="preserve">use of </w:t>
      </w:r>
      <w:r w:rsidRPr="004D7CCB">
        <w:t>Australian research expertise</w:t>
      </w:r>
      <w:bookmarkEnd w:id="226"/>
      <w:bookmarkEnd w:id="227"/>
      <w:bookmarkEnd w:id="228"/>
    </w:p>
    <w:p w14:paraId="5DD1F8EA" w14:textId="17DCFBB8" w:rsidR="007332E7" w:rsidRPr="001E7AA4" w:rsidRDefault="007332E7" w:rsidP="007332E7">
      <w:pPr>
        <w:rPr>
          <w:rStyle w:val="normaltextrun"/>
          <w:rFonts w:ascii="Segoe UI" w:hAnsi="Segoe UI" w:cs="Segoe UI"/>
          <w:sz w:val="18"/>
          <w:szCs w:val="18"/>
        </w:rPr>
      </w:pPr>
      <w:r w:rsidRPr="001E7AA4">
        <w:rPr>
          <w:rStyle w:val="normaltextrun"/>
          <w:rFonts w:ascii="Calibri" w:hAnsi="Calibri" w:cs="Calibri"/>
          <w:color w:val="000000" w:themeColor="text1"/>
        </w:rPr>
        <w:t>While, as noted above, Australian researchers over the last decade have significantly increased their international research collaboration, this success in collaborative publications has not led to significant research funding from international sources. OECD data show</w:t>
      </w:r>
      <w:r w:rsidR="00D70A80" w:rsidRPr="001E7AA4">
        <w:rPr>
          <w:rStyle w:val="normaltextrun"/>
          <w:rFonts w:ascii="Calibri" w:hAnsi="Calibri" w:cs="Calibri"/>
          <w:color w:val="000000" w:themeColor="text1"/>
        </w:rPr>
        <w:t>s</w:t>
      </w:r>
      <w:r w:rsidRPr="001E7AA4">
        <w:rPr>
          <w:rStyle w:val="normaltextrun"/>
          <w:rFonts w:ascii="Calibri" w:hAnsi="Calibri" w:cs="Calibri"/>
          <w:color w:val="000000" w:themeColor="text1"/>
        </w:rPr>
        <w:t xml:space="preserve"> that, based on international comparisons, Australia sourced only 3.5</w:t>
      </w:r>
      <w:r w:rsidRPr="001E7AA4" w:rsidDel="0002240E">
        <w:rPr>
          <w:rStyle w:val="normaltextrun"/>
          <w:rFonts w:ascii="Calibri" w:hAnsi="Calibri" w:cs="Calibri"/>
          <w:color w:val="000000" w:themeColor="text1"/>
        </w:rPr>
        <w:t>%</w:t>
      </w:r>
      <w:r w:rsidR="0002240E" w:rsidRPr="001E7AA4">
        <w:rPr>
          <w:rStyle w:val="normaltextrun"/>
          <w:rFonts w:ascii="Calibri" w:hAnsi="Calibri" w:cs="Calibri"/>
          <w:color w:val="000000" w:themeColor="text1"/>
        </w:rPr>
        <w:t xml:space="preserve"> </w:t>
      </w:r>
      <w:r w:rsidRPr="001E7AA4">
        <w:rPr>
          <w:rStyle w:val="normaltextrun"/>
          <w:rFonts w:ascii="Calibri" w:hAnsi="Calibri" w:cs="Calibri"/>
          <w:color w:val="000000" w:themeColor="text1"/>
        </w:rPr>
        <w:t xml:space="preserve">of </w:t>
      </w:r>
      <w:r w:rsidR="009748FD" w:rsidRPr="001E7AA4">
        <w:rPr>
          <w:rStyle w:val="normaltextrun"/>
          <w:rFonts w:ascii="Calibri" w:hAnsi="Calibri" w:cs="Calibri"/>
          <w:color w:val="000000" w:themeColor="text1"/>
        </w:rPr>
        <w:t>its</w:t>
      </w:r>
      <w:r w:rsidR="007278CC" w:rsidRPr="001E7AA4">
        <w:rPr>
          <w:rStyle w:val="normaltextrun"/>
          <w:rFonts w:ascii="Calibri" w:hAnsi="Calibri" w:cs="Calibri"/>
          <w:color w:val="000000" w:themeColor="text1"/>
        </w:rPr>
        <w:t xml:space="preserve"> </w:t>
      </w:r>
      <w:r w:rsidR="000C4CDB" w:rsidRPr="001E7AA4">
        <w:rPr>
          <w:rStyle w:val="normaltextrun"/>
          <w:rFonts w:ascii="Calibri" w:hAnsi="Calibri" w:cs="Calibri"/>
          <w:color w:val="000000" w:themeColor="text1"/>
        </w:rPr>
        <w:t xml:space="preserve">higher education </w:t>
      </w:r>
      <w:r w:rsidRPr="001E7AA4">
        <w:rPr>
          <w:rStyle w:val="normaltextrun"/>
          <w:rFonts w:ascii="Calibri" w:hAnsi="Calibri" w:cs="Calibri"/>
          <w:color w:val="000000" w:themeColor="text1"/>
        </w:rPr>
        <w:t>research income from the rest of the world compared to 4.5</w:t>
      </w:r>
      <w:r w:rsidRPr="001E7AA4" w:rsidDel="0002240E">
        <w:rPr>
          <w:rStyle w:val="normaltextrun"/>
          <w:rFonts w:ascii="Calibri" w:hAnsi="Calibri" w:cs="Calibri"/>
          <w:color w:val="000000" w:themeColor="text1"/>
        </w:rPr>
        <w:t>%</w:t>
      </w:r>
      <w:r w:rsidR="0002240E" w:rsidRPr="001E7AA4">
        <w:rPr>
          <w:rStyle w:val="normaltextrun"/>
          <w:rFonts w:ascii="Calibri" w:hAnsi="Calibri" w:cs="Calibri"/>
          <w:color w:val="000000" w:themeColor="text1"/>
        </w:rPr>
        <w:t xml:space="preserve"> </w:t>
      </w:r>
      <w:r w:rsidRPr="001E7AA4">
        <w:rPr>
          <w:rStyle w:val="normaltextrun"/>
          <w:rFonts w:ascii="Calibri" w:hAnsi="Calibri" w:cs="Calibri"/>
          <w:color w:val="000000" w:themeColor="text1"/>
        </w:rPr>
        <w:t>for Germany, 5.0</w:t>
      </w:r>
      <w:r w:rsidRPr="001E7AA4" w:rsidDel="0002240E">
        <w:rPr>
          <w:rStyle w:val="normaltextrun"/>
          <w:rFonts w:ascii="Calibri" w:hAnsi="Calibri" w:cs="Calibri"/>
          <w:color w:val="000000" w:themeColor="text1"/>
        </w:rPr>
        <w:t>%</w:t>
      </w:r>
      <w:r w:rsidR="0002240E" w:rsidRPr="001E7AA4">
        <w:rPr>
          <w:rStyle w:val="normaltextrun"/>
          <w:rFonts w:ascii="Calibri" w:hAnsi="Calibri" w:cs="Calibri"/>
          <w:color w:val="000000" w:themeColor="text1"/>
        </w:rPr>
        <w:t xml:space="preserve"> </w:t>
      </w:r>
      <w:r w:rsidRPr="001E7AA4">
        <w:rPr>
          <w:rStyle w:val="normaltextrun"/>
          <w:rFonts w:ascii="Calibri" w:hAnsi="Calibri" w:cs="Calibri"/>
          <w:color w:val="000000" w:themeColor="text1"/>
        </w:rPr>
        <w:t>for the U</w:t>
      </w:r>
      <w:r w:rsidR="00C110F1" w:rsidRPr="001E7AA4">
        <w:rPr>
          <w:rStyle w:val="normaltextrun"/>
          <w:rFonts w:ascii="Calibri" w:hAnsi="Calibri" w:cs="Calibri"/>
          <w:color w:val="000000" w:themeColor="text1"/>
        </w:rPr>
        <w:t xml:space="preserve">nited </w:t>
      </w:r>
      <w:r w:rsidRPr="001E7AA4">
        <w:rPr>
          <w:rStyle w:val="normaltextrun"/>
          <w:rFonts w:ascii="Calibri" w:hAnsi="Calibri" w:cs="Calibri"/>
          <w:color w:val="000000" w:themeColor="text1"/>
        </w:rPr>
        <w:t>K</w:t>
      </w:r>
      <w:r w:rsidR="00C110F1" w:rsidRPr="001E7AA4">
        <w:rPr>
          <w:rStyle w:val="normaltextrun"/>
          <w:rFonts w:ascii="Calibri" w:hAnsi="Calibri" w:cs="Calibri"/>
          <w:color w:val="000000" w:themeColor="text1"/>
        </w:rPr>
        <w:t>ingdom</w:t>
      </w:r>
      <w:r w:rsidRPr="001E7AA4">
        <w:rPr>
          <w:rStyle w:val="normaltextrun"/>
          <w:rFonts w:ascii="Calibri" w:hAnsi="Calibri" w:cs="Calibri"/>
          <w:color w:val="000000" w:themeColor="text1"/>
        </w:rPr>
        <w:t xml:space="preserve"> and 14.6</w:t>
      </w:r>
      <w:r w:rsidRPr="001E7AA4" w:rsidDel="0002240E">
        <w:rPr>
          <w:rStyle w:val="normaltextrun"/>
          <w:rFonts w:ascii="Calibri" w:hAnsi="Calibri" w:cs="Calibri"/>
          <w:color w:val="000000" w:themeColor="text1"/>
        </w:rPr>
        <w:t>%</w:t>
      </w:r>
      <w:r w:rsidR="0002240E" w:rsidRPr="001E7AA4">
        <w:rPr>
          <w:rStyle w:val="normaltextrun"/>
          <w:rFonts w:ascii="Calibri" w:hAnsi="Calibri" w:cs="Calibri"/>
          <w:color w:val="000000" w:themeColor="text1"/>
        </w:rPr>
        <w:t xml:space="preserve"> </w:t>
      </w:r>
      <w:r w:rsidRPr="001E7AA4">
        <w:rPr>
          <w:rStyle w:val="normaltextrun"/>
          <w:rFonts w:ascii="Calibri" w:hAnsi="Calibri" w:cs="Calibri"/>
          <w:color w:val="000000" w:themeColor="text1"/>
        </w:rPr>
        <w:t>for Israel.</w:t>
      </w:r>
      <w:r w:rsidRPr="001E7AA4">
        <w:rPr>
          <w:rStyle w:val="FootnoteReference"/>
          <w:rFonts w:ascii="Calibri" w:hAnsi="Calibri" w:cs="Calibri"/>
          <w:color w:val="000000" w:themeColor="text1"/>
        </w:rPr>
        <w:footnoteReference w:id="107"/>
      </w:r>
      <w:r w:rsidRPr="001E7AA4">
        <w:rPr>
          <w:rStyle w:val="normaltextrun"/>
          <w:rFonts w:ascii="Calibri" w:hAnsi="Calibri" w:cs="Calibri"/>
          <w:color w:val="000000" w:themeColor="text1"/>
        </w:rPr>
        <w:t xml:space="preserve"> Strategic partnerships and research collaborations are a potentially lucrative source of knowledge exchange and revenue.</w:t>
      </w:r>
    </w:p>
    <w:p w14:paraId="5B46FFD9" w14:textId="13B17553" w:rsidR="007332E7" w:rsidRPr="001E7AA4" w:rsidRDefault="007332E7" w:rsidP="007332E7">
      <w:pPr>
        <w:rPr>
          <w:rFonts w:ascii="Segoe UI" w:hAnsi="Segoe UI" w:cs="Segoe UI"/>
          <w:sz w:val="18"/>
          <w:szCs w:val="18"/>
        </w:rPr>
      </w:pPr>
      <w:r w:rsidRPr="001E7AA4">
        <w:rPr>
          <w:rStyle w:val="normaltextrun"/>
          <w:rFonts w:ascii="Calibri" w:hAnsi="Calibri" w:cs="Calibri"/>
          <w:color w:val="000000"/>
        </w:rPr>
        <w:t xml:space="preserve">Australia is a key partner in the Indo-Pacific, and our research strengths are an opportunity to contribute to the strategic goals of these partnerships. International collaboration opens doors and creates opportunities for Australian expertise to solve problems around the world. In turn, Australia benefits from innovative ideas from our neighbours that can be tested and developed in the Australian system. There is increasing opportunity for further engagement with countries in our region as they invest more in </w:t>
      </w:r>
      <w:r w:rsidR="0002240E" w:rsidRPr="001E7AA4">
        <w:rPr>
          <w:rStyle w:val="normaltextrun"/>
          <w:rFonts w:ascii="Calibri" w:hAnsi="Calibri" w:cs="Calibri"/>
          <w:color w:val="000000"/>
        </w:rPr>
        <w:t>R&amp;D</w:t>
      </w:r>
      <w:r w:rsidRPr="001E7AA4">
        <w:rPr>
          <w:rStyle w:val="normaltextrun"/>
          <w:rFonts w:ascii="Calibri" w:hAnsi="Calibri" w:cs="Calibri"/>
          <w:color w:val="000000"/>
        </w:rPr>
        <w:t xml:space="preserve"> and building partnerships.</w:t>
      </w:r>
    </w:p>
    <w:p w14:paraId="7D0749C7" w14:textId="6BD40949" w:rsidR="00C87ADB" w:rsidRPr="00C87ADB" w:rsidRDefault="00C87ADB" w:rsidP="00C87ADB">
      <w:pPr>
        <w:pStyle w:val="Quote"/>
      </w:pPr>
      <w:r w:rsidRPr="00C87ADB">
        <w:t xml:space="preserve">"[T]hrough their international research partnerships, universities act as gateways for Australian ... global engagement priorities." </w:t>
      </w:r>
      <w:r w:rsidR="00997AD0">
        <w:br/>
      </w:r>
      <w:r w:rsidRPr="00C87ADB">
        <w:t>- Victorian Government</w:t>
      </w:r>
    </w:p>
    <w:p w14:paraId="4DD215AD" w14:textId="77867A1B" w:rsidR="007332E7" w:rsidRPr="001E7AA4" w:rsidRDefault="007332E7" w:rsidP="007332E7">
      <w:r w:rsidRPr="001E7AA4">
        <w:rPr>
          <w:rStyle w:val="normaltextrun"/>
          <w:rFonts w:ascii="Calibri" w:hAnsi="Calibri" w:cs="Calibri"/>
          <w:color w:val="000000"/>
        </w:rPr>
        <w:t xml:space="preserve">Australia’s research strengths provide a means to address </w:t>
      </w:r>
      <w:r w:rsidR="00EA34B3" w:rsidRPr="001E7AA4">
        <w:rPr>
          <w:rStyle w:val="normaltextrun"/>
          <w:rFonts w:ascii="Calibri" w:hAnsi="Calibri" w:cs="Calibri"/>
          <w:color w:val="000000"/>
        </w:rPr>
        <w:t>regional</w:t>
      </w:r>
      <w:r w:rsidRPr="001E7AA4">
        <w:rPr>
          <w:rStyle w:val="normaltextrun"/>
          <w:rFonts w:ascii="Calibri" w:hAnsi="Calibri" w:cs="Calibri"/>
          <w:color w:val="000000"/>
        </w:rPr>
        <w:t xml:space="preserve"> priorities. Many of Australia’s strengths can address key issues for </w:t>
      </w:r>
      <w:r w:rsidR="008318CD" w:rsidRPr="001E7AA4">
        <w:rPr>
          <w:rStyle w:val="normaltextrun"/>
          <w:rFonts w:ascii="Calibri" w:hAnsi="Calibri" w:cs="Calibri"/>
          <w:color w:val="000000"/>
        </w:rPr>
        <w:t xml:space="preserve">the </w:t>
      </w:r>
      <w:r w:rsidRPr="001E7AA4">
        <w:rPr>
          <w:rStyle w:val="normaltextrun"/>
          <w:rFonts w:ascii="Calibri" w:hAnsi="Calibri" w:cs="Calibri"/>
          <w:color w:val="000000"/>
        </w:rPr>
        <w:t>Indo-Pacific, such as readiness for climate extremes, food security in a changing climate, being prepared for new disease outbreaks, and developing institutional resilience. Australia’s geographical location and research strengths position the nation well to drive innovation in areas that strengthen our work with our Indo-Pacific neighbours without compromising Australia’s technological advantages in critical defence technologies.</w:t>
      </w:r>
    </w:p>
    <w:p w14:paraId="0F9672A1" w14:textId="79043DD9" w:rsidR="007332E7" w:rsidRPr="004D7CCB" w:rsidRDefault="396F51D7" w:rsidP="004D7CCB">
      <w:pPr>
        <w:pStyle w:val="Heading5"/>
      </w:pPr>
      <w:bookmarkStart w:id="229" w:name="_Toc137829566"/>
      <w:bookmarkStart w:id="230" w:name="_Toc506807751"/>
      <w:bookmarkStart w:id="231" w:name="_Toc139028898"/>
      <w:bookmarkStart w:id="232" w:name="_Toc136259210"/>
      <w:r w:rsidRPr="004D7CCB">
        <w:lastRenderedPageBreak/>
        <w:t>2.5.3 Leveraging research and international education to advance Australia’s interests</w:t>
      </w:r>
      <w:bookmarkEnd w:id="229"/>
      <w:bookmarkEnd w:id="230"/>
      <w:bookmarkEnd w:id="231"/>
    </w:p>
    <w:p w14:paraId="19B849BB" w14:textId="65E2C5DB" w:rsidR="007332E7" w:rsidRPr="001E7AA4" w:rsidRDefault="007332E7" w:rsidP="007332E7">
      <w:pPr>
        <w:rPr>
          <w:rStyle w:val="normaltextrun"/>
          <w:rFonts w:ascii="Segoe UI" w:hAnsi="Segoe UI" w:cs="Segoe UI"/>
          <w:sz w:val="18"/>
          <w:szCs w:val="18"/>
        </w:rPr>
      </w:pPr>
      <w:r w:rsidRPr="001E7AA4">
        <w:rPr>
          <w:rStyle w:val="normaltextrun"/>
          <w:rFonts w:ascii="Calibri" w:hAnsi="Calibri" w:cs="Calibri"/>
        </w:rPr>
        <w:t xml:space="preserve">Deepening Australia’s education partnerships with our region is a key </w:t>
      </w:r>
      <w:r w:rsidR="006F0F6B" w:rsidRPr="001E7AA4">
        <w:rPr>
          <w:rStyle w:val="normaltextrun"/>
          <w:rFonts w:ascii="Calibri" w:hAnsi="Calibri" w:cs="Calibri"/>
        </w:rPr>
        <w:t xml:space="preserve">Australian Government </w:t>
      </w:r>
      <w:r w:rsidRPr="001E7AA4">
        <w:rPr>
          <w:rStyle w:val="normaltextrun"/>
          <w:rFonts w:ascii="Calibri" w:hAnsi="Calibri" w:cs="Calibri"/>
        </w:rPr>
        <w:t xml:space="preserve">commitment. </w:t>
      </w:r>
      <w:r w:rsidR="006F0F6B" w:rsidRPr="001E7AA4">
        <w:rPr>
          <w:rStyle w:val="normaltextrun"/>
          <w:rFonts w:ascii="Calibri" w:hAnsi="Calibri" w:cs="Calibri"/>
        </w:rPr>
        <w:t xml:space="preserve">It </w:t>
      </w:r>
      <w:r w:rsidRPr="001E7AA4">
        <w:rPr>
          <w:rStyle w:val="normaltextrun"/>
          <w:rFonts w:ascii="Calibri" w:hAnsi="Calibri" w:cs="Calibri"/>
        </w:rPr>
        <w:t xml:space="preserve">has commissioned a Southeast Asia Economic Strategy to 2040 with education as a key focus. The </w:t>
      </w:r>
      <w:r w:rsidR="006F0F6B" w:rsidRPr="001E7AA4">
        <w:rPr>
          <w:rStyle w:val="normaltextrun"/>
          <w:rFonts w:ascii="Calibri" w:hAnsi="Calibri" w:cs="Calibri"/>
        </w:rPr>
        <w:t>g</w:t>
      </w:r>
      <w:r w:rsidRPr="001E7AA4">
        <w:rPr>
          <w:rStyle w:val="normaltextrun"/>
          <w:rFonts w:ascii="Calibri" w:hAnsi="Calibri" w:cs="Calibri"/>
        </w:rPr>
        <w:t>overnment is also deepening its engagement with the Pacific</w:t>
      </w:r>
      <w:r w:rsidR="006E75DB" w:rsidRPr="001E7AA4">
        <w:rPr>
          <w:rStyle w:val="normaltextrun"/>
          <w:rFonts w:ascii="Calibri" w:hAnsi="Calibri" w:cs="Calibri"/>
        </w:rPr>
        <w:t>.</w:t>
      </w:r>
    </w:p>
    <w:p w14:paraId="4DF14A19" w14:textId="19EE9C77" w:rsidR="007332E7" w:rsidRPr="001E7AA4" w:rsidRDefault="007332E7" w:rsidP="007332E7">
      <w:pPr>
        <w:rPr>
          <w:rStyle w:val="normaltextrun"/>
          <w:rFonts w:ascii="Calibri" w:hAnsi="Calibri" w:cs="Calibri"/>
        </w:rPr>
      </w:pPr>
      <w:r w:rsidRPr="001E7AA4">
        <w:rPr>
          <w:rStyle w:val="normaltextrun"/>
          <w:rFonts w:ascii="Calibri" w:hAnsi="Calibri" w:cs="Calibri"/>
        </w:rPr>
        <w:t xml:space="preserve">The </w:t>
      </w:r>
      <w:r w:rsidR="006F0F6B" w:rsidRPr="001E7AA4">
        <w:rPr>
          <w:rStyle w:val="normaltextrun"/>
          <w:rFonts w:ascii="Calibri" w:hAnsi="Calibri" w:cs="Calibri"/>
        </w:rPr>
        <w:t>g</w:t>
      </w:r>
      <w:r w:rsidRPr="001E7AA4">
        <w:rPr>
          <w:rStyle w:val="normaltextrun"/>
          <w:rFonts w:ascii="Calibri" w:hAnsi="Calibri" w:cs="Calibri"/>
        </w:rPr>
        <w:t xml:space="preserve">overnment’s multilateral engagement, spanning forums such as the </w:t>
      </w:r>
      <w:r w:rsidR="006C773F" w:rsidRPr="001E7AA4">
        <w:rPr>
          <w:rStyle w:val="normaltextrun"/>
          <w:rFonts w:ascii="Calibri" w:hAnsi="Calibri" w:cs="Calibri"/>
        </w:rPr>
        <w:t>Group of Twenty (G20), Asia-Pacific Economic Cooperation (APEC), Association of Southeast Asian Nations (ASEAN), East Asia Summit (EAS) and the United Nations Educational, Scientific and Cultural Organization (UNESCO)</w:t>
      </w:r>
      <w:r w:rsidRPr="001E7AA4">
        <w:rPr>
          <w:rStyle w:val="normaltextrun"/>
          <w:rFonts w:ascii="Calibri" w:hAnsi="Calibri" w:cs="Calibri"/>
        </w:rPr>
        <w:t>, helps Australia to maintain its reputation as a world-class destination for high</w:t>
      </w:r>
      <w:r w:rsidR="2E87B8D3" w:rsidRPr="001E7AA4">
        <w:rPr>
          <w:rStyle w:val="normaltextrun"/>
          <w:rFonts w:ascii="Calibri" w:hAnsi="Calibri" w:cs="Calibri"/>
        </w:rPr>
        <w:t>-</w:t>
      </w:r>
      <w:r w:rsidRPr="001E7AA4">
        <w:rPr>
          <w:rStyle w:val="normaltextrun"/>
          <w:rFonts w:ascii="Calibri" w:hAnsi="Calibri" w:cs="Calibri"/>
        </w:rPr>
        <w:t xml:space="preserve">quality education and research, contributing to our global influence and prosperity. </w:t>
      </w:r>
    </w:p>
    <w:p w14:paraId="3CB47FA4" w14:textId="77777777" w:rsidR="007332E7" w:rsidRDefault="007332E7" w:rsidP="007332E7">
      <w:pPr>
        <w:rPr>
          <w:rStyle w:val="normaltextrun"/>
          <w:rFonts w:ascii="Calibri" w:hAnsi="Calibri" w:cs="Calibri"/>
        </w:rPr>
      </w:pPr>
      <w:r w:rsidRPr="001E7AA4">
        <w:rPr>
          <w:rStyle w:val="normaltextrun"/>
          <w:rFonts w:ascii="Calibri" w:hAnsi="Calibri" w:cs="Calibri"/>
        </w:rPr>
        <w:t xml:space="preserve">Ongoing government engagement lays a solid foundation for higher education providers to continue to expand into markets, by broadening their transnational education offerings in alignment with Australian and regional priorities. For example, Australia played a leading role in the development of the new </w:t>
      </w:r>
      <w:r w:rsidRPr="001E7AA4">
        <w:rPr>
          <w:rStyle w:val="normaltextrun"/>
          <w:rFonts w:ascii="Calibri" w:hAnsi="Calibri" w:cs="Calibri"/>
          <w:i/>
        </w:rPr>
        <w:t>Global Convention on the Recognition of Qualifications concerning Higher Education</w:t>
      </w:r>
      <w:r w:rsidRPr="001E7AA4">
        <w:rPr>
          <w:rStyle w:val="normaltextrun"/>
          <w:rFonts w:ascii="Calibri" w:hAnsi="Calibri" w:cs="Calibri"/>
        </w:rPr>
        <w:t xml:space="preserve"> which was ratified in January 2023. </w:t>
      </w:r>
    </w:p>
    <w:tbl>
      <w:tblPr>
        <w:tblStyle w:val="CaseStudy0"/>
        <w:tblW w:w="0" w:type="auto"/>
        <w:tblLook w:val="04A0" w:firstRow="1" w:lastRow="0" w:firstColumn="1" w:lastColumn="0" w:noHBand="0" w:noVBand="1"/>
      </w:tblPr>
      <w:tblGrid>
        <w:gridCol w:w="9016"/>
      </w:tblGrid>
      <w:tr w:rsidR="00672023" w14:paraId="279BE746" w14:textId="77777777" w:rsidTr="00672023">
        <w:tc>
          <w:tcPr>
            <w:tcW w:w="9016" w:type="dxa"/>
          </w:tcPr>
          <w:p w14:paraId="66A78236" w14:textId="77777777" w:rsidR="00672023" w:rsidRPr="00BC1824" w:rsidRDefault="00672023" w:rsidP="00672023">
            <w:pPr>
              <w:pStyle w:val="CaseStudy-Heading"/>
            </w:pPr>
            <w:r w:rsidRPr="00BC1824">
              <w:t>Case study: Australia’s education partnership with India</w:t>
            </w:r>
          </w:p>
          <w:p w14:paraId="433B5019" w14:textId="77777777" w:rsidR="00672023" w:rsidRPr="001E7AA4" w:rsidRDefault="00672023" w:rsidP="00672023">
            <w:r w:rsidRPr="001E7AA4">
              <w:t xml:space="preserve">Recent initiatives with India have showcased how Australia could play a greater role educating people on a global scale. India’s new </w:t>
            </w:r>
            <w:r w:rsidRPr="001E7AA4">
              <w:rPr>
                <w:i/>
                <w:iCs/>
              </w:rPr>
              <w:t>National Education Policy</w:t>
            </w:r>
            <w:r w:rsidRPr="001E7AA4">
              <w:t>, which has set an ambitious target for 50</w:t>
            </w:r>
            <w:r w:rsidRPr="001E7AA4" w:rsidDel="0002240E">
              <w:t>%</w:t>
            </w:r>
            <w:r w:rsidRPr="001E7AA4">
              <w:t xml:space="preserve"> of young people to have a tertiary qualification by 2035, presents a significant opportunity for collaboration.</w:t>
            </w:r>
            <w:r w:rsidRPr="001E7AA4">
              <w:rPr>
                <w:rStyle w:val="FootnoteReference"/>
              </w:rPr>
              <w:footnoteReference w:id="108"/>
            </w:r>
          </w:p>
          <w:p w14:paraId="557C99EF" w14:textId="77777777" w:rsidR="00672023" w:rsidRPr="001E7AA4" w:rsidRDefault="00672023" w:rsidP="00672023">
            <w:r w:rsidRPr="001E7AA4">
              <w:t xml:space="preserve">On 2 March 2023, Australia and India signed the </w:t>
            </w:r>
            <w:r w:rsidRPr="001E7AA4">
              <w:rPr>
                <w:i/>
                <w:iCs/>
              </w:rPr>
              <w:t>Mechanism for the Mutual Recognition of Qualifications between Australia and India</w:t>
            </w:r>
            <w:r w:rsidRPr="001E7AA4">
              <w:t>. Recognition of qualifications provides a robust foundation for further cooperation, mobility and linkages between students, researchers, academics, and institutions of both countries.</w:t>
            </w:r>
          </w:p>
          <w:p w14:paraId="7EF8BDF2" w14:textId="18E8E993" w:rsidR="00672023" w:rsidRDefault="00672023" w:rsidP="007332E7">
            <w:pPr>
              <w:rPr>
                <w:rStyle w:val="normaltextrun"/>
                <w:rFonts w:ascii="Calibri" w:hAnsi="Calibri" w:cs="Calibri"/>
              </w:rPr>
            </w:pPr>
            <w:r w:rsidRPr="001E7AA4">
              <w:t>The mechanism will allow for the growth of student and academic flows between our two countries. For a graduate, this mechanism means they can be confident their qualification will be recognised and can be used as a ticket to achieve their further study goals.</w:t>
            </w:r>
            <w:r w:rsidRPr="001E7AA4">
              <w:rPr>
                <w:rStyle w:val="FootnoteReference"/>
              </w:rPr>
              <w:footnoteReference w:id="109"/>
            </w:r>
          </w:p>
        </w:tc>
      </w:tr>
    </w:tbl>
    <w:p w14:paraId="740A1305" w14:textId="686516DC" w:rsidR="007332E7" w:rsidRPr="00E07DA8" w:rsidRDefault="00045EB9" w:rsidP="00E07DA8">
      <w:pPr>
        <w:pStyle w:val="Heading5"/>
      </w:pPr>
      <w:bookmarkStart w:id="233" w:name="_Toc139028899"/>
      <w:bookmarkEnd w:id="232"/>
      <w:r w:rsidRPr="00E07DA8">
        <w:t>Considerations for change</w:t>
      </w:r>
      <w:bookmarkEnd w:id="233"/>
    </w:p>
    <w:p w14:paraId="4188A4EC" w14:textId="260B6BA3" w:rsidR="007332E7" w:rsidRPr="001E7AA4" w:rsidRDefault="007332E7" w:rsidP="007332E7">
      <w:pPr>
        <w:spacing w:line="240" w:lineRule="auto"/>
      </w:pPr>
      <w:r w:rsidRPr="001E7AA4">
        <w:t>To create a sustainable and globally connected international education sector that benefits Australia and its region</w:t>
      </w:r>
      <w:r w:rsidR="00F81A8D" w:rsidRPr="001E7AA4">
        <w:t>s</w:t>
      </w:r>
      <w:r w:rsidRPr="001E7AA4">
        <w:t xml:space="preserve">, and to ensure Australia remains internationally competitive, </w:t>
      </w:r>
      <w:r w:rsidR="00154AE7" w:rsidRPr="001E7AA4">
        <w:t xml:space="preserve">the </w:t>
      </w:r>
      <w:r w:rsidR="004104C4" w:rsidRPr="001E7AA4">
        <w:t xml:space="preserve">Review </w:t>
      </w:r>
      <w:r w:rsidR="00154AE7" w:rsidRPr="001E7AA4">
        <w:t>will continue to give consideration to</w:t>
      </w:r>
      <w:r w:rsidR="00C06974" w:rsidRPr="001E7AA4">
        <w:t xml:space="preserve"> the following policy areas</w:t>
      </w:r>
      <w:r w:rsidRPr="001E7AA4">
        <w:t>:</w:t>
      </w:r>
    </w:p>
    <w:p w14:paraId="5EF14CDA" w14:textId="53AF9EE5" w:rsidR="00C06974" w:rsidRPr="001E7AA4" w:rsidRDefault="00C06974" w:rsidP="00A025B1">
      <w:pPr>
        <w:pStyle w:val="ListParagraph"/>
        <w:numPr>
          <w:ilvl w:val="0"/>
          <w:numId w:val="55"/>
        </w:numPr>
        <w:spacing w:after="0" w:line="240" w:lineRule="auto"/>
      </w:pPr>
      <w:r w:rsidRPr="001E7AA4">
        <w:t xml:space="preserve">ensuring that international education supports broader Australian foreign policy objectives, for example, strengthening relationships with India </w:t>
      </w:r>
      <w:r w:rsidR="004F2065" w:rsidRPr="001E7AA4">
        <w:t>and</w:t>
      </w:r>
      <w:r w:rsidRPr="001E7AA4">
        <w:t xml:space="preserve"> the Pacific</w:t>
      </w:r>
    </w:p>
    <w:p w14:paraId="6A1E1F3C" w14:textId="776B553A" w:rsidR="00C06974" w:rsidRPr="001E7AA4" w:rsidRDefault="00C06974" w:rsidP="00A025B1">
      <w:pPr>
        <w:pStyle w:val="ListParagraph"/>
        <w:numPr>
          <w:ilvl w:val="0"/>
          <w:numId w:val="55"/>
        </w:numPr>
        <w:spacing w:after="0" w:line="240" w:lineRule="auto"/>
      </w:pPr>
      <w:r w:rsidRPr="001E7AA4">
        <w:t xml:space="preserve">making international education </w:t>
      </w:r>
      <w:r w:rsidR="00667259" w:rsidRPr="001E7AA4">
        <w:t xml:space="preserve">more embedded </w:t>
      </w:r>
      <w:r w:rsidR="004D2F22" w:rsidRPr="001E7AA4">
        <w:t>within the</w:t>
      </w:r>
      <w:r w:rsidRPr="001E7AA4">
        <w:t xml:space="preserve"> mission of the Australian tertiary education system and to the mission and purpose of individual institutions</w:t>
      </w:r>
    </w:p>
    <w:p w14:paraId="20A12B0C" w14:textId="77777777" w:rsidR="00C06974" w:rsidRPr="001E7AA4" w:rsidRDefault="00C06974" w:rsidP="00A025B1">
      <w:pPr>
        <w:pStyle w:val="ListParagraph"/>
        <w:numPr>
          <w:ilvl w:val="0"/>
          <w:numId w:val="55"/>
        </w:numPr>
        <w:spacing w:after="0" w:line="240" w:lineRule="auto"/>
      </w:pPr>
      <w:r w:rsidRPr="001E7AA4">
        <w:t>ensuring the integrity and accessibility of visa pathways for international students</w:t>
      </w:r>
    </w:p>
    <w:p w14:paraId="61FD3490" w14:textId="77777777" w:rsidR="00C06974" w:rsidRPr="001E7AA4" w:rsidRDefault="00C06974" w:rsidP="00A025B1">
      <w:pPr>
        <w:pStyle w:val="ListParagraph"/>
        <w:numPr>
          <w:ilvl w:val="0"/>
          <w:numId w:val="55"/>
        </w:numPr>
        <w:spacing w:after="0" w:line="240" w:lineRule="auto"/>
      </w:pPr>
      <w:r w:rsidRPr="001E7AA4">
        <w:lastRenderedPageBreak/>
        <w:t>promoting flexibility and innovation in international education, including digital and offshore delivery options</w:t>
      </w:r>
    </w:p>
    <w:p w14:paraId="49D663E9" w14:textId="43885F6E" w:rsidR="00C06974" w:rsidRPr="001E7AA4" w:rsidRDefault="00C06974" w:rsidP="00A025B1">
      <w:pPr>
        <w:pStyle w:val="ListParagraph"/>
        <w:numPr>
          <w:ilvl w:val="0"/>
          <w:numId w:val="55"/>
        </w:numPr>
        <w:spacing w:after="0" w:line="240" w:lineRule="auto"/>
      </w:pPr>
      <w:r w:rsidRPr="001E7AA4">
        <w:t>providing</w:t>
      </w:r>
      <w:r w:rsidRPr="001E7AA4" w:rsidDel="00443B6F">
        <w:t xml:space="preserve"> </w:t>
      </w:r>
      <w:r w:rsidRPr="001E7AA4">
        <w:t>a high-quality university experience for international students</w:t>
      </w:r>
    </w:p>
    <w:p w14:paraId="40C3B531" w14:textId="77777777" w:rsidR="00C06974" w:rsidRPr="001E7AA4" w:rsidRDefault="00C06974" w:rsidP="00A025B1">
      <w:pPr>
        <w:pStyle w:val="ListParagraph"/>
        <w:numPr>
          <w:ilvl w:val="0"/>
          <w:numId w:val="55"/>
        </w:numPr>
        <w:spacing w:after="0" w:line="240" w:lineRule="auto"/>
      </w:pPr>
      <w:r w:rsidRPr="001E7AA4">
        <w:t>improving overseas skills and qualification recognition and expanding international professional qualification accords</w:t>
      </w:r>
    </w:p>
    <w:p w14:paraId="4A9E9D2A" w14:textId="041EDC03" w:rsidR="00FC52E8" w:rsidRPr="001E7AA4" w:rsidRDefault="00FC52E8" w:rsidP="00A025B1">
      <w:pPr>
        <w:pStyle w:val="ListParagraph"/>
        <w:numPr>
          <w:ilvl w:val="0"/>
          <w:numId w:val="55"/>
        </w:numPr>
        <w:spacing w:after="0" w:line="240" w:lineRule="auto"/>
      </w:pPr>
      <w:r w:rsidRPr="001E7AA4">
        <w:t>promoting international commercial use of Australian research capability</w:t>
      </w:r>
    </w:p>
    <w:p w14:paraId="42003152" w14:textId="77777777" w:rsidR="00FC52E8" w:rsidRPr="001E7AA4" w:rsidRDefault="00FC52E8" w:rsidP="00A025B1">
      <w:pPr>
        <w:pStyle w:val="ListParagraph"/>
        <w:numPr>
          <w:ilvl w:val="0"/>
          <w:numId w:val="55"/>
        </w:numPr>
        <w:spacing w:after="240" w:line="240" w:lineRule="auto"/>
      </w:pPr>
      <w:r w:rsidRPr="001E7AA4">
        <w:t>building closer connections between institutions and their international alumni.</w:t>
      </w:r>
    </w:p>
    <w:p w14:paraId="69EC0841" w14:textId="77777777" w:rsidR="00BC1824" w:rsidRPr="00672023" w:rsidRDefault="00BC1824" w:rsidP="00560132">
      <w:pPr>
        <w:pStyle w:val="BlueShadedBox-Body"/>
        <w:spacing w:after="120"/>
        <w:rPr>
          <w:rStyle w:val="Strong"/>
        </w:rPr>
      </w:pPr>
      <w:r w:rsidRPr="00672023">
        <w:rPr>
          <w:rStyle w:val="Strong"/>
        </w:rPr>
        <w:t xml:space="preserve">Potential proposals the Review may also consider for the Final Report, and that reflect the broad themes outlined above, include: </w:t>
      </w:r>
    </w:p>
    <w:p w14:paraId="1F05902A" w14:textId="77777777" w:rsidR="00BC1824" w:rsidRPr="00BC1824" w:rsidRDefault="00BC1824" w:rsidP="00A025B1">
      <w:pPr>
        <w:pStyle w:val="BlueShadedBox-ListLetterstest"/>
        <w:numPr>
          <w:ilvl w:val="0"/>
          <w:numId w:val="35"/>
        </w:numPr>
        <w:ind w:left="570"/>
      </w:pPr>
      <w:r w:rsidRPr="00BC1824">
        <w:t xml:space="preserve">new opportunities to increase the scope and mobility of Australian scholarships and programs </w:t>
      </w:r>
    </w:p>
    <w:p w14:paraId="337859F9" w14:textId="77777777" w:rsidR="00BC1824" w:rsidRPr="00BC1824" w:rsidRDefault="00BC1824" w:rsidP="00A025B1">
      <w:pPr>
        <w:pStyle w:val="BlueShadedBox-ListLetterstest"/>
        <w:numPr>
          <w:ilvl w:val="0"/>
          <w:numId w:val="35"/>
        </w:numPr>
        <w:ind w:left="570"/>
      </w:pPr>
      <w:r w:rsidRPr="00BC1824">
        <w:t>city- and state-based partnerships, and greater recognition of Australian qualifications through regional cooperation agreements.</w:t>
      </w:r>
    </w:p>
    <w:p w14:paraId="2B208092" w14:textId="5CD3B098" w:rsidR="00BC1824" w:rsidRPr="00BC1824" w:rsidRDefault="00BC1824" w:rsidP="00560132">
      <w:pPr>
        <w:pStyle w:val="BlueShadedBox-Body"/>
        <w:spacing w:after="120"/>
      </w:pPr>
      <w:r w:rsidRPr="00BC1824">
        <w:t>Encouraging international use of Australian research capability could involve a greater role for Austrade in promoting Australian university research capability to international business and public sector partners.</w:t>
      </w:r>
    </w:p>
    <w:p w14:paraId="76D4F47C" w14:textId="3FA0B4DE" w:rsidR="00BC1824" w:rsidRPr="00BC1824" w:rsidRDefault="00BC1824" w:rsidP="00672023">
      <w:pPr>
        <w:pStyle w:val="BlueShadedBox-Body"/>
        <w:rPr>
          <w:b/>
        </w:rPr>
      </w:pPr>
      <w:r w:rsidRPr="00BC1824">
        <w:t>Fostering closer connections could include explicitly recognising the global engagement role of Australian higher education providers (through education and research) and building and maintaining international alumni networks through their individual mission statements.</w:t>
      </w:r>
    </w:p>
    <w:p w14:paraId="63500F0A" w14:textId="4742E441" w:rsidR="007332E7" w:rsidRPr="001E7AA4" w:rsidRDefault="007332E7">
      <w:pPr>
        <w:spacing w:after="160"/>
        <w:rPr>
          <w:rFonts w:eastAsia="Times New Roman"/>
          <w:b/>
        </w:rPr>
      </w:pPr>
      <w:r w:rsidRPr="001E7AA4">
        <w:rPr>
          <w:rFonts w:eastAsia="Times New Roman"/>
          <w:b/>
        </w:rPr>
        <w:br w:type="page"/>
      </w:r>
    </w:p>
    <w:p w14:paraId="3EE3AF52" w14:textId="0EAF387E" w:rsidR="007332E7" w:rsidRPr="001E7AA4" w:rsidRDefault="396F51D7" w:rsidP="004D7CCB">
      <w:pPr>
        <w:pStyle w:val="Heading4"/>
        <w:rPr>
          <w:rStyle w:val="normaltextrun"/>
        </w:rPr>
      </w:pPr>
      <w:bookmarkStart w:id="234" w:name="_Toc137829568"/>
      <w:bookmarkStart w:id="235" w:name="_Toc428574560"/>
      <w:bookmarkStart w:id="236" w:name="_Toc139028900"/>
      <w:bookmarkStart w:id="237" w:name="_Toc136259213"/>
      <w:r w:rsidRPr="001E7AA4">
        <w:rPr>
          <w:rStyle w:val="normaltextrun"/>
        </w:rPr>
        <w:lastRenderedPageBreak/>
        <w:t xml:space="preserve">2.6: Serving </w:t>
      </w:r>
      <w:r w:rsidRPr="004D7CCB">
        <w:t>our</w:t>
      </w:r>
      <w:r w:rsidRPr="001E7AA4">
        <w:rPr>
          <w:rStyle w:val="normaltextrun"/>
        </w:rPr>
        <w:t xml:space="preserve"> communities</w:t>
      </w:r>
      <w:bookmarkEnd w:id="234"/>
      <w:bookmarkEnd w:id="235"/>
      <w:bookmarkEnd w:id="236"/>
      <w:r w:rsidRPr="001E7AA4">
        <w:rPr>
          <w:rStyle w:val="normaltextrun"/>
        </w:rPr>
        <w:t xml:space="preserve"> </w:t>
      </w:r>
      <w:bookmarkEnd w:id="237"/>
    </w:p>
    <w:p w14:paraId="0B67B856" w14:textId="77777777" w:rsidR="008B1A15" w:rsidRPr="001E7AA4" w:rsidRDefault="008B1A15" w:rsidP="007332E7">
      <w:pPr>
        <w:pStyle w:val="Quote"/>
        <w:rPr>
          <w:rStyle w:val="normaltextrun"/>
          <w:rFonts w:ascii="Calibri" w:hAnsi="Calibri" w:cs="Calibri"/>
        </w:rPr>
      </w:pPr>
    </w:p>
    <w:p w14:paraId="3FC9BA13" w14:textId="6D597248" w:rsidR="007332E7" w:rsidRPr="004D7CCB" w:rsidRDefault="007332E7" w:rsidP="004D7CCB">
      <w:pPr>
        <w:pStyle w:val="Quote"/>
      </w:pPr>
      <w:r w:rsidRPr="004D7CCB">
        <w:t xml:space="preserve">“Beyond producing graduates and research, the purpose of the modern Australian university needs to be more explicitly connected to civic outcomes that advance Australian society and this should be intrinsically tied to the engaged teaching, research, and outreach functions of the university.” </w:t>
      </w:r>
      <w:r w:rsidR="00E07DA8" w:rsidRPr="004D7CCB">
        <w:br/>
      </w:r>
      <w:r w:rsidRPr="004D7CCB">
        <w:t>– Engagement Australia</w:t>
      </w:r>
    </w:p>
    <w:p w14:paraId="38F44A36" w14:textId="77777777" w:rsidR="007332E7" w:rsidRPr="001E7AA4" w:rsidRDefault="396F51D7" w:rsidP="00F72CFE">
      <w:pPr>
        <w:pStyle w:val="Heading5"/>
        <w:rPr>
          <w:rStyle w:val="normaltextrun"/>
          <w:rFonts w:ascii="Calibri Light" w:hAnsi="Calibri Light" w:cs="Calibri Light"/>
          <w:b w:val="0"/>
          <w:color w:val="008599"/>
        </w:rPr>
      </w:pPr>
      <w:bookmarkStart w:id="238" w:name="_Toc136259215"/>
      <w:bookmarkStart w:id="239" w:name="_Toc137829569"/>
      <w:bookmarkStart w:id="240" w:name="_Toc306815277"/>
      <w:bookmarkStart w:id="241" w:name="_Toc139028901"/>
      <w:r w:rsidRPr="001E7AA4">
        <w:t>Issues</w:t>
      </w:r>
      <w:bookmarkEnd w:id="238"/>
      <w:bookmarkEnd w:id="239"/>
      <w:bookmarkEnd w:id="240"/>
      <w:bookmarkEnd w:id="241"/>
    </w:p>
    <w:p w14:paraId="0ECFD542" w14:textId="1877D6BB" w:rsidR="007332E7" w:rsidRPr="001E7AA4" w:rsidRDefault="007332E7" w:rsidP="007332E7">
      <w:pPr>
        <w:rPr>
          <w:rStyle w:val="normaltextrun"/>
          <w:rFonts w:ascii="Calibri" w:hAnsi="Calibri" w:cs="Calibri"/>
        </w:rPr>
      </w:pPr>
      <w:r w:rsidRPr="001E7AA4">
        <w:rPr>
          <w:rStyle w:val="normaltextrun"/>
          <w:rFonts w:ascii="Calibri" w:hAnsi="Calibri" w:cs="Calibri"/>
        </w:rPr>
        <w:t xml:space="preserve">As </w:t>
      </w:r>
      <w:r w:rsidR="006F0F6B" w:rsidRPr="001E7AA4">
        <w:rPr>
          <w:rStyle w:val="normaltextrun"/>
          <w:rFonts w:ascii="Calibri" w:hAnsi="Calibri" w:cs="Calibri"/>
        </w:rPr>
        <w:t xml:space="preserve">Australia’s higher education systems grow, so does their importance to their local communities. They are brilliantly positioned not only to create local economic activity and jobs, but also to encourage intellectual enrichment, civic engagement, reconciliation and other social goods. </w:t>
      </w:r>
    </w:p>
    <w:p w14:paraId="5634FE12" w14:textId="57BE45F0" w:rsidR="007332E7" w:rsidRPr="001E7AA4" w:rsidRDefault="006F0F6B" w:rsidP="007332E7">
      <w:pPr>
        <w:rPr>
          <w:rStyle w:val="normaltextrun"/>
          <w:rFonts w:ascii="Calibri" w:hAnsi="Calibri" w:cs="Calibri"/>
        </w:rPr>
      </w:pPr>
      <w:r w:rsidRPr="001E7AA4">
        <w:rPr>
          <w:rStyle w:val="normaltextrun"/>
          <w:rFonts w:ascii="Calibri" w:hAnsi="Calibri" w:cs="Calibri"/>
        </w:rPr>
        <w:t>Community engagement is a central part of universit</w:t>
      </w:r>
      <w:r w:rsidR="00E6025C" w:rsidRPr="001E7AA4">
        <w:rPr>
          <w:rStyle w:val="normaltextrun"/>
          <w:rFonts w:ascii="Calibri" w:hAnsi="Calibri" w:cs="Calibri"/>
        </w:rPr>
        <w:t>y</w:t>
      </w:r>
      <w:r w:rsidRPr="001E7AA4">
        <w:rPr>
          <w:rStyle w:val="normaltextrun"/>
          <w:rFonts w:ascii="Calibri" w:hAnsi="Calibri" w:cs="Calibri"/>
        </w:rPr>
        <w:t xml:space="preserve"> missions</w:t>
      </w:r>
      <w:r w:rsidR="62D4A629" w:rsidRPr="001E7AA4">
        <w:rPr>
          <w:rStyle w:val="normaltextrun"/>
          <w:rFonts w:ascii="Calibri" w:hAnsi="Calibri" w:cs="Calibri"/>
        </w:rPr>
        <w:t>,</w:t>
      </w:r>
      <w:r w:rsidRPr="001E7AA4">
        <w:rPr>
          <w:rStyle w:val="normaltextrun"/>
          <w:rFonts w:ascii="Calibri" w:hAnsi="Calibri" w:cs="Calibri"/>
        </w:rPr>
        <w:t xml:space="preserve"> and the</w:t>
      </w:r>
      <w:r w:rsidR="6AA39B80" w:rsidRPr="001E7AA4">
        <w:rPr>
          <w:rStyle w:val="normaltextrun"/>
          <w:rFonts w:ascii="Calibri" w:hAnsi="Calibri" w:cs="Calibri"/>
        </w:rPr>
        <w:t xml:space="preserve"> Review </w:t>
      </w:r>
      <w:r w:rsidR="00F0705F" w:rsidRPr="001E7AA4">
        <w:rPr>
          <w:rStyle w:val="normaltextrun"/>
          <w:rFonts w:ascii="Calibri" w:hAnsi="Calibri" w:cs="Calibri"/>
        </w:rPr>
        <w:t xml:space="preserve">considers </w:t>
      </w:r>
      <w:r w:rsidRPr="001E7AA4">
        <w:rPr>
          <w:rStyle w:val="normaltextrun"/>
          <w:rFonts w:ascii="Calibri" w:hAnsi="Calibri" w:cs="Calibri"/>
        </w:rPr>
        <w:t xml:space="preserve">this should be better recognised and </w:t>
      </w:r>
      <w:r w:rsidR="00E6025C" w:rsidRPr="001E7AA4">
        <w:rPr>
          <w:rStyle w:val="normaltextrun"/>
          <w:rFonts w:ascii="Calibri" w:hAnsi="Calibri" w:cs="Calibri"/>
        </w:rPr>
        <w:t xml:space="preserve">sufficiently </w:t>
      </w:r>
      <w:r w:rsidRPr="001E7AA4">
        <w:rPr>
          <w:rStyle w:val="normaltextrun"/>
          <w:rFonts w:ascii="Calibri" w:hAnsi="Calibri" w:cs="Calibri"/>
        </w:rPr>
        <w:t xml:space="preserve">resourced. </w:t>
      </w:r>
      <w:r w:rsidR="007332E7" w:rsidRPr="001E7AA4">
        <w:rPr>
          <w:rStyle w:val="normaltextrun"/>
          <w:rFonts w:ascii="Calibri" w:hAnsi="Calibri" w:cs="Calibri"/>
        </w:rPr>
        <w:t>Community activities</w:t>
      </w:r>
      <w:r w:rsidR="005778F9" w:rsidRPr="001E7AA4">
        <w:rPr>
          <w:rStyle w:val="normaltextrun"/>
          <w:rFonts w:ascii="Calibri" w:hAnsi="Calibri" w:cs="Calibri"/>
        </w:rPr>
        <w:t xml:space="preserve">, </w:t>
      </w:r>
      <w:r w:rsidR="0002240E" w:rsidRPr="001E7AA4">
        <w:rPr>
          <w:rStyle w:val="normaltextrun"/>
          <w:rFonts w:ascii="Calibri" w:hAnsi="Calibri" w:cs="Calibri"/>
        </w:rPr>
        <w:t>R&amp;D</w:t>
      </w:r>
      <w:r w:rsidR="005A77D0" w:rsidRPr="001E7AA4">
        <w:rPr>
          <w:rStyle w:val="normaltextrun"/>
          <w:rFonts w:ascii="Calibri" w:hAnsi="Calibri" w:cs="Calibri"/>
        </w:rPr>
        <w:t>,</w:t>
      </w:r>
      <w:r w:rsidR="007332E7" w:rsidRPr="001E7AA4">
        <w:rPr>
          <w:rStyle w:val="normaltextrun"/>
          <w:rFonts w:ascii="Calibri" w:hAnsi="Calibri" w:cs="Calibri"/>
        </w:rPr>
        <w:t xml:space="preserve"> and place-based strategies that focus on social and economic inclusion and development</w:t>
      </w:r>
      <w:r w:rsidRPr="001E7AA4">
        <w:rPr>
          <w:rStyle w:val="normaltextrun"/>
          <w:rFonts w:ascii="Calibri" w:hAnsi="Calibri" w:cs="Calibri"/>
        </w:rPr>
        <w:t xml:space="preserve"> are occurring right across the sector</w:t>
      </w:r>
      <w:r w:rsidR="007332E7" w:rsidRPr="001E7AA4">
        <w:rPr>
          <w:rStyle w:val="normaltextrun"/>
          <w:rFonts w:ascii="Calibri" w:hAnsi="Calibri" w:cs="Calibri"/>
        </w:rPr>
        <w:t xml:space="preserve">. </w:t>
      </w:r>
    </w:p>
    <w:p w14:paraId="4A03E21D" w14:textId="398DDD88" w:rsidR="007332E7" w:rsidRPr="001E7AA4" w:rsidRDefault="006F0F6B" w:rsidP="007332E7">
      <w:pPr>
        <w:rPr>
          <w:rStyle w:val="normaltextrun"/>
          <w:rFonts w:ascii="Calibri" w:hAnsi="Calibri" w:cs="Calibri"/>
        </w:rPr>
      </w:pPr>
      <w:r w:rsidRPr="001E7AA4">
        <w:rPr>
          <w:rStyle w:val="normaltextrun"/>
          <w:rFonts w:ascii="Calibri" w:hAnsi="Calibri" w:cs="Calibri"/>
        </w:rPr>
        <w:t xml:space="preserve">Universities are looking for ways to evaluate the size and worth of their community-focused activities and the </w:t>
      </w:r>
      <w:r w:rsidR="001800D9" w:rsidRPr="001E7AA4">
        <w:rPr>
          <w:rStyle w:val="normaltextrun"/>
          <w:rFonts w:ascii="Calibri" w:hAnsi="Calibri" w:cs="Calibri"/>
        </w:rPr>
        <w:t>Review</w:t>
      </w:r>
      <w:r w:rsidRPr="001E7AA4">
        <w:rPr>
          <w:rStyle w:val="normaltextrun"/>
          <w:rFonts w:ascii="Calibri" w:hAnsi="Calibri" w:cs="Calibri"/>
        </w:rPr>
        <w:t xml:space="preserve"> </w:t>
      </w:r>
      <w:r w:rsidR="00F0705F" w:rsidRPr="001E7AA4">
        <w:rPr>
          <w:rStyle w:val="normaltextrun"/>
          <w:rFonts w:ascii="Calibri" w:hAnsi="Calibri" w:cs="Calibri"/>
        </w:rPr>
        <w:t xml:space="preserve">suggests </w:t>
      </w:r>
      <w:r w:rsidRPr="001E7AA4">
        <w:rPr>
          <w:rStyle w:val="normaltextrun"/>
          <w:rFonts w:ascii="Calibri" w:hAnsi="Calibri" w:cs="Calibri"/>
        </w:rPr>
        <w:t>that wider adoption of classification measures that aim to increase community engagement efforts should be considered.</w:t>
      </w:r>
    </w:p>
    <w:p w14:paraId="120649C1" w14:textId="12787FFA" w:rsidR="007332E7" w:rsidRPr="001E7AA4" w:rsidRDefault="007332E7" w:rsidP="007332E7">
      <w:pPr>
        <w:rPr>
          <w:rStyle w:val="normaltextrun"/>
        </w:rPr>
      </w:pPr>
      <w:bookmarkStart w:id="242" w:name="_Toc136259216"/>
      <w:r w:rsidRPr="001E7AA4">
        <w:rPr>
          <w:rStyle w:val="normaltextrun"/>
          <w:rFonts w:ascii="Calibri" w:hAnsi="Calibri" w:cs="Calibri"/>
        </w:rPr>
        <w:t xml:space="preserve">This </w:t>
      </w:r>
      <w:r w:rsidR="00F0705F" w:rsidRPr="001E7AA4">
        <w:rPr>
          <w:rStyle w:val="normaltextrun"/>
          <w:rFonts w:ascii="Calibri" w:hAnsi="Calibri" w:cs="Calibri"/>
        </w:rPr>
        <w:t xml:space="preserve">section </w:t>
      </w:r>
      <w:r w:rsidRPr="001E7AA4">
        <w:rPr>
          <w:rStyle w:val="normaltextrun"/>
          <w:rFonts w:ascii="Calibri" w:hAnsi="Calibri" w:cs="Calibri"/>
        </w:rPr>
        <w:t xml:space="preserve">outlines the important role institutions play as anchors, for their region and local community, and </w:t>
      </w:r>
      <w:r w:rsidR="00EF10D2" w:rsidRPr="001E7AA4">
        <w:rPr>
          <w:rStyle w:val="normaltextrun"/>
          <w:rFonts w:ascii="Calibri" w:hAnsi="Calibri" w:cs="Calibri"/>
        </w:rPr>
        <w:t xml:space="preserve">for </w:t>
      </w:r>
      <w:r w:rsidRPr="001E7AA4">
        <w:rPr>
          <w:rStyle w:val="normaltextrun"/>
          <w:rFonts w:ascii="Calibri" w:hAnsi="Calibri" w:cs="Calibri"/>
        </w:rPr>
        <w:t xml:space="preserve">the nation. </w:t>
      </w:r>
      <w:r w:rsidR="69803A59" w:rsidRPr="001E7AA4">
        <w:rPr>
          <w:rStyle w:val="normaltextrun"/>
          <w:rFonts w:ascii="Calibri" w:hAnsi="Calibri" w:cs="Calibri"/>
        </w:rPr>
        <w:t xml:space="preserve">It </w:t>
      </w:r>
      <w:r w:rsidR="1B2A6621" w:rsidRPr="001E7AA4">
        <w:rPr>
          <w:rStyle w:val="normaltextrun"/>
          <w:rFonts w:ascii="Calibri" w:hAnsi="Calibri" w:cs="Calibri"/>
        </w:rPr>
        <w:t xml:space="preserve">explores options to formalise this critical role, including </w:t>
      </w:r>
      <w:r w:rsidRPr="001E7AA4">
        <w:rPr>
          <w:rStyle w:val="normaltextrun"/>
          <w:rFonts w:ascii="Calibri" w:hAnsi="Calibri" w:cs="Calibri"/>
        </w:rPr>
        <w:t>through a new approach to mission</w:t>
      </w:r>
      <w:r w:rsidR="00293D73" w:rsidRPr="001E7AA4">
        <w:rPr>
          <w:rStyle w:val="normaltextrun"/>
          <w:rFonts w:ascii="Calibri" w:hAnsi="Calibri" w:cs="Calibri"/>
        </w:rPr>
        <w:t>-</w:t>
      </w:r>
      <w:r w:rsidRPr="001E7AA4">
        <w:rPr>
          <w:rStyle w:val="normaltextrun"/>
          <w:rFonts w:ascii="Calibri" w:hAnsi="Calibri" w:cs="Calibri"/>
        </w:rPr>
        <w:t xml:space="preserve">based compacts and a stronger focus on the important role that regional universities play. </w:t>
      </w:r>
    </w:p>
    <w:p w14:paraId="16483513" w14:textId="07DA30BD" w:rsidR="007332E7" w:rsidRPr="009D5761" w:rsidRDefault="396F51D7" w:rsidP="00F72CFE">
      <w:pPr>
        <w:pStyle w:val="Heading5"/>
      </w:pPr>
      <w:bookmarkStart w:id="243" w:name="_Toc137829570"/>
      <w:bookmarkStart w:id="244" w:name="_Toc1631778820"/>
      <w:bookmarkStart w:id="245" w:name="_Toc139028902"/>
      <w:r w:rsidRPr="009D5761">
        <w:t xml:space="preserve">2.6.1 </w:t>
      </w:r>
      <w:r w:rsidR="000148F2" w:rsidRPr="009D5761">
        <w:t>K</w:t>
      </w:r>
      <w:r w:rsidR="00B90BC5" w:rsidRPr="009D5761">
        <w:t xml:space="preserve">eystone institutions across </w:t>
      </w:r>
      <w:r w:rsidRPr="009D5761">
        <w:t xml:space="preserve">local, regional and national </w:t>
      </w:r>
      <w:r w:rsidR="00B90BC5" w:rsidRPr="009D5761">
        <w:t>communities</w:t>
      </w:r>
      <w:bookmarkEnd w:id="242"/>
      <w:bookmarkEnd w:id="243"/>
      <w:bookmarkEnd w:id="244"/>
      <w:bookmarkEnd w:id="245"/>
    </w:p>
    <w:p w14:paraId="6B28EA13" w14:textId="19B9223E" w:rsidR="007332E7" w:rsidRPr="001E7AA4" w:rsidRDefault="5A3B266B" w:rsidP="007332E7">
      <w:pPr>
        <w:rPr>
          <w:rStyle w:val="eop"/>
          <w:rFonts w:ascii="Calibri" w:hAnsi="Calibri" w:cs="Calibri"/>
        </w:rPr>
      </w:pPr>
      <w:r w:rsidRPr="001E7AA4">
        <w:rPr>
          <w:rStyle w:val="normaltextrun"/>
          <w:rFonts w:ascii="Calibri" w:hAnsi="Calibri" w:cs="Calibri"/>
        </w:rPr>
        <w:t xml:space="preserve">The Review is considering mechanisms for </w:t>
      </w:r>
      <w:r w:rsidR="7B57A422" w:rsidRPr="001E7AA4">
        <w:rPr>
          <w:rStyle w:val="normaltextrun"/>
          <w:rFonts w:ascii="Calibri" w:hAnsi="Calibri" w:cs="Calibri"/>
        </w:rPr>
        <w:t>u</w:t>
      </w:r>
      <w:r w:rsidR="7CC95730" w:rsidRPr="001E7AA4">
        <w:rPr>
          <w:rStyle w:val="normaltextrun"/>
          <w:rFonts w:ascii="Calibri" w:hAnsi="Calibri" w:cs="Calibri"/>
        </w:rPr>
        <w:t>niversities</w:t>
      </w:r>
      <w:r w:rsidR="007332E7" w:rsidRPr="001E7AA4">
        <w:rPr>
          <w:rStyle w:val="normaltextrun"/>
          <w:rFonts w:ascii="Calibri" w:hAnsi="Calibri" w:cs="Calibri"/>
        </w:rPr>
        <w:t xml:space="preserve"> and other higher education </w:t>
      </w:r>
      <w:r w:rsidR="007E7EED" w:rsidRPr="001E7AA4">
        <w:rPr>
          <w:rStyle w:val="normaltextrun"/>
          <w:rFonts w:ascii="Calibri" w:hAnsi="Calibri" w:cs="Calibri"/>
        </w:rPr>
        <w:t xml:space="preserve">providers </w:t>
      </w:r>
      <w:r w:rsidR="4E6762A9" w:rsidRPr="001E7AA4">
        <w:rPr>
          <w:rStyle w:val="normaltextrun"/>
          <w:rFonts w:ascii="Calibri" w:hAnsi="Calibri" w:cs="Calibri"/>
        </w:rPr>
        <w:t>to</w:t>
      </w:r>
      <w:r w:rsidR="007332E7" w:rsidRPr="001E7AA4">
        <w:rPr>
          <w:rStyle w:val="normaltextrun"/>
          <w:rFonts w:ascii="Calibri" w:hAnsi="Calibri" w:cs="Calibri"/>
        </w:rPr>
        <w:t xml:space="preserve"> drive towards greater engagement with the community, foster an environment of knowledge sharing, and identify and incentivise </w:t>
      </w:r>
      <w:r w:rsidR="006F0F6B" w:rsidRPr="001E7AA4">
        <w:rPr>
          <w:rStyle w:val="normaltextrun"/>
          <w:rFonts w:ascii="Calibri" w:hAnsi="Calibri" w:cs="Calibri"/>
        </w:rPr>
        <w:t xml:space="preserve">their </w:t>
      </w:r>
      <w:r w:rsidR="007332E7" w:rsidRPr="001E7AA4">
        <w:rPr>
          <w:rStyle w:val="normaltextrun"/>
          <w:rFonts w:ascii="Calibri" w:hAnsi="Calibri" w:cs="Calibri"/>
        </w:rPr>
        <w:t>distinctive contributions to national objectives.</w:t>
      </w:r>
      <w:r w:rsidR="007332E7" w:rsidRPr="001E7AA4">
        <w:rPr>
          <w:rStyle w:val="eop"/>
          <w:rFonts w:ascii="Calibri" w:hAnsi="Calibri" w:cs="Calibri"/>
        </w:rPr>
        <w:t xml:space="preserve"> Institutions must be closely connected with and delivering for their communities.</w:t>
      </w:r>
    </w:p>
    <w:p w14:paraId="0F93EFDD" w14:textId="7BC6E0A1" w:rsidR="008977A9" w:rsidRPr="001E7AA4" w:rsidRDefault="007332E7" w:rsidP="007332E7">
      <w:pPr>
        <w:rPr>
          <w:rStyle w:val="normaltextrun"/>
          <w:rFonts w:ascii="Calibri" w:hAnsi="Calibri" w:cs="Calibri"/>
        </w:rPr>
      </w:pPr>
      <w:r w:rsidRPr="001E7AA4">
        <w:rPr>
          <w:rStyle w:val="normaltextrun"/>
          <w:rFonts w:ascii="Calibri" w:hAnsi="Calibri" w:cs="Calibri"/>
        </w:rPr>
        <w:t xml:space="preserve">As well as addressing national skills shortages, many </w:t>
      </w:r>
      <w:r w:rsidR="12DD9B36" w:rsidRPr="001E7AA4">
        <w:rPr>
          <w:rStyle w:val="normaltextrun"/>
          <w:rFonts w:ascii="Calibri" w:hAnsi="Calibri" w:cs="Calibri"/>
        </w:rPr>
        <w:t xml:space="preserve">institutions </w:t>
      </w:r>
      <w:r w:rsidRPr="001E7AA4">
        <w:rPr>
          <w:rStyle w:val="normaltextrun"/>
          <w:rFonts w:ascii="Calibri" w:hAnsi="Calibri" w:cs="Calibri"/>
        </w:rPr>
        <w:t xml:space="preserve">train the future workforce to meet the needs of their local and regional communities, playing a crucial role in economic development. </w:t>
      </w:r>
    </w:p>
    <w:p w14:paraId="1BA8C262" w14:textId="03EAB1CA" w:rsidR="007332E7" w:rsidRPr="001E7AA4" w:rsidRDefault="007332E7" w:rsidP="007332E7">
      <w:pPr>
        <w:rPr>
          <w:rStyle w:val="normaltextrun"/>
          <w:rFonts w:ascii="Calibri" w:hAnsi="Calibri" w:cs="Calibri"/>
        </w:rPr>
      </w:pPr>
      <w:r w:rsidRPr="001E7AA4">
        <w:rPr>
          <w:rStyle w:val="normaltextrun"/>
          <w:rFonts w:ascii="Calibri" w:hAnsi="Calibri" w:cs="Calibri"/>
        </w:rPr>
        <w:t>Across Australia there are many communities which are far from a university campus. For many</w:t>
      </w:r>
      <w:r w:rsidR="039E1411" w:rsidRPr="001E7AA4">
        <w:rPr>
          <w:rStyle w:val="normaltextrun"/>
          <w:rFonts w:ascii="Calibri" w:hAnsi="Calibri" w:cs="Calibri"/>
        </w:rPr>
        <w:t>,</w:t>
      </w:r>
      <w:r w:rsidRPr="001E7AA4">
        <w:rPr>
          <w:rStyle w:val="normaltextrun"/>
          <w:rFonts w:ascii="Calibri" w:hAnsi="Calibri" w:cs="Calibri"/>
        </w:rPr>
        <w:t xml:space="preserve"> this is a matter of physical distance, but it also </w:t>
      </w:r>
      <w:r w:rsidR="006F0F6B" w:rsidRPr="001E7AA4">
        <w:rPr>
          <w:rStyle w:val="normaltextrun"/>
          <w:rFonts w:ascii="Calibri" w:hAnsi="Calibri" w:cs="Calibri"/>
        </w:rPr>
        <w:t>affec</w:t>
      </w:r>
      <w:r w:rsidRPr="001E7AA4">
        <w:rPr>
          <w:rStyle w:val="normaltextrun"/>
          <w:rFonts w:ascii="Calibri" w:hAnsi="Calibri" w:cs="Calibri"/>
        </w:rPr>
        <w:t xml:space="preserve">ts communities where social and economic barriers </w:t>
      </w:r>
      <w:r w:rsidR="006F0F6B" w:rsidRPr="001E7AA4">
        <w:rPr>
          <w:rStyle w:val="normaltextrun"/>
          <w:rFonts w:ascii="Calibri" w:hAnsi="Calibri" w:cs="Calibri"/>
        </w:rPr>
        <w:t xml:space="preserve">prevent </w:t>
      </w:r>
      <w:r w:rsidRPr="001E7AA4">
        <w:rPr>
          <w:rStyle w:val="normaltextrun"/>
          <w:rFonts w:ascii="Calibri" w:hAnsi="Calibri" w:cs="Calibri"/>
        </w:rPr>
        <w:t xml:space="preserve">engagement with a university that may be relatively close by. </w:t>
      </w:r>
    </w:p>
    <w:p w14:paraId="3435D73C" w14:textId="28CBD658" w:rsidR="007332E7" w:rsidRPr="001E7AA4" w:rsidRDefault="007332E7" w:rsidP="007332E7">
      <w:pPr>
        <w:rPr>
          <w:rStyle w:val="normaltextrun"/>
          <w:rFonts w:ascii="Calibri" w:hAnsi="Calibri" w:cs="Calibri"/>
        </w:rPr>
      </w:pPr>
      <w:r w:rsidRPr="001E7AA4">
        <w:rPr>
          <w:rStyle w:val="normaltextrun"/>
          <w:rFonts w:ascii="Calibri" w:hAnsi="Calibri" w:cs="Calibri"/>
        </w:rPr>
        <w:t>Community engagement is essential for these communities and institutions should have a visible presence, especially in areas where many people have not had the chance to attend or even visit higher education</w:t>
      </w:r>
      <w:r w:rsidR="00877F2D" w:rsidRPr="001E7AA4">
        <w:rPr>
          <w:rStyle w:val="normaltextrun"/>
          <w:rFonts w:ascii="Calibri" w:hAnsi="Calibri" w:cs="Calibri"/>
        </w:rPr>
        <w:t xml:space="preserve"> institutions</w:t>
      </w:r>
      <w:r w:rsidRPr="001E7AA4">
        <w:rPr>
          <w:rStyle w:val="normaltextrun"/>
          <w:rFonts w:ascii="Calibri" w:hAnsi="Calibri" w:cs="Calibri"/>
        </w:rPr>
        <w:t xml:space="preserve">. Further work will be needed to support the development of place-based strategies, between and across sectors, to progress and develop the communities that higher education institutions serve. </w:t>
      </w:r>
      <w:r w:rsidR="3E102F1C" w:rsidRPr="001E7AA4">
        <w:rPr>
          <w:rStyle w:val="normaltextrun"/>
          <w:rFonts w:ascii="Calibri" w:hAnsi="Calibri" w:cs="Calibri"/>
        </w:rPr>
        <w:t xml:space="preserve">Strengthened </w:t>
      </w:r>
      <w:r w:rsidR="3B1AB20A" w:rsidRPr="001E7AA4">
        <w:rPr>
          <w:rStyle w:val="normaltextrun"/>
          <w:rFonts w:ascii="Calibri" w:hAnsi="Calibri" w:cs="Calibri"/>
        </w:rPr>
        <w:t>m</w:t>
      </w:r>
      <w:r w:rsidRPr="001E7AA4">
        <w:rPr>
          <w:rStyle w:val="normaltextrun"/>
          <w:rFonts w:ascii="Calibri" w:hAnsi="Calibri" w:cs="Calibri"/>
        </w:rPr>
        <w:t xml:space="preserve">ission-based compacts are a good avenue for this, and </w:t>
      </w:r>
      <w:r w:rsidRPr="001E7AA4">
        <w:rPr>
          <w:rStyle w:val="normaltextrun"/>
          <w:rFonts w:ascii="Calibri" w:hAnsi="Calibri" w:cs="Calibri"/>
        </w:rPr>
        <w:lastRenderedPageBreak/>
        <w:t>could bring together community leaders, universities and other providers, and local business, services and governments to solve problems.</w:t>
      </w:r>
    </w:p>
    <w:p w14:paraId="108EE407" w14:textId="64F5B279" w:rsidR="007332E7" w:rsidRPr="001E7AA4" w:rsidRDefault="007332E7" w:rsidP="007332E7">
      <w:pPr>
        <w:rPr>
          <w:rStyle w:val="normaltextrun"/>
          <w:rFonts w:cstheme="minorHAnsi"/>
        </w:rPr>
      </w:pPr>
      <w:r w:rsidRPr="001E7AA4">
        <w:rPr>
          <w:rStyle w:val="normaltextrun"/>
        </w:rPr>
        <w:t xml:space="preserve">The 2022 Local Government Workforce Skills and Capability Survey highlighted the ability of </w:t>
      </w:r>
      <w:r w:rsidRPr="001E7AA4">
        <w:t>local governments to develop ‘future-ready adult learning systems’, by understanding local skills demand</w:t>
      </w:r>
      <w:r w:rsidR="00E87C0B" w:rsidRPr="001E7AA4">
        <w:t>,</w:t>
      </w:r>
      <w:r w:rsidRPr="001E7AA4">
        <w:t xml:space="preserve"> cultivating and promoting inclusive cultures of lifelong learning</w:t>
      </w:r>
      <w:r w:rsidR="00E87C0B" w:rsidRPr="001E7AA4">
        <w:t>,</w:t>
      </w:r>
      <w:r w:rsidRPr="001E7AA4">
        <w:t xml:space="preserve"> strategically tailoring needs and bridging gaps.</w:t>
      </w:r>
      <w:r w:rsidRPr="001E7AA4">
        <w:rPr>
          <w:rStyle w:val="FootnoteReference"/>
          <w:rFonts w:eastAsiaTheme="minorEastAsia"/>
        </w:rPr>
        <w:footnoteReference w:id="110"/>
      </w:r>
      <w:r w:rsidRPr="001E7AA4">
        <w:rPr>
          <w:rStyle w:val="normaltextrun"/>
          <w:rFonts w:ascii="Calibri" w:hAnsi="Calibri" w:cs="Calibri"/>
        </w:rPr>
        <w:t xml:space="preserve"> Engagement with local government and communities can help institutions to identify and forecast skills shortages and respond through course design and delivery in real time, without waiting for national direction.</w:t>
      </w:r>
    </w:p>
    <w:p w14:paraId="54CEA21B" w14:textId="141CCA01" w:rsidR="007332E7" w:rsidRPr="001574DA" w:rsidRDefault="007332E7" w:rsidP="001574DA">
      <w:pPr>
        <w:pStyle w:val="Heading6"/>
      </w:pPr>
      <w:bookmarkStart w:id="246" w:name="_Toc136259217"/>
      <w:r w:rsidRPr="001574DA">
        <w:t>2.6.1.1 Highlighting First Nations connections</w:t>
      </w:r>
      <w:bookmarkEnd w:id="246"/>
    </w:p>
    <w:p w14:paraId="162DBD2E" w14:textId="3DC76146" w:rsidR="007332E7" w:rsidRPr="001E7AA4" w:rsidRDefault="007332E7" w:rsidP="007332E7">
      <w:pPr>
        <w:rPr>
          <w:rStyle w:val="normaltextrun"/>
          <w:rFonts w:ascii="Calibri" w:hAnsi="Calibri" w:cs="Calibri"/>
        </w:rPr>
      </w:pPr>
      <w:r w:rsidRPr="001E7AA4">
        <w:rPr>
          <w:rStyle w:val="normaltextrun"/>
          <w:rFonts w:ascii="Calibri" w:hAnsi="Calibri" w:cs="Calibri"/>
        </w:rPr>
        <w:t xml:space="preserve">Recognising, supporting and listening to the voices of First Nations </w:t>
      </w:r>
      <w:r w:rsidR="000A1B62" w:rsidRPr="001E7AA4">
        <w:rPr>
          <w:rFonts w:ascii="Calibri" w:eastAsia="Calibri" w:hAnsi="Calibri" w:cs="Calibri"/>
        </w:rPr>
        <w:t xml:space="preserve">people </w:t>
      </w:r>
      <w:r w:rsidR="006F0F6B" w:rsidRPr="001E7AA4">
        <w:rPr>
          <w:rStyle w:val="normaltextrun"/>
          <w:rFonts w:ascii="Calibri" w:hAnsi="Calibri" w:cs="Calibri"/>
        </w:rPr>
        <w:t xml:space="preserve">is an essential task for our contemporary higher education system. </w:t>
      </w:r>
      <w:r w:rsidR="4E7EC49E" w:rsidRPr="001E7AA4">
        <w:rPr>
          <w:rStyle w:val="normaltextrun"/>
          <w:rFonts w:ascii="Calibri" w:hAnsi="Calibri" w:cs="Calibri"/>
        </w:rPr>
        <w:t xml:space="preserve">The Review considers that </w:t>
      </w:r>
      <w:r w:rsidR="752C8F44" w:rsidRPr="001E7AA4">
        <w:rPr>
          <w:rStyle w:val="normaltextrun"/>
          <w:rFonts w:ascii="Calibri" w:hAnsi="Calibri" w:cs="Calibri"/>
        </w:rPr>
        <w:t>e</w:t>
      </w:r>
      <w:r w:rsidR="4567F659" w:rsidRPr="001E7AA4">
        <w:rPr>
          <w:rStyle w:val="normaltextrun"/>
          <w:rFonts w:ascii="Calibri" w:hAnsi="Calibri" w:cs="Calibri"/>
        </w:rPr>
        <w:t>ngaging</w:t>
      </w:r>
      <w:r w:rsidRPr="001E7AA4">
        <w:rPr>
          <w:rStyle w:val="normaltextrun"/>
          <w:rFonts w:ascii="Calibri" w:hAnsi="Calibri" w:cs="Calibri"/>
        </w:rPr>
        <w:t xml:space="preserve"> with these voices and perspectives on a deeper level will not only increase the numbers of First Nations students entering the system, </w:t>
      </w:r>
      <w:r w:rsidR="69EF9212" w:rsidRPr="001E7AA4">
        <w:rPr>
          <w:rStyle w:val="normaltextrun"/>
          <w:rFonts w:ascii="Calibri" w:hAnsi="Calibri" w:cs="Calibri"/>
        </w:rPr>
        <w:t>but</w:t>
      </w:r>
      <w:r w:rsidRPr="001E7AA4">
        <w:rPr>
          <w:rStyle w:val="normaltextrun"/>
          <w:rFonts w:ascii="Calibri" w:hAnsi="Calibri" w:cs="Calibri"/>
        </w:rPr>
        <w:t xml:space="preserve"> also ensure the value of First Nations knowledge is recognised and incorporated into all institutional operations.</w:t>
      </w:r>
    </w:p>
    <w:p w14:paraId="47E84ADF" w14:textId="314C4E4E" w:rsidR="00984C04" w:rsidRPr="001E7AA4" w:rsidRDefault="00984C04" w:rsidP="007332E7">
      <w:pPr>
        <w:pStyle w:val="Quote"/>
      </w:pPr>
      <w:r w:rsidRPr="001E7AA4">
        <w:t xml:space="preserve">“We urge the Accord Panel to fortify the leadership already demonstrated by Indigenous Australians, through careful consideration of not just the equity concerns for Indigenous peoples, but the significant contributions Indigenous Australians bring to the sector as scholars and professional staff.” </w:t>
      </w:r>
      <w:r w:rsidR="00E61ECB">
        <w:br/>
      </w:r>
      <w:r w:rsidR="00EC6973" w:rsidRPr="001E7AA4">
        <w:t>–</w:t>
      </w:r>
      <w:r w:rsidRPr="001E7AA4">
        <w:t xml:space="preserve"> </w:t>
      </w:r>
      <w:r w:rsidR="00516F4F" w:rsidRPr="001E7AA4">
        <w:t>Western Sydney University Indigenous Professoriate</w:t>
      </w:r>
    </w:p>
    <w:p w14:paraId="73BF393E" w14:textId="5764C247" w:rsidR="007332E7" w:rsidRPr="001E7AA4" w:rsidRDefault="007332E7" w:rsidP="007332E7">
      <w:pPr>
        <w:pStyle w:val="Quote"/>
      </w:pPr>
      <w:r w:rsidRPr="001E7AA4">
        <w:t>“Education alone is not sufficient; a culturally appropriate, holistic, community supported, strengths-based approach will provide the best foundation for young First Nations people to prosper and succeed in higher education.”</w:t>
      </w:r>
      <w:r w:rsidR="00E61ECB">
        <w:br/>
      </w:r>
      <w:r w:rsidRPr="001E7AA4">
        <w:t xml:space="preserve"> – National Indigenous Australians Agency</w:t>
      </w:r>
    </w:p>
    <w:p w14:paraId="0A03EDD2" w14:textId="5BFF29EE" w:rsidR="007332E7" w:rsidRDefault="007332E7" w:rsidP="007332E7">
      <w:pPr>
        <w:rPr>
          <w:rStyle w:val="normaltextrun"/>
          <w:rFonts w:ascii="Calibri" w:hAnsi="Calibri" w:cs="Calibri"/>
        </w:rPr>
      </w:pPr>
      <w:r w:rsidRPr="001E7AA4">
        <w:rPr>
          <w:rStyle w:val="normaltextrun"/>
          <w:rFonts w:ascii="Calibri" w:hAnsi="Calibri" w:cs="Calibri"/>
        </w:rPr>
        <w:t xml:space="preserve">There needs to be </w:t>
      </w:r>
      <w:r w:rsidR="001A3DC2" w:rsidRPr="001E7AA4">
        <w:rPr>
          <w:rStyle w:val="normaltextrun"/>
          <w:rFonts w:ascii="Calibri" w:hAnsi="Calibri" w:cs="Calibri"/>
        </w:rPr>
        <w:t>more effort to</w:t>
      </w:r>
      <w:r w:rsidRPr="001E7AA4">
        <w:rPr>
          <w:rStyle w:val="normaltextrun"/>
          <w:rFonts w:ascii="Calibri" w:hAnsi="Calibri" w:cs="Calibri"/>
        </w:rPr>
        <w:t xml:space="preserve"> foster this connection, by delivering course content in culturally safe, local settings, and with tailored student support services aimed at boosting completions and success. This could include new campus models, or centres of excellence led and developed by First Nations </w:t>
      </w:r>
      <w:r w:rsidR="000A1B62" w:rsidRPr="001E7AA4">
        <w:rPr>
          <w:rFonts w:ascii="Calibri" w:eastAsia="Calibri" w:hAnsi="Calibri" w:cs="Calibri"/>
        </w:rPr>
        <w:t>people</w:t>
      </w:r>
      <w:r w:rsidRPr="001E7AA4">
        <w:rPr>
          <w:rStyle w:val="normaltextrun"/>
          <w:rFonts w:ascii="Calibri" w:hAnsi="Calibri" w:cs="Calibri"/>
        </w:rPr>
        <w:t>.</w:t>
      </w:r>
    </w:p>
    <w:tbl>
      <w:tblPr>
        <w:tblStyle w:val="CaseStudy0"/>
        <w:tblW w:w="0" w:type="auto"/>
        <w:tblLook w:val="04A0" w:firstRow="1" w:lastRow="0" w:firstColumn="1" w:lastColumn="0" w:noHBand="0" w:noVBand="1"/>
      </w:tblPr>
      <w:tblGrid>
        <w:gridCol w:w="9016"/>
      </w:tblGrid>
      <w:tr w:rsidR="00672023" w14:paraId="03D8C161" w14:textId="77777777" w:rsidTr="00672023">
        <w:tc>
          <w:tcPr>
            <w:tcW w:w="9016" w:type="dxa"/>
          </w:tcPr>
          <w:p w14:paraId="5068F3C2" w14:textId="77777777" w:rsidR="00672023" w:rsidRPr="001E7AA4" w:rsidRDefault="00672023" w:rsidP="00672023">
            <w:pPr>
              <w:pStyle w:val="CaseStudy-Heading"/>
            </w:pPr>
            <w:r w:rsidRPr="00BC1824">
              <w:t>Case study: Munarra Centre for Regional Excellence (MCRE)</w:t>
            </w:r>
            <w:r w:rsidRPr="001E7AA4">
              <w:rPr>
                <w:rStyle w:val="FootnoteReference"/>
              </w:rPr>
              <w:footnoteReference w:id="111"/>
            </w:r>
          </w:p>
          <w:p w14:paraId="655C2FF1" w14:textId="77777777" w:rsidR="00672023" w:rsidRPr="001E7AA4" w:rsidRDefault="00672023" w:rsidP="00672023">
            <w:r w:rsidRPr="001E7AA4">
              <w:t>A not-for-profit centre of First Nations excellence based in Shepparton, the Munarra Centre for Regional Excellence will be a space of cultural affirmation, identity and strength, in addition to a university campus. It will provide a culturally safe space for multiple education and training providers, including the University of Melbourne, La Trobe University and GOTAFE.</w:t>
            </w:r>
          </w:p>
          <w:p w14:paraId="5B2A6104" w14:textId="7018FC04" w:rsidR="00672023" w:rsidRPr="00672023" w:rsidRDefault="00672023" w:rsidP="00672023">
            <w:pPr>
              <w:spacing w:after="120"/>
              <w:rPr>
                <w:rStyle w:val="normaltextrun"/>
                <w:rFonts w:ascii="Calibri" w:hAnsi="Calibri" w:cs="Calibri"/>
                <w:b/>
                <w:bCs/>
              </w:rPr>
            </w:pPr>
            <w:r w:rsidRPr="001E7AA4">
              <w:t xml:space="preserve">Formed in partnership between the University of Melbourne, the Kaiela Institute and the Rumbalara Football and Netball Club, the centre will celebrate cultural identity, and improve health, education and employment outcomes for First Nations </w:t>
            </w:r>
            <w:r w:rsidRPr="001E7AA4">
              <w:rPr>
                <w:rFonts w:ascii="Calibri" w:eastAsia="Calibri" w:hAnsi="Calibri" w:cs="Calibri"/>
              </w:rPr>
              <w:t xml:space="preserve">people </w:t>
            </w:r>
            <w:r w:rsidRPr="001E7AA4">
              <w:t>in the region through the delivery of a broad range of VET and higher education courses.</w:t>
            </w:r>
          </w:p>
        </w:tc>
      </w:tr>
    </w:tbl>
    <w:p w14:paraId="2E9D7655" w14:textId="6BD88266" w:rsidR="000777A8" w:rsidRDefault="00F61D83" w:rsidP="0007442D">
      <w:pPr>
        <w:spacing w:before="120"/>
        <w:rPr>
          <w:rStyle w:val="normaltextrun"/>
        </w:rPr>
      </w:pPr>
      <w:bookmarkStart w:id="247" w:name="_Toc136259218"/>
      <w:r w:rsidRPr="001E7AA4">
        <w:rPr>
          <w:rStyle w:val="normaltextrun"/>
        </w:rPr>
        <w:lastRenderedPageBreak/>
        <w:t>First Nations</w:t>
      </w:r>
      <w:r w:rsidR="1D62A1B5" w:rsidRPr="001E7AA4">
        <w:rPr>
          <w:rStyle w:val="normaltextrun"/>
        </w:rPr>
        <w:t>-</w:t>
      </w:r>
      <w:r w:rsidRPr="001E7AA4">
        <w:rPr>
          <w:rStyle w:val="normaltextrun"/>
        </w:rPr>
        <w:t xml:space="preserve">led </w:t>
      </w:r>
      <w:r w:rsidR="00E85EDC" w:rsidRPr="001E7AA4">
        <w:rPr>
          <w:rStyle w:val="normaltextrun"/>
        </w:rPr>
        <w:t xml:space="preserve">institutions that </w:t>
      </w:r>
      <w:r w:rsidR="001B6874" w:rsidRPr="001E7AA4">
        <w:rPr>
          <w:rStyle w:val="normaltextrun"/>
        </w:rPr>
        <w:t>can</w:t>
      </w:r>
      <w:r w:rsidR="00E85EDC" w:rsidRPr="001E7AA4">
        <w:rPr>
          <w:rStyle w:val="normaltextrun"/>
        </w:rPr>
        <w:t xml:space="preserve"> deliver course content and conduct research focussed on </w:t>
      </w:r>
      <w:r w:rsidR="006D17B4" w:rsidRPr="001E7AA4">
        <w:rPr>
          <w:rStyle w:val="normaltextrun"/>
        </w:rPr>
        <w:t xml:space="preserve">furthering </w:t>
      </w:r>
      <w:r w:rsidR="00E85EDC" w:rsidRPr="001E7AA4">
        <w:rPr>
          <w:rStyle w:val="normaltextrun"/>
        </w:rPr>
        <w:t xml:space="preserve">First Nations pedagogy and </w:t>
      </w:r>
      <w:r w:rsidR="00D77311" w:rsidRPr="001E7AA4">
        <w:rPr>
          <w:rStyle w:val="normaltextrun"/>
        </w:rPr>
        <w:t>knowledge</w:t>
      </w:r>
      <w:r w:rsidR="00BC7309" w:rsidRPr="001E7AA4">
        <w:rPr>
          <w:rStyle w:val="normaltextrun"/>
        </w:rPr>
        <w:t xml:space="preserve"> </w:t>
      </w:r>
      <w:r w:rsidR="00090346" w:rsidRPr="001E7AA4">
        <w:rPr>
          <w:rStyle w:val="normaltextrun"/>
        </w:rPr>
        <w:t>also play an important role in delivering for community</w:t>
      </w:r>
      <w:r w:rsidR="001B6874" w:rsidRPr="001E7AA4">
        <w:rPr>
          <w:rStyle w:val="normaltextrun"/>
        </w:rPr>
        <w:t>. Thes</w:t>
      </w:r>
      <w:r w:rsidR="008E02CD" w:rsidRPr="001E7AA4">
        <w:rPr>
          <w:rStyle w:val="normaltextrun"/>
        </w:rPr>
        <w:t xml:space="preserve">e institutions </w:t>
      </w:r>
      <w:r w:rsidR="25EA40A7" w:rsidRPr="001E7AA4">
        <w:rPr>
          <w:rStyle w:val="normaltextrun"/>
        </w:rPr>
        <w:t>could</w:t>
      </w:r>
      <w:r w:rsidR="008E02CD" w:rsidRPr="001E7AA4">
        <w:rPr>
          <w:rStyle w:val="normaltextrun"/>
        </w:rPr>
        <w:t xml:space="preserve"> be supported </w:t>
      </w:r>
      <w:r w:rsidR="28C290E1" w:rsidRPr="001E7AA4">
        <w:rPr>
          <w:rStyle w:val="normaltextrun"/>
        </w:rPr>
        <w:t>by</w:t>
      </w:r>
      <w:r w:rsidR="008E02CD" w:rsidRPr="001E7AA4">
        <w:rPr>
          <w:rStyle w:val="normaltextrun"/>
        </w:rPr>
        <w:t xml:space="preserve"> culturally engaged approaches to regulation and funding that </w:t>
      </w:r>
      <w:r w:rsidR="00BC7309" w:rsidRPr="001E7AA4">
        <w:rPr>
          <w:rStyle w:val="normaltextrun"/>
        </w:rPr>
        <w:t>ensure decision</w:t>
      </w:r>
      <w:r w:rsidR="004F28D6" w:rsidRPr="001E7AA4">
        <w:rPr>
          <w:rStyle w:val="normaltextrun"/>
        </w:rPr>
        <w:t>-</w:t>
      </w:r>
      <w:r w:rsidR="00BC7309" w:rsidRPr="001E7AA4">
        <w:rPr>
          <w:rStyle w:val="normaltextrun"/>
        </w:rPr>
        <w:t>making can be truly led by First Nations communities.</w:t>
      </w:r>
    </w:p>
    <w:tbl>
      <w:tblPr>
        <w:tblStyle w:val="CaseStudy0"/>
        <w:tblW w:w="0" w:type="auto"/>
        <w:tblLook w:val="04A0" w:firstRow="1" w:lastRow="0" w:firstColumn="1" w:lastColumn="0" w:noHBand="0" w:noVBand="1"/>
      </w:tblPr>
      <w:tblGrid>
        <w:gridCol w:w="9016"/>
      </w:tblGrid>
      <w:tr w:rsidR="00672023" w14:paraId="6659BDDD" w14:textId="77777777" w:rsidTr="00672023">
        <w:tc>
          <w:tcPr>
            <w:tcW w:w="9016" w:type="dxa"/>
          </w:tcPr>
          <w:p w14:paraId="2943D6C8" w14:textId="77777777" w:rsidR="005F5864" w:rsidRPr="001E7AA4" w:rsidRDefault="005F5864" w:rsidP="005F5864">
            <w:pPr>
              <w:pStyle w:val="CaseStudy-Heading"/>
              <w:rPr>
                <w:spacing w:val="15"/>
              </w:rPr>
            </w:pPr>
            <w:r w:rsidRPr="005F5864">
              <w:t>Case study: Batchelor</w:t>
            </w:r>
            <w:r w:rsidRPr="00BC1824">
              <w:t xml:space="preserve"> Institute of Indigenous Tertiary Education (BIITE)</w:t>
            </w:r>
            <w:r w:rsidRPr="001E7AA4">
              <w:rPr>
                <w:rStyle w:val="FootnoteReference"/>
              </w:rPr>
              <w:footnoteReference w:id="112"/>
            </w:r>
          </w:p>
          <w:p w14:paraId="1AFC912A" w14:textId="1CBF2683" w:rsidR="00672023" w:rsidRDefault="005F5864" w:rsidP="005F5864">
            <w:pPr>
              <w:spacing w:after="120"/>
              <w:rPr>
                <w:rStyle w:val="normaltextrun"/>
              </w:rPr>
            </w:pPr>
            <w:r w:rsidRPr="001E7AA4">
              <w:t>As a specialist institute and the only First Nations dual sector tertiary education provider in Australia, BIITE serves a unique role in providing provides education, training programs and courses for First Nations Peoples. BIITE also provides facilities and resources to allow students and staff to conduct research and study. The majority of students reside in remote communities in the Northern Territory, with some students also traveling from interstate.</w:t>
            </w:r>
          </w:p>
        </w:tc>
      </w:tr>
    </w:tbl>
    <w:p w14:paraId="05CFD591" w14:textId="70539F63" w:rsidR="007332E7" w:rsidRPr="001574DA" w:rsidRDefault="007332E7" w:rsidP="001574DA">
      <w:pPr>
        <w:pStyle w:val="Heading6"/>
      </w:pPr>
      <w:r w:rsidRPr="001574DA">
        <w:t xml:space="preserve">2.6.1.2 </w:t>
      </w:r>
      <w:bookmarkEnd w:id="247"/>
      <w:r w:rsidRPr="001574DA">
        <w:t>Recognising the</w:t>
      </w:r>
      <w:r w:rsidR="006F0F6B" w:rsidRPr="001574DA">
        <w:t xml:space="preserve"> role</w:t>
      </w:r>
      <w:r w:rsidRPr="001574DA">
        <w:t xml:space="preserve"> of universities in the regions</w:t>
      </w:r>
    </w:p>
    <w:p w14:paraId="1140BC93" w14:textId="00F5CC6F" w:rsidR="007332E7" w:rsidRPr="001E7AA4" w:rsidRDefault="007332E7" w:rsidP="007332E7">
      <w:pPr>
        <w:rPr>
          <w:rStyle w:val="normaltextrun"/>
          <w:color w:val="000000"/>
          <w:shd w:val="clear" w:color="auto" w:fill="FFFFFF"/>
        </w:rPr>
      </w:pPr>
      <w:r w:rsidRPr="001E7AA4">
        <w:rPr>
          <w:rStyle w:val="normaltextrun"/>
          <w:color w:val="000000"/>
          <w:shd w:val="clear" w:color="auto" w:fill="FFFFFF"/>
        </w:rPr>
        <w:t>Universities play an important role in regional Australia</w:t>
      </w:r>
      <w:r w:rsidR="4BE95F00" w:rsidRPr="001E7AA4">
        <w:rPr>
          <w:rStyle w:val="normaltextrun"/>
          <w:color w:val="000000"/>
          <w:shd w:val="clear" w:color="auto" w:fill="FFFFFF"/>
        </w:rPr>
        <w:t xml:space="preserve"> and </w:t>
      </w:r>
      <w:r w:rsidR="30BF8988" w:rsidRPr="001E7AA4">
        <w:rPr>
          <w:rStyle w:val="normaltextrun"/>
          <w:color w:val="000000"/>
          <w:shd w:val="clear" w:color="auto" w:fill="FFFFFF"/>
        </w:rPr>
        <w:t>t</w:t>
      </w:r>
      <w:r w:rsidRPr="001E7AA4">
        <w:rPr>
          <w:rStyle w:val="normaltextrun"/>
          <w:color w:val="000000"/>
          <w:shd w:val="clear" w:color="auto" w:fill="FFFFFF"/>
        </w:rPr>
        <w:t xml:space="preserve">he social and economic contribution they make to their local communities and regions is significant. </w:t>
      </w:r>
    </w:p>
    <w:p w14:paraId="7B8EFCE9" w14:textId="04C3FB5F" w:rsidR="007332E7" w:rsidRPr="001E7AA4" w:rsidRDefault="00B358B3" w:rsidP="007332E7">
      <w:pPr>
        <w:pStyle w:val="Quote"/>
        <w:rPr>
          <w:rStyle w:val="normaltextrun"/>
          <w:color w:val="000000"/>
          <w:shd w:val="clear" w:color="auto" w:fill="FFFFFF"/>
        </w:rPr>
      </w:pPr>
      <w:r w:rsidRPr="001E7AA4">
        <w:t>“</w:t>
      </w:r>
      <w:r w:rsidR="007332E7" w:rsidRPr="001E7AA4">
        <w:t xml:space="preserve">Australia’s regional universities… operate under a distinct social charter to develop highly skilled regional workforces, to deliver world-class research and innovation outcomes for regional industries, and perhaps most importantly, to lift retention and attainment rates of traditionally under-represented student cohorts.” </w:t>
      </w:r>
      <w:r w:rsidR="00E07DA8">
        <w:br/>
      </w:r>
      <w:r w:rsidR="007332E7" w:rsidRPr="001E7AA4">
        <w:t>– Regional Universities Network</w:t>
      </w:r>
    </w:p>
    <w:p w14:paraId="3789689C" w14:textId="0FB25F93" w:rsidR="007332E7" w:rsidRPr="001E7AA4" w:rsidRDefault="07E2DB7A" w:rsidP="007332E7">
      <w:pPr>
        <w:rPr>
          <w:rStyle w:val="normaltextrun"/>
          <w:color w:val="000000"/>
          <w:shd w:val="clear" w:color="auto" w:fill="FFFFFF"/>
        </w:rPr>
      </w:pPr>
      <w:r w:rsidRPr="001E7AA4">
        <w:rPr>
          <w:rStyle w:val="normaltextrun"/>
          <w:color w:val="000000"/>
          <w:shd w:val="clear" w:color="auto" w:fill="FFFFFF"/>
        </w:rPr>
        <w:t xml:space="preserve">Regional universities </w:t>
      </w:r>
      <w:r w:rsidR="007332E7" w:rsidRPr="001E7AA4">
        <w:rPr>
          <w:rStyle w:val="normaltextrun"/>
          <w:color w:val="000000"/>
          <w:shd w:val="clear" w:color="auto" w:fill="FFFFFF"/>
        </w:rPr>
        <w:t>provide</w:t>
      </w:r>
      <w:r w:rsidR="5CC2EFC7" w:rsidRPr="001E7AA4">
        <w:rPr>
          <w:rStyle w:val="normaltextrun"/>
          <w:color w:val="000000"/>
          <w:shd w:val="clear" w:color="auto" w:fill="FFFFFF"/>
        </w:rPr>
        <w:t xml:space="preserve"> essential</w:t>
      </w:r>
      <w:r w:rsidR="007332E7" w:rsidRPr="001E7AA4">
        <w:rPr>
          <w:rStyle w:val="normaltextrun"/>
          <w:color w:val="000000"/>
          <w:shd w:val="clear" w:color="auto" w:fill="FFFFFF"/>
        </w:rPr>
        <w:t xml:space="preserve"> infrastructure and facilities which might not be present otherwise, with conseque</w:t>
      </w:r>
      <w:r w:rsidR="006F0F6B" w:rsidRPr="001E7AA4">
        <w:rPr>
          <w:rStyle w:val="normaltextrun"/>
          <w:color w:val="000000"/>
          <w:shd w:val="clear" w:color="auto" w:fill="FFFFFF"/>
        </w:rPr>
        <w:t>nces</w:t>
      </w:r>
      <w:r w:rsidR="007332E7" w:rsidRPr="001E7AA4">
        <w:rPr>
          <w:rStyle w:val="normaltextrun"/>
          <w:color w:val="000000"/>
          <w:shd w:val="clear" w:color="auto" w:fill="FFFFFF"/>
        </w:rPr>
        <w:t xml:space="preserve"> </w:t>
      </w:r>
      <w:r w:rsidR="006F0F6B" w:rsidRPr="001E7AA4">
        <w:rPr>
          <w:rStyle w:val="normaltextrun"/>
          <w:color w:val="000000"/>
          <w:shd w:val="clear" w:color="auto" w:fill="FFFFFF"/>
        </w:rPr>
        <w:t>for</w:t>
      </w:r>
      <w:r w:rsidR="007332E7" w:rsidRPr="001E7AA4">
        <w:rPr>
          <w:rStyle w:val="normaltextrun"/>
          <w:color w:val="000000"/>
          <w:shd w:val="clear" w:color="auto" w:fill="FFFFFF"/>
        </w:rPr>
        <w:t xml:space="preserve"> communities beyond university staff and students. As large ‘beacon’ locations in the regions, universities play </w:t>
      </w:r>
      <w:r w:rsidR="007168FD" w:rsidRPr="001E7AA4">
        <w:rPr>
          <w:rStyle w:val="normaltextrun"/>
          <w:color w:val="000000"/>
          <w:shd w:val="clear" w:color="auto" w:fill="FFFFFF"/>
        </w:rPr>
        <w:t>a key</w:t>
      </w:r>
      <w:r w:rsidR="007332E7" w:rsidRPr="001E7AA4">
        <w:rPr>
          <w:rStyle w:val="normaltextrun"/>
          <w:color w:val="000000"/>
          <w:shd w:val="clear" w:color="auto" w:fill="FFFFFF"/>
        </w:rPr>
        <w:t xml:space="preserve"> role in the stewardship of their region, especially in times of crisis, even when they might not have the capacity to do so. They can provide the critical mass of a highly skilled workforce </w:t>
      </w:r>
      <w:r w:rsidR="007168FD" w:rsidRPr="001E7AA4">
        <w:rPr>
          <w:rStyle w:val="normaltextrun"/>
          <w:color w:val="000000"/>
          <w:shd w:val="clear" w:color="auto" w:fill="FFFFFF"/>
        </w:rPr>
        <w:t xml:space="preserve">to </w:t>
      </w:r>
      <w:r w:rsidR="00994D93" w:rsidRPr="001E7AA4">
        <w:rPr>
          <w:rStyle w:val="normaltextrun"/>
          <w:color w:val="000000"/>
          <w:shd w:val="clear" w:color="auto" w:fill="FFFFFF"/>
        </w:rPr>
        <w:t>bolster</w:t>
      </w:r>
      <w:r w:rsidR="007168FD" w:rsidRPr="001E7AA4">
        <w:rPr>
          <w:rStyle w:val="normaltextrun"/>
          <w:color w:val="000000"/>
          <w:shd w:val="clear" w:color="auto" w:fill="FFFFFF"/>
        </w:rPr>
        <w:t xml:space="preserve"> and</w:t>
      </w:r>
      <w:r w:rsidR="007332E7" w:rsidRPr="001E7AA4">
        <w:rPr>
          <w:rStyle w:val="normaltextrun"/>
          <w:color w:val="000000"/>
          <w:shd w:val="clear" w:color="auto" w:fill="FFFFFF"/>
        </w:rPr>
        <w:t xml:space="preserve"> lead </w:t>
      </w:r>
      <w:r w:rsidR="0002240E" w:rsidRPr="001E7AA4">
        <w:rPr>
          <w:rStyle w:val="normaltextrun"/>
          <w:color w:val="000000"/>
          <w:shd w:val="clear" w:color="auto" w:fill="FFFFFF"/>
        </w:rPr>
        <w:t>R&amp;D</w:t>
      </w:r>
      <w:r w:rsidR="007332E7" w:rsidRPr="001E7AA4">
        <w:rPr>
          <w:rStyle w:val="normaltextrun"/>
          <w:color w:val="000000"/>
          <w:shd w:val="clear" w:color="auto" w:fill="FFFFFF"/>
        </w:rPr>
        <w:t xml:space="preserve"> projects with ties to local industry and community. Regional universities’ social and economic contribution to regional Australia needs to be better </w:t>
      </w:r>
      <w:r w:rsidR="007E7EED" w:rsidRPr="001E7AA4">
        <w:rPr>
          <w:rStyle w:val="normaltextrun"/>
          <w:color w:val="000000"/>
          <w:shd w:val="clear" w:color="auto" w:fill="FFFFFF"/>
        </w:rPr>
        <w:t xml:space="preserve">measured, </w:t>
      </w:r>
      <w:r w:rsidR="007332E7" w:rsidRPr="001E7AA4">
        <w:rPr>
          <w:rStyle w:val="normaltextrun"/>
          <w:color w:val="000000"/>
          <w:shd w:val="clear" w:color="auto" w:fill="FFFFFF"/>
        </w:rPr>
        <w:t>valued and celebrated.</w:t>
      </w:r>
      <w:bookmarkStart w:id="248" w:name="_Hlk135999818"/>
      <w:r w:rsidR="007332E7" w:rsidRPr="001E7AA4">
        <w:rPr>
          <w:rStyle w:val="normaltextrun"/>
          <w:color w:val="000000"/>
          <w:shd w:val="clear" w:color="auto" w:fill="FFFFFF"/>
        </w:rPr>
        <w:t xml:space="preserve"> </w:t>
      </w:r>
    </w:p>
    <w:p w14:paraId="1A10F74D" w14:textId="6AEBE9E7" w:rsidR="005F5864" w:rsidRDefault="007332E7" w:rsidP="007332E7">
      <w:pPr>
        <w:rPr>
          <w:rStyle w:val="eop"/>
          <w:rFonts w:ascii="Calibri" w:hAnsi="Calibri" w:cs="Calibri"/>
        </w:rPr>
      </w:pPr>
      <w:r w:rsidRPr="001E7AA4">
        <w:rPr>
          <w:rStyle w:val="normaltextrun"/>
          <w:rFonts w:ascii="Calibri" w:hAnsi="Calibri" w:cs="Calibri"/>
        </w:rPr>
        <w:t>Regional universities face unique challenges. The diseconomies of scale inherent in regional universities inhibit growth, investment and social impact.</w:t>
      </w:r>
      <w:r w:rsidRPr="001E7AA4">
        <w:rPr>
          <w:rStyle w:val="FootnoteReference"/>
          <w:rFonts w:ascii="Calibri" w:hAnsi="Calibri" w:cs="Calibri"/>
        </w:rPr>
        <w:footnoteReference w:id="113"/>
      </w:r>
      <w:r w:rsidRPr="001E7AA4">
        <w:rPr>
          <w:rStyle w:val="normaltextrun"/>
          <w:rFonts w:ascii="Calibri" w:hAnsi="Calibri" w:cs="Calibri"/>
        </w:rPr>
        <w:t xml:space="preserve"> Additionally, it can be hard to attract staff from outside the region. Despite these challenges, these institutions do a large amount of heavy lifting</w:t>
      </w:r>
      <w:r w:rsidR="006F0F6B" w:rsidRPr="001E7AA4">
        <w:rPr>
          <w:rStyle w:val="normaltextrun"/>
          <w:rFonts w:ascii="Calibri" w:hAnsi="Calibri" w:cs="Calibri"/>
        </w:rPr>
        <w:t xml:space="preserve"> for the sector and for their communities</w:t>
      </w:r>
      <w:r w:rsidRPr="001E7AA4">
        <w:rPr>
          <w:rStyle w:val="normaltextrun"/>
          <w:rFonts w:ascii="Calibri" w:hAnsi="Calibri" w:cs="Calibri"/>
        </w:rPr>
        <w:t xml:space="preserve">. </w:t>
      </w:r>
      <w:r w:rsidRPr="001E7AA4">
        <w:rPr>
          <w:rStyle w:val="eop"/>
          <w:rFonts w:ascii="Calibri" w:hAnsi="Calibri" w:cs="Calibri"/>
        </w:rPr>
        <w:t xml:space="preserve">The Review notes there are many positive examples of regional universities building capability and </w:t>
      </w:r>
      <w:r w:rsidR="006F0F6B" w:rsidRPr="001E7AA4">
        <w:rPr>
          <w:rStyle w:val="eop"/>
          <w:rFonts w:ascii="Calibri" w:hAnsi="Calibri" w:cs="Calibri"/>
        </w:rPr>
        <w:t>strength</w:t>
      </w:r>
      <w:r w:rsidRPr="001E7AA4">
        <w:rPr>
          <w:rStyle w:val="eop"/>
          <w:rFonts w:ascii="Calibri" w:hAnsi="Calibri" w:cs="Calibri"/>
        </w:rPr>
        <w:t xml:space="preserve"> within their local </w:t>
      </w:r>
      <w:r w:rsidR="007E7EED" w:rsidRPr="001E7AA4">
        <w:rPr>
          <w:rStyle w:val="eop"/>
          <w:rFonts w:ascii="Calibri" w:hAnsi="Calibri" w:cs="Calibri"/>
        </w:rPr>
        <w:t>communities and</w:t>
      </w:r>
      <w:r w:rsidRPr="001E7AA4">
        <w:rPr>
          <w:rStyle w:val="eop"/>
          <w:rFonts w:ascii="Calibri" w:hAnsi="Calibri" w:cs="Calibri"/>
        </w:rPr>
        <w:t xml:space="preserve"> responding to issues that</w:t>
      </w:r>
      <w:r w:rsidR="006F0F6B" w:rsidRPr="001E7AA4">
        <w:rPr>
          <w:rStyle w:val="eop"/>
          <w:rFonts w:ascii="Calibri" w:hAnsi="Calibri" w:cs="Calibri"/>
        </w:rPr>
        <w:t xml:space="preserve"> </w:t>
      </w:r>
      <w:r w:rsidRPr="001E7AA4">
        <w:rPr>
          <w:rStyle w:val="eop"/>
          <w:rFonts w:ascii="Calibri" w:hAnsi="Calibri" w:cs="Calibri"/>
        </w:rPr>
        <w:t>direct</w:t>
      </w:r>
      <w:r w:rsidR="006F0F6B" w:rsidRPr="001E7AA4">
        <w:rPr>
          <w:rStyle w:val="eop"/>
          <w:rFonts w:ascii="Calibri" w:hAnsi="Calibri" w:cs="Calibri"/>
        </w:rPr>
        <w:t xml:space="preserve">ly affect </w:t>
      </w:r>
      <w:r w:rsidRPr="001E7AA4">
        <w:rPr>
          <w:rStyle w:val="eop"/>
          <w:rFonts w:ascii="Calibri" w:hAnsi="Calibri" w:cs="Calibri"/>
        </w:rPr>
        <w:t>their region</w:t>
      </w:r>
      <w:r w:rsidR="008E4929">
        <w:rPr>
          <w:rStyle w:val="eop"/>
          <w:rFonts w:ascii="Calibri" w:hAnsi="Calibri" w:cs="Calibri"/>
        </w:rPr>
        <w:t>.</w:t>
      </w:r>
    </w:p>
    <w:p w14:paraId="122F07CD" w14:textId="77777777" w:rsidR="005F5864" w:rsidRDefault="005F5864">
      <w:pPr>
        <w:spacing w:after="160"/>
        <w:rPr>
          <w:rStyle w:val="eop"/>
          <w:rFonts w:ascii="Calibri" w:hAnsi="Calibri" w:cs="Calibri"/>
        </w:rPr>
      </w:pPr>
      <w:r>
        <w:rPr>
          <w:rStyle w:val="eop"/>
          <w:rFonts w:ascii="Calibri" w:hAnsi="Calibri" w:cs="Calibri"/>
        </w:rPr>
        <w:br w:type="page"/>
      </w:r>
    </w:p>
    <w:tbl>
      <w:tblPr>
        <w:tblStyle w:val="CaseStudy0"/>
        <w:tblW w:w="0" w:type="auto"/>
        <w:tblLook w:val="04A0" w:firstRow="1" w:lastRow="0" w:firstColumn="1" w:lastColumn="0" w:noHBand="0" w:noVBand="1"/>
      </w:tblPr>
      <w:tblGrid>
        <w:gridCol w:w="9016"/>
      </w:tblGrid>
      <w:tr w:rsidR="005F5864" w14:paraId="10FD3B6D" w14:textId="77777777" w:rsidTr="005F5864">
        <w:tc>
          <w:tcPr>
            <w:tcW w:w="9016" w:type="dxa"/>
          </w:tcPr>
          <w:p w14:paraId="19B13CDB" w14:textId="77777777" w:rsidR="005F5864" w:rsidRPr="00D46D3D" w:rsidRDefault="005F5864" w:rsidP="005F5864">
            <w:pPr>
              <w:pStyle w:val="CaseStudy-Heading"/>
              <w:rPr>
                <w:vertAlign w:val="superscript"/>
              </w:rPr>
            </w:pPr>
            <w:r w:rsidRPr="00D46D3D">
              <w:lastRenderedPageBreak/>
              <w:t>Case study: Southern Cross University supporting flood impacted communities</w:t>
            </w:r>
            <w:r w:rsidRPr="00D46D3D">
              <w:rPr>
                <w:vertAlign w:val="superscript"/>
              </w:rPr>
              <w:footnoteReference w:id="114"/>
            </w:r>
          </w:p>
          <w:p w14:paraId="3F786A49" w14:textId="77777777" w:rsidR="005F5864" w:rsidRPr="001E7AA4" w:rsidRDefault="005F5864" w:rsidP="005F5864">
            <w:pPr>
              <w:rPr>
                <w:rStyle w:val="normaltextrun"/>
                <w:rFonts w:ascii="Calibri" w:eastAsia="Times New Roman" w:hAnsi="Calibri" w:cs="Calibri"/>
              </w:rPr>
            </w:pPr>
            <w:r w:rsidRPr="001E7AA4">
              <w:rPr>
                <w:rStyle w:val="normaltextrun"/>
                <w:rFonts w:ascii="Calibri" w:eastAsia="Times New Roman" w:hAnsi="Calibri" w:cs="Calibri"/>
              </w:rPr>
              <w:t>When the catastrophic 2022 floods hit the region in February and March, Southern Cross University’s Lismore campus became the main evacuation centre for residents and a rallying point for many relief efforts.</w:t>
            </w:r>
          </w:p>
          <w:p w14:paraId="09924C5D" w14:textId="77777777" w:rsidR="005F5864" w:rsidRPr="001E7AA4" w:rsidRDefault="005F5864" w:rsidP="005F5864">
            <w:pPr>
              <w:rPr>
                <w:rStyle w:val="normaltextrun"/>
                <w:rFonts w:ascii="Calibri" w:eastAsia="Times New Roman" w:hAnsi="Calibri" w:cs="Calibri"/>
              </w:rPr>
            </w:pPr>
            <w:r w:rsidRPr="001E7AA4">
              <w:rPr>
                <w:rStyle w:val="normaltextrun"/>
                <w:rFonts w:ascii="Calibri" w:eastAsia="Times New Roman" w:hAnsi="Calibri" w:cs="Calibri"/>
              </w:rPr>
              <w:t>More than 20 local organisations used the Lismore campus as their base in the aftermath of the floods, with a range of service providers remaining on campus this year.</w:t>
            </w:r>
          </w:p>
          <w:p w14:paraId="4C883718" w14:textId="77777777" w:rsidR="005F5864" w:rsidRPr="001E7AA4" w:rsidRDefault="005F5864" w:rsidP="005F5864">
            <w:pPr>
              <w:spacing w:after="120"/>
              <w:rPr>
                <w:rStyle w:val="normaltextrun"/>
                <w:rFonts w:ascii="Calibri" w:eastAsia="Times New Roman" w:hAnsi="Calibri" w:cs="Calibri"/>
              </w:rPr>
            </w:pPr>
            <w:r w:rsidRPr="001E7AA4">
              <w:rPr>
                <w:rStyle w:val="normaltextrun"/>
                <w:rFonts w:ascii="Calibri" w:eastAsia="Times New Roman" w:hAnsi="Calibri" w:cs="Calibri"/>
              </w:rPr>
              <w:t>These include:</w:t>
            </w:r>
          </w:p>
          <w:p w14:paraId="20B66D1C" w14:textId="77777777" w:rsidR="005F5864" w:rsidRPr="001E7AA4" w:rsidRDefault="005F5864" w:rsidP="005F5864">
            <w:pPr>
              <w:pStyle w:val="ListBullet"/>
              <w:rPr>
                <w:rStyle w:val="normaltextrun"/>
                <w:rFonts w:ascii="Calibri" w:eastAsia="Times New Roman" w:hAnsi="Calibri" w:cs="Calibri"/>
              </w:rPr>
            </w:pPr>
            <w:r w:rsidRPr="001E7AA4">
              <w:rPr>
                <w:rStyle w:val="normaltextrun"/>
                <w:rFonts w:ascii="Calibri" w:eastAsia="Times New Roman" w:hAnsi="Calibri" w:cs="Calibri"/>
              </w:rPr>
              <w:t>30 consulting rooms for Primary Health Network mental health practitioners, general practitioners, and a pop-up pharmacy and pathology</w:t>
            </w:r>
          </w:p>
          <w:p w14:paraId="11849966" w14:textId="77777777" w:rsidR="005F5864" w:rsidRPr="001E7AA4" w:rsidRDefault="005F5864" w:rsidP="005F5864">
            <w:pPr>
              <w:pStyle w:val="ListBullet"/>
              <w:rPr>
                <w:rStyle w:val="normaltextrun"/>
                <w:rFonts w:ascii="Calibri" w:eastAsia="Times New Roman" w:hAnsi="Calibri" w:cs="Calibri"/>
              </w:rPr>
            </w:pPr>
            <w:r w:rsidRPr="001E7AA4">
              <w:rPr>
                <w:rStyle w:val="normaltextrun"/>
                <w:rFonts w:ascii="Calibri" w:eastAsia="Times New Roman" w:hAnsi="Calibri" w:cs="Calibri"/>
              </w:rPr>
              <w:t>Trinity Christian College and The Living School establishing their schools on campus</w:t>
            </w:r>
          </w:p>
          <w:p w14:paraId="26FDA9CF" w14:textId="77777777" w:rsidR="005F5864" w:rsidRPr="001E7AA4" w:rsidRDefault="005F5864" w:rsidP="005F5864">
            <w:pPr>
              <w:pStyle w:val="ListBullet"/>
              <w:rPr>
                <w:rStyle w:val="normaltextrun"/>
                <w:rFonts w:ascii="Calibri" w:eastAsia="Times New Roman" w:hAnsi="Calibri" w:cs="Calibri"/>
              </w:rPr>
            </w:pPr>
            <w:r w:rsidRPr="001E7AA4">
              <w:rPr>
                <w:rStyle w:val="normaltextrun"/>
                <w:rFonts w:ascii="Calibri" w:eastAsia="Times New Roman" w:hAnsi="Calibri" w:cs="Calibri"/>
              </w:rPr>
              <w:t>TAFE NSW delivering programs from the Lismore campus</w:t>
            </w:r>
          </w:p>
          <w:p w14:paraId="6C68362D" w14:textId="77777777" w:rsidR="005F5864" w:rsidRPr="001E7AA4" w:rsidRDefault="005F5864" w:rsidP="005F5864">
            <w:pPr>
              <w:pStyle w:val="ListBullet"/>
              <w:rPr>
                <w:rStyle w:val="normaltextrun"/>
                <w:rFonts w:ascii="Calibri" w:eastAsia="Times New Roman" w:hAnsi="Calibri" w:cs="Calibri"/>
              </w:rPr>
            </w:pPr>
            <w:r w:rsidRPr="001E7AA4">
              <w:rPr>
                <w:rStyle w:val="normaltextrun"/>
                <w:rFonts w:ascii="Calibri" w:eastAsia="Times New Roman" w:hAnsi="Calibri" w:cs="Calibri"/>
              </w:rPr>
              <w:t>Business NSW establishing the Northern Rivers Business Hub as it continues to support local enterprise</w:t>
            </w:r>
          </w:p>
          <w:p w14:paraId="74F33D3A" w14:textId="77777777" w:rsidR="005F5864" w:rsidRPr="001E7AA4" w:rsidRDefault="005F5864" w:rsidP="005F5864">
            <w:pPr>
              <w:pStyle w:val="ListBullet"/>
              <w:rPr>
                <w:rStyle w:val="normaltextrun"/>
                <w:rFonts w:ascii="Calibri" w:eastAsia="Times New Roman" w:hAnsi="Calibri" w:cs="Calibri"/>
              </w:rPr>
            </w:pPr>
            <w:r w:rsidRPr="001E7AA4">
              <w:rPr>
                <w:rStyle w:val="normaltextrun"/>
                <w:rFonts w:ascii="Calibri" w:eastAsia="Times New Roman" w:hAnsi="Calibri" w:cs="Calibri"/>
              </w:rPr>
              <w:t>a suite of more than 50 pod homes constructed as emergency housing on the university’s football fields.</w:t>
            </w:r>
          </w:p>
          <w:p w14:paraId="32736BD9" w14:textId="2F21875C" w:rsidR="005F5864" w:rsidRPr="005F5864" w:rsidRDefault="005F5864" w:rsidP="007332E7">
            <w:pPr>
              <w:rPr>
                <w:rStyle w:val="eop"/>
                <w:rFonts w:ascii="Calibri" w:eastAsia="Times New Roman" w:hAnsi="Calibri" w:cs="Calibri"/>
              </w:rPr>
            </w:pPr>
            <w:r w:rsidRPr="001E7AA4">
              <w:rPr>
                <w:rFonts w:ascii="Calibri" w:eastAsia="Times New Roman" w:hAnsi="Calibri" w:cs="Calibri"/>
              </w:rPr>
              <w:t>Southern Cross University’s work is just one</w:t>
            </w:r>
            <w:r w:rsidRPr="005F5864">
              <w:t xml:space="preserve"> of the many of universities helping their community in times of need. Other examples include the Tropical Cyclone awareness and preparedness work undertaken by James Cook University each cyclone season in North Queensland, the University of New England and Charles Sturt University</w:t>
            </w:r>
            <w:r w:rsidRPr="001E7AA4">
              <w:rPr>
                <w:rFonts w:ascii="Calibri" w:eastAsia="Times New Roman" w:hAnsi="Calibri" w:cs="Calibri"/>
              </w:rPr>
              <w:t xml:space="preserve"> </w:t>
            </w:r>
            <w:r>
              <w:rPr>
                <w:rFonts w:ascii="Calibri" w:eastAsia="Times New Roman" w:hAnsi="Calibri" w:cs="Calibri"/>
              </w:rPr>
              <w:t>p</w:t>
            </w:r>
            <w:r>
              <w:t xml:space="preserve">roviding </w:t>
            </w:r>
            <w:r w:rsidRPr="001E7AA4">
              <w:rPr>
                <w:rFonts w:ascii="Calibri" w:eastAsia="Times New Roman" w:hAnsi="Calibri" w:cs="Calibri"/>
              </w:rPr>
              <w:t>s</w:t>
            </w:r>
            <w:r w:rsidRPr="001E7AA4">
              <w:rPr>
                <w:rFonts w:eastAsia="Times New Roman"/>
              </w:rPr>
              <w:t>upport</w:t>
            </w:r>
            <w:r w:rsidRPr="001E7AA4">
              <w:rPr>
                <w:rFonts w:ascii="Calibri" w:eastAsia="Times New Roman" w:hAnsi="Calibri" w:cs="Calibri"/>
              </w:rPr>
              <w:t xml:space="preserve"> for the region during the 2019-20 Black Summer Bushfires, and the irregular and essential work undertaken by many regional universities in responding to COVID-19.</w:t>
            </w:r>
          </w:p>
        </w:tc>
      </w:tr>
    </w:tbl>
    <w:bookmarkEnd w:id="248"/>
    <w:p w14:paraId="712AA49F" w14:textId="47455536" w:rsidR="005F5864" w:rsidRDefault="007332E7" w:rsidP="005F5864">
      <w:pPr>
        <w:pStyle w:val="Normal-AfterTable"/>
        <w:rPr>
          <w:rStyle w:val="normaltextrun"/>
          <w:rFonts w:ascii="Calibri" w:hAnsi="Calibri" w:cs="Calibri"/>
        </w:rPr>
      </w:pPr>
      <w:r w:rsidRPr="001E7AA4">
        <w:rPr>
          <w:rStyle w:val="normaltextrun"/>
          <w:rFonts w:ascii="Calibri" w:hAnsi="Calibri" w:cs="Calibri"/>
        </w:rPr>
        <w:t>The geographic</w:t>
      </w:r>
      <w:r w:rsidR="00E07DA8" w:rsidRPr="001E7AA4">
        <w:rPr>
          <w:rStyle w:val="normaltextrun"/>
          <w:rFonts w:ascii="Calibri" w:hAnsi="Calibri" w:cs="Calibri"/>
        </w:rPr>
        <w:t xml:space="preserve"> </w:t>
      </w:r>
      <w:r w:rsidR="006F0F6B" w:rsidRPr="001E7AA4">
        <w:rPr>
          <w:rStyle w:val="normaltextrun"/>
          <w:rFonts w:ascii="Calibri" w:hAnsi="Calibri" w:cs="Calibri"/>
        </w:rPr>
        <w:t>realities</w:t>
      </w:r>
      <w:r w:rsidRPr="001E7AA4">
        <w:rPr>
          <w:rStyle w:val="normaltextrun"/>
          <w:rFonts w:ascii="Calibri" w:hAnsi="Calibri" w:cs="Calibri"/>
        </w:rPr>
        <w:t xml:space="preserve"> of operating in regional, rural and remote areas require strong collaboration and partnerships, bringing together institutions, all levels of government and organisations to meet specific local needs. For example, as the only university located in the Northern Territory, Charles Darwin University helps to drive development in the territory, through partnerships and engagement across Northern Australia and into the broader Asia-Pacific region. The Cyber Territory Skills Hub delivers vocational and short courses in cyber security, drawing on C</w:t>
      </w:r>
      <w:r w:rsidR="00A07C55" w:rsidRPr="001E7AA4">
        <w:rPr>
          <w:rStyle w:val="normaltextrun"/>
          <w:rFonts w:ascii="Calibri" w:hAnsi="Calibri" w:cs="Calibri"/>
        </w:rPr>
        <w:t xml:space="preserve">harles </w:t>
      </w:r>
      <w:r w:rsidRPr="001E7AA4">
        <w:rPr>
          <w:rStyle w:val="normaltextrun"/>
          <w:rFonts w:ascii="Calibri" w:hAnsi="Calibri" w:cs="Calibri"/>
        </w:rPr>
        <w:t>D</w:t>
      </w:r>
      <w:r w:rsidR="00A07C55" w:rsidRPr="001E7AA4">
        <w:rPr>
          <w:rStyle w:val="normaltextrun"/>
          <w:rFonts w:ascii="Calibri" w:hAnsi="Calibri" w:cs="Calibri"/>
        </w:rPr>
        <w:t xml:space="preserve">arwin </w:t>
      </w:r>
      <w:r w:rsidRPr="001E7AA4">
        <w:rPr>
          <w:rStyle w:val="normaltextrun"/>
          <w:rFonts w:ascii="Calibri" w:hAnsi="Calibri" w:cs="Calibri"/>
        </w:rPr>
        <w:t>U</w:t>
      </w:r>
      <w:r w:rsidR="00A07C55" w:rsidRPr="001E7AA4">
        <w:rPr>
          <w:rStyle w:val="normaltextrun"/>
          <w:rFonts w:ascii="Calibri" w:hAnsi="Calibri" w:cs="Calibri"/>
        </w:rPr>
        <w:t>niversity</w:t>
      </w:r>
      <w:r w:rsidRPr="001E7AA4">
        <w:rPr>
          <w:rStyle w:val="normaltextrun"/>
          <w:rFonts w:ascii="Calibri" w:hAnsi="Calibri" w:cs="Calibri"/>
        </w:rPr>
        <w:t>’s research in this field, and is aimed at upskilling local small-medium enterprises.</w:t>
      </w:r>
      <w:r w:rsidR="000C714C" w:rsidRPr="001E7AA4">
        <w:rPr>
          <w:rStyle w:val="FootnoteReference"/>
          <w:rFonts w:ascii="Calibri" w:hAnsi="Calibri" w:cs="Calibri"/>
        </w:rPr>
        <w:footnoteReference w:id="115"/>
      </w:r>
    </w:p>
    <w:p w14:paraId="49E2DB86" w14:textId="77777777" w:rsidR="005F5864" w:rsidRDefault="005F5864">
      <w:pPr>
        <w:spacing w:after="160"/>
        <w:rPr>
          <w:rStyle w:val="normaltextrun"/>
          <w:rFonts w:ascii="Calibri" w:hAnsi="Calibri" w:cs="Calibri"/>
        </w:rPr>
      </w:pPr>
      <w:r>
        <w:rPr>
          <w:rStyle w:val="normaltextrun"/>
          <w:rFonts w:ascii="Calibri" w:hAnsi="Calibri" w:cs="Calibri"/>
        </w:rPr>
        <w:br w:type="page"/>
      </w:r>
    </w:p>
    <w:tbl>
      <w:tblPr>
        <w:tblStyle w:val="CaseStudy0"/>
        <w:tblW w:w="0" w:type="auto"/>
        <w:tblLook w:val="04A0" w:firstRow="1" w:lastRow="0" w:firstColumn="1" w:lastColumn="0" w:noHBand="0" w:noVBand="1"/>
      </w:tblPr>
      <w:tblGrid>
        <w:gridCol w:w="9016"/>
      </w:tblGrid>
      <w:tr w:rsidR="005F5864" w14:paraId="34E5AEE6" w14:textId="77777777" w:rsidTr="005F5864">
        <w:tc>
          <w:tcPr>
            <w:tcW w:w="9016" w:type="dxa"/>
          </w:tcPr>
          <w:p w14:paraId="7A8F6FA2" w14:textId="77777777" w:rsidR="005F5864" w:rsidRPr="00D46D3D" w:rsidRDefault="005F5864" w:rsidP="005F5864">
            <w:pPr>
              <w:pStyle w:val="CaseStudy-Heading"/>
            </w:pPr>
            <w:r w:rsidRPr="00D46D3D">
              <w:lastRenderedPageBreak/>
              <w:t>Case Study: Regional Medicine</w:t>
            </w:r>
          </w:p>
          <w:p w14:paraId="6BBA9F26" w14:textId="77777777" w:rsidR="005F5864" w:rsidRPr="001E7AA4" w:rsidRDefault="005F5864" w:rsidP="005F5864">
            <w:r w:rsidRPr="001E7AA4">
              <w:rPr>
                <w:rStyle w:val="eop"/>
                <w:rFonts w:ascii="Calibri" w:hAnsi="Calibri" w:cs="Calibri"/>
              </w:rPr>
              <w:t xml:space="preserve">Regional universities are playing a critical role in training the future regional medical workforce. </w:t>
            </w:r>
          </w:p>
          <w:p w14:paraId="71785409" w14:textId="77777777" w:rsidR="005F5864" w:rsidRPr="001E7AA4" w:rsidRDefault="005F5864" w:rsidP="005F5864">
            <w:pPr>
              <w:rPr>
                <w:rStyle w:val="eop"/>
                <w:rFonts w:ascii="Calibri" w:hAnsi="Calibri" w:cs="Calibri"/>
              </w:rPr>
            </w:pPr>
            <w:r w:rsidRPr="001E7AA4">
              <w:rPr>
                <w:rStyle w:val="eop"/>
                <w:rFonts w:ascii="Calibri" w:hAnsi="Calibri" w:cs="Calibri"/>
              </w:rPr>
              <w:t>The Murray-Darling Medical Schools Network consists of five rurally based university medical school pathway programs in the Murray-Darling region. The network allows medical students to study and train in the Murray-Darling, reducing the need for them to move to metropolitan areas. Forming the basis of this program is evidence that suggests that students are more likely to work in rural areas after graduating if they come from a rural background or undertake long-term rural training.</w:t>
            </w:r>
            <w:r w:rsidRPr="001E7AA4">
              <w:rPr>
                <w:rStyle w:val="FootnoteReference"/>
                <w:rFonts w:ascii="Calibri" w:hAnsi="Calibri" w:cs="Calibri"/>
              </w:rPr>
              <w:footnoteReference w:id="116"/>
            </w:r>
          </w:p>
          <w:p w14:paraId="303CD861" w14:textId="77777777" w:rsidR="005F5864" w:rsidRPr="001E7AA4" w:rsidRDefault="005F5864" w:rsidP="00560132">
            <w:pPr>
              <w:spacing w:after="120"/>
              <w:rPr>
                <w:rStyle w:val="eop"/>
                <w:rFonts w:ascii="Calibri" w:hAnsi="Calibri" w:cs="Calibri"/>
              </w:rPr>
            </w:pPr>
            <w:r w:rsidRPr="001E7AA4">
              <w:t>There are also several joint programs in regional medicine, including:</w:t>
            </w:r>
          </w:p>
          <w:p w14:paraId="2945C580" w14:textId="77777777" w:rsidR="005F5864" w:rsidRPr="001E7AA4" w:rsidRDefault="005F5864" w:rsidP="005F5864">
            <w:pPr>
              <w:pStyle w:val="ListBullet"/>
              <w:rPr>
                <w:rStyle w:val="eop"/>
                <w:rFonts w:ascii="Calibri" w:hAnsi="Calibri" w:cs="Calibri"/>
              </w:rPr>
            </w:pPr>
            <w:r w:rsidRPr="001E7AA4">
              <w:rPr>
                <w:rStyle w:val="eop"/>
                <w:rFonts w:ascii="Calibri" w:hAnsi="Calibri" w:cs="Calibri"/>
              </w:rPr>
              <w:t>The Northern Territory Medical Program, which provides training for Flinders University and James Cook University medical students based at Charles Darwin University and the Royal Darwin, Alice Springs and Katherine hospitals.</w:t>
            </w:r>
            <w:r w:rsidRPr="001E7AA4">
              <w:rPr>
                <w:rStyle w:val="FootnoteReference"/>
                <w:rFonts w:ascii="Calibri" w:hAnsi="Calibri" w:cs="Calibri"/>
              </w:rPr>
              <w:footnoteReference w:id="117"/>
            </w:r>
          </w:p>
          <w:p w14:paraId="74B6852E" w14:textId="77777777" w:rsidR="005F5864" w:rsidRPr="001E7AA4" w:rsidRDefault="005F5864" w:rsidP="005F5864">
            <w:pPr>
              <w:pStyle w:val="ListBullet"/>
            </w:pPr>
            <w:r w:rsidRPr="001E7AA4">
              <w:t>The University of Newcastle and the University of New England partnership to deliver a Joint Medical Program, so students can undertake placements in urban, regional and rural settings across the Central Coast and Hunter New England regions.</w:t>
            </w:r>
            <w:r w:rsidRPr="001E7AA4">
              <w:rPr>
                <w:rStyle w:val="FootnoteReference"/>
              </w:rPr>
              <w:footnoteReference w:id="118"/>
            </w:r>
          </w:p>
          <w:p w14:paraId="6CB69E59" w14:textId="73158B78" w:rsidR="005F5864" w:rsidRPr="005F5864" w:rsidRDefault="005F5864" w:rsidP="005F5864">
            <w:pPr>
              <w:pStyle w:val="ListBullet"/>
              <w:spacing w:after="120"/>
            </w:pPr>
            <w:r w:rsidRPr="001E7AA4">
              <w:rPr>
                <w:rStyle w:val="eop"/>
                <w:rFonts w:ascii="Calibri" w:hAnsi="Calibri" w:cs="Calibri"/>
              </w:rPr>
              <w:t>Charles Sturt University in partnership with Western Sydney University has established a Joint Medical Program for the training and education of doctors in regional, rural and remote Australia.</w:t>
            </w:r>
            <w:r w:rsidRPr="001E7AA4">
              <w:rPr>
                <w:rStyle w:val="FootnoteReference"/>
                <w:rFonts w:ascii="Calibri" w:hAnsi="Calibri" w:cs="Calibri"/>
              </w:rPr>
              <w:footnoteReference w:id="119"/>
            </w:r>
          </w:p>
        </w:tc>
      </w:tr>
    </w:tbl>
    <w:p w14:paraId="50118653" w14:textId="406F274D" w:rsidR="007332E7" w:rsidRPr="001E7AA4" w:rsidRDefault="007332E7" w:rsidP="005F5864">
      <w:pPr>
        <w:pStyle w:val="Normal-AfterTable"/>
        <w:rPr>
          <w:rStyle w:val="superscript"/>
          <w:i/>
          <w:iCs/>
        </w:rPr>
      </w:pPr>
      <w:r w:rsidRPr="001E7AA4">
        <w:rPr>
          <w:rStyle w:val="eop"/>
          <w:rFonts w:ascii="Calibri" w:hAnsi="Calibri" w:cs="Calibri"/>
        </w:rPr>
        <w:t xml:space="preserve">The Review believes there is merit in considering a national industry linkage into </w:t>
      </w:r>
      <w:r w:rsidR="00B654F7" w:rsidRPr="001E7AA4">
        <w:rPr>
          <w:rStyle w:val="eop"/>
          <w:rFonts w:ascii="Calibri" w:hAnsi="Calibri" w:cs="Calibri"/>
        </w:rPr>
        <w:t xml:space="preserve">regional </w:t>
      </w:r>
      <w:r w:rsidRPr="001E7AA4">
        <w:rPr>
          <w:rStyle w:val="eop"/>
          <w:rFonts w:ascii="Calibri" w:hAnsi="Calibri" w:cs="Calibri"/>
        </w:rPr>
        <w:t xml:space="preserve">education program, which would provide a broker in designated regions to facilitate collaboration and innovation between </w:t>
      </w:r>
      <w:r w:rsidRPr="001E7AA4">
        <w:t xml:space="preserve">industry, schools, VET, providers, local governments and community. It would aim to improve aspiration for further education in the regions, improve retention and completion rates in tertiary education through purposeful education, and address regional workforce issues. </w:t>
      </w:r>
    </w:p>
    <w:p w14:paraId="4B5B07E0" w14:textId="0343848D" w:rsidR="007332E7" w:rsidRPr="001E7AA4" w:rsidRDefault="007332E7" w:rsidP="007332E7">
      <w:pPr>
        <w:rPr>
          <w:rStyle w:val="eop"/>
          <w:rFonts w:ascii="Calibri" w:hAnsi="Calibri" w:cs="Calibri"/>
        </w:rPr>
      </w:pPr>
      <w:r w:rsidRPr="001E7AA4">
        <w:rPr>
          <w:rStyle w:val="eop"/>
          <w:rFonts w:ascii="Calibri" w:hAnsi="Calibri" w:cs="Calibri"/>
        </w:rPr>
        <w:t xml:space="preserve">Given the unique contributions made by regional universities, with consideration of the specific challenges they face, the Review </w:t>
      </w:r>
      <w:r w:rsidR="003173CE" w:rsidRPr="001E7AA4">
        <w:rPr>
          <w:rStyle w:val="eop"/>
          <w:rFonts w:ascii="Calibri" w:hAnsi="Calibri" w:cs="Calibri"/>
        </w:rPr>
        <w:t xml:space="preserve">will </w:t>
      </w:r>
      <w:r w:rsidR="787FD536" w:rsidRPr="001E7AA4">
        <w:rPr>
          <w:rStyle w:val="eop"/>
          <w:rFonts w:ascii="Calibri" w:hAnsi="Calibri" w:cs="Calibri"/>
        </w:rPr>
        <w:t>further consider</w:t>
      </w:r>
      <w:r w:rsidRPr="001E7AA4">
        <w:rPr>
          <w:rStyle w:val="eop"/>
          <w:rFonts w:ascii="Calibri" w:hAnsi="Calibri" w:cs="Calibri"/>
        </w:rPr>
        <w:t xml:space="preserve"> methods of funding for regional universities. Th</w:t>
      </w:r>
      <w:r w:rsidR="380F7569" w:rsidRPr="001E7AA4">
        <w:rPr>
          <w:rStyle w:val="eop"/>
          <w:rFonts w:ascii="Calibri" w:hAnsi="Calibri" w:cs="Calibri"/>
        </w:rPr>
        <w:t>is</w:t>
      </w:r>
      <w:r w:rsidRPr="001E7AA4">
        <w:rPr>
          <w:rStyle w:val="eop"/>
          <w:rFonts w:ascii="Calibri" w:hAnsi="Calibri" w:cs="Calibri"/>
        </w:rPr>
        <w:t xml:space="preserve"> could include, but not be limited to, a universal service obligation and a reframed regional loading, designed to identify, measure and fund those characteristics specific to regional universities. </w:t>
      </w:r>
    </w:p>
    <w:p w14:paraId="176F7E62" w14:textId="3C53B25E" w:rsidR="00A337DB" w:rsidRPr="009D5761" w:rsidRDefault="160F7531" w:rsidP="00F72CFE">
      <w:pPr>
        <w:pStyle w:val="Heading5"/>
      </w:pPr>
      <w:bookmarkStart w:id="249" w:name="_Toc137829571"/>
      <w:bookmarkStart w:id="250" w:name="_Toc1748476234"/>
      <w:bookmarkStart w:id="251" w:name="_Toc139028903"/>
      <w:r w:rsidRPr="000139B0">
        <w:t xml:space="preserve">2.6.2 </w:t>
      </w:r>
      <w:r w:rsidR="437386B6" w:rsidRPr="000139B0">
        <w:t>Community-led</w:t>
      </w:r>
      <w:r w:rsidR="5FAF30D1" w:rsidRPr="000139B0">
        <w:t xml:space="preserve"> research</w:t>
      </w:r>
      <w:bookmarkEnd w:id="249"/>
      <w:bookmarkEnd w:id="250"/>
      <w:bookmarkEnd w:id="251"/>
    </w:p>
    <w:p w14:paraId="7A6F5A30" w14:textId="5FD0932B" w:rsidR="00FE1E1D" w:rsidRDefault="0017751E" w:rsidP="00FE1E1D">
      <w:pPr>
        <w:rPr>
          <w:rStyle w:val="eop"/>
          <w:rFonts w:ascii="Calibri" w:hAnsi="Calibri" w:cs="Calibri"/>
        </w:rPr>
      </w:pPr>
      <w:r w:rsidRPr="001E7AA4">
        <w:rPr>
          <w:rStyle w:val="eop"/>
          <w:rFonts w:ascii="Calibri" w:hAnsi="Calibri" w:cs="Calibri"/>
        </w:rPr>
        <w:t xml:space="preserve">Local </w:t>
      </w:r>
      <w:r w:rsidR="003A5B54" w:rsidRPr="001E7AA4">
        <w:rPr>
          <w:rStyle w:val="eop"/>
          <w:rFonts w:ascii="Calibri" w:hAnsi="Calibri" w:cs="Calibri"/>
        </w:rPr>
        <w:t>regions</w:t>
      </w:r>
      <w:r w:rsidRPr="001E7AA4">
        <w:rPr>
          <w:rStyle w:val="eop"/>
          <w:rFonts w:ascii="Calibri" w:hAnsi="Calibri" w:cs="Calibri"/>
        </w:rPr>
        <w:t xml:space="preserve"> also significantly benefit from </w:t>
      </w:r>
      <w:r w:rsidR="005F0A34" w:rsidRPr="001E7AA4">
        <w:rPr>
          <w:rStyle w:val="eop"/>
          <w:rFonts w:ascii="Calibri" w:hAnsi="Calibri" w:cs="Calibri"/>
        </w:rPr>
        <w:t>community-led research</w:t>
      </w:r>
      <w:r w:rsidR="00DA67F8" w:rsidRPr="001E7AA4">
        <w:rPr>
          <w:rStyle w:val="eop"/>
          <w:rFonts w:ascii="Calibri" w:hAnsi="Calibri" w:cs="Calibri"/>
        </w:rPr>
        <w:t>, which seeks to make communities equal partners</w:t>
      </w:r>
      <w:r w:rsidR="00A21A7B" w:rsidRPr="001E7AA4">
        <w:rPr>
          <w:rStyle w:val="eop"/>
          <w:rFonts w:ascii="Calibri" w:hAnsi="Calibri" w:cs="Calibri"/>
        </w:rPr>
        <w:t xml:space="preserve"> and co-leads</w:t>
      </w:r>
      <w:r w:rsidR="00DA67F8" w:rsidRPr="001E7AA4">
        <w:rPr>
          <w:rStyle w:val="eop"/>
          <w:rFonts w:ascii="Calibri" w:hAnsi="Calibri" w:cs="Calibri"/>
        </w:rPr>
        <w:t xml:space="preserve"> </w:t>
      </w:r>
      <w:r w:rsidR="006B2225" w:rsidRPr="001E7AA4">
        <w:rPr>
          <w:rStyle w:val="eop"/>
          <w:rFonts w:ascii="Calibri" w:hAnsi="Calibri" w:cs="Calibri"/>
        </w:rPr>
        <w:t>in</w:t>
      </w:r>
      <w:r w:rsidR="00DA67F8" w:rsidRPr="001E7AA4">
        <w:rPr>
          <w:rStyle w:val="eop"/>
          <w:rFonts w:ascii="Calibri" w:hAnsi="Calibri" w:cs="Calibri"/>
        </w:rPr>
        <w:t xml:space="preserve"> the </w:t>
      </w:r>
      <w:r w:rsidR="0002240E" w:rsidRPr="001E7AA4">
        <w:rPr>
          <w:rStyle w:val="eop"/>
          <w:rFonts w:ascii="Calibri" w:hAnsi="Calibri" w:cs="Calibri"/>
        </w:rPr>
        <w:t>R&amp;D</w:t>
      </w:r>
      <w:r w:rsidR="00770743" w:rsidRPr="001E7AA4">
        <w:rPr>
          <w:rStyle w:val="eop"/>
          <w:rFonts w:ascii="Calibri" w:hAnsi="Calibri" w:cs="Calibri"/>
        </w:rPr>
        <w:t xml:space="preserve"> process</w:t>
      </w:r>
      <w:r w:rsidR="005F0A34" w:rsidRPr="001E7AA4" w:rsidDel="00F7542E">
        <w:rPr>
          <w:rStyle w:val="eop"/>
          <w:rFonts w:ascii="Calibri" w:hAnsi="Calibri" w:cs="Calibri"/>
        </w:rPr>
        <w:t xml:space="preserve">. </w:t>
      </w:r>
      <w:r w:rsidR="00861C49" w:rsidRPr="001E7AA4" w:rsidDel="00F7542E">
        <w:rPr>
          <w:rStyle w:val="eop"/>
          <w:rFonts w:ascii="Calibri" w:hAnsi="Calibri" w:cs="Calibri"/>
        </w:rPr>
        <w:t>Community-led research projects are often driven by the needs of the community</w:t>
      </w:r>
      <w:r w:rsidR="00CE121F" w:rsidRPr="001E7AA4" w:rsidDel="00F7542E">
        <w:rPr>
          <w:rStyle w:val="eop"/>
          <w:rFonts w:ascii="Calibri" w:hAnsi="Calibri" w:cs="Calibri"/>
        </w:rPr>
        <w:t xml:space="preserve">, aim </w:t>
      </w:r>
      <w:r w:rsidR="006C2FC4" w:rsidRPr="001E7AA4" w:rsidDel="00F7542E">
        <w:rPr>
          <w:rStyle w:val="eop"/>
          <w:rFonts w:ascii="Calibri" w:hAnsi="Calibri" w:cs="Calibri"/>
        </w:rPr>
        <w:t xml:space="preserve">for </w:t>
      </w:r>
      <w:r w:rsidR="00CE121F" w:rsidRPr="001E7AA4" w:rsidDel="00F7542E">
        <w:rPr>
          <w:rStyle w:val="eop"/>
          <w:rFonts w:ascii="Calibri" w:hAnsi="Calibri" w:cs="Calibri"/>
        </w:rPr>
        <w:t xml:space="preserve">sustainable </w:t>
      </w:r>
      <w:r w:rsidR="00996937" w:rsidRPr="001E7AA4" w:rsidDel="00F7542E">
        <w:rPr>
          <w:rStyle w:val="eop"/>
          <w:rFonts w:ascii="Calibri" w:hAnsi="Calibri" w:cs="Calibri"/>
        </w:rPr>
        <w:t>change beyond the life of the project</w:t>
      </w:r>
      <w:r w:rsidR="00EF5396" w:rsidRPr="001E7AA4" w:rsidDel="00F7542E">
        <w:rPr>
          <w:rStyle w:val="eop"/>
          <w:rFonts w:ascii="Calibri" w:hAnsi="Calibri" w:cs="Calibri"/>
        </w:rPr>
        <w:t xml:space="preserve"> and break down traditional power imbalances between researcher and </w:t>
      </w:r>
      <w:r w:rsidR="00EA2A26" w:rsidRPr="001E7AA4" w:rsidDel="00F7542E">
        <w:rPr>
          <w:rStyle w:val="eop"/>
          <w:rFonts w:ascii="Calibri" w:hAnsi="Calibri" w:cs="Calibri"/>
        </w:rPr>
        <w:t>community</w:t>
      </w:r>
      <w:r w:rsidR="00861C49" w:rsidRPr="001E7AA4">
        <w:rPr>
          <w:rStyle w:val="eop"/>
          <w:rFonts w:ascii="Calibri" w:hAnsi="Calibri" w:cs="Calibri"/>
        </w:rPr>
        <w:t>.</w:t>
      </w:r>
      <w:r w:rsidR="00861C49" w:rsidRPr="001E7AA4">
        <w:rPr>
          <w:rStyle w:val="FootnoteReference"/>
          <w:rFonts w:ascii="Calibri" w:hAnsi="Calibri" w:cs="Calibri"/>
        </w:rPr>
        <w:footnoteReference w:id="120"/>
      </w:r>
      <w:r w:rsidR="00861C49" w:rsidRPr="001E7AA4">
        <w:rPr>
          <w:rStyle w:val="eop"/>
          <w:rFonts w:ascii="Calibri" w:hAnsi="Calibri" w:cs="Calibri"/>
        </w:rPr>
        <w:t xml:space="preserve"> </w:t>
      </w:r>
      <w:r w:rsidR="002538F7" w:rsidRPr="001E7AA4">
        <w:rPr>
          <w:rStyle w:val="eop"/>
          <w:rFonts w:ascii="Calibri" w:hAnsi="Calibri" w:cs="Calibri"/>
        </w:rPr>
        <w:lastRenderedPageBreak/>
        <w:t xml:space="preserve">Community-led research is particularly </w:t>
      </w:r>
      <w:r w:rsidR="00A21A7B" w:rsidRPr="001E7AA4">
        <w:rPr>
          <w:rStyle w:val="eop"/>
          <w:rFonts w:ascii="Calibri" w:hAnsi="Calibri" w:cs="Calibri"/>
        </w:rPr>
        <w:t xml:space="preserve">important for First Nations communities, </w:t>
      </w:r>
      <w:r w:rsidR="006F112D" w:rsidRPr="001E7AA4">
        <w:rPr>
          <w:rStyle w:val="eop"/>
          <w:rFonts w:ascii="Calibri" w:hAnsi="Calibri" w:cs="Calibri"/>
        </w:rPr>
        <w:t xml:space="preserve">which </w:t>
      </w:r>
      <w:r w:rsidR="00A21A7B" w:rsidRPr="001E7AA4">
        <w:rPr>
          <w:rStyle w:val="eop"/>
          <w:rFonts w:ascii="Calibri" w:hAnsi="Calibri" w:cs="Calibri"/>
        </w:rPr>
        <w:t>have historically been the subject of</w:t>
      </w:r>
      <w:r w:rsidR="002730B7" w:rsidRPr="001E7AA4">
        <w:rPr>
          <w:rStyle w:val="eop"/>
          <w:rFonts w:ascii="Calibri" w:hAnsi="Calibri" w:cs="Calibri"/>
        </w:rPr>
        <w:t xml:space="preserve">, rather than partners in the research process. </w:t>
      </w:r>
    </w:p>
    <w:tbl>
      <w:tblPr>
        <w:tblStyle w:val="CaseStudy0"/>
        <w:tblW w:w="0" w:type="auto"/>
        <w:tblLook w:val="04A0" w:firstRow="1" w:lastRow="0" w:firstColumn="1" w:lastColumn="0" w:noHBand="0" w:noVBand="1"/>
      </w:tblPr>
      <w:tblGrid>
        <w:gridCol w:w="9016"/>
      </w:tblGrid>
      <w:tr w:rsidR="005F5864" w14:paraId="753078F9" w14:textId="77777777" w:rsidTr="005F5864">
        <w:tc>
          <w:tcPr>
            <w:tcW w:w="9016" w:type="dxa"/>
          </w:tcPr>
          <w:p w14:paraId="59A44A4A" w14:textId="77777777" w:rsidR="005F5864" w:rsidRPr="00D46D3D" w:rsidRDefault="005F5864" w:rsidP="005F5864">
            <w:pPr>
              <w:pStyle w:val="CaseStudy-Heading"/>
            </w:pPr>
            <w:r w:rsidRPr="00D46D3D">
              <w:t>Case study: Community-led approaches to First Nations health research</w:t>
            </w:r>
          </w:p>
          <w:p w14:paraId="3E08DDC4" w14:textId="421551DC" w:rsidR="005F5864" w:rsidRPr="005F5864" w:rsidRDefault="005F5864" w:rsidP="005F5864">
            <w:pPr>
              <w:spacing w:after="120"/>
              <w:rPr>
                <w:rStyle w:val="eop"/>
              </w:rPr>
            </w:pPr>
            <w:r w:rsidRPr="001E7AA4">
              <w:t>First Nations community-led health research</w:t>
            </w:r>
            <w:r w:rsidRPr="005F5864">
              <w:t xml:space="preserve">, such as </w:t>
            </w:r>
            <w:r w:rsidRPr="00C95C40">
              <w:rPr>
                <w:rStyle w:val="Emphasis"/>
              </w:rPr>
              <w:t>Education programs for Indigenous Australians about sexually transmitted infections and blood-borne viruses</w:t>
            </w:r>
            <w:r w:rsidRPr="005F5864">
              <w:t>, has produced a number of frameworks that identify a need to reorient current research approaches with First Nations communities, and has led to multifaceted approaches to community education and health promotion.</w:t>
            </w:r>
            <w:r w:rsidRPr="005F5864">
              <w:footnoteReference w:id="121"/>
            </w:r>
            <w:r w:rsidRPr="005F5864">
              <w:t xml:space="preserve"> Reorienting sexual health research with First Nations communities towards community-led frameworks increases the pot</w:t>
            </w:r>
            <w:r w:rsidRPr="001E7AA4">
              <w:t>ential for better data collection and significant improvements in sexual health outcomes for communities.</w:t>
            </w:r>
            <w:r w:rsidRPr="001E7AA4">
              <w:rPr>
                <w:rStyle w:val="FootnoteReference"/>
              </w:rPr>
              <w:footnoteReference w:id="122"/>
            </w:r>
          </w:p>
        </w:tc>
      </w:tr>
    </w:tbl>
    <w:p w14:paraId="4A84A129" w14:textId="3250CD42" w:rsidR="00E447CB" w:rsidRDefault="00AC6138" w:rsidP="005F5864">
      <w:pPr>
        <w:pStyle w:val="Normal-AfterTable"/>
        <w:rPr>
          <w:rStyle w:val="eop"/>
          <w:rFonts w:ascii="Calibri" w:hAnsi="Calibri" w:cs="Calibri"/>
        </w:rPr>
      </w:pPr>
      <w:bookmarkStart w:id="252" w:name="_Toc137829572"/>
      <w:bookmarkStart w:id="253" w:name="_Toc1907630895"/>
      <w:r w:rsidRPr="001E7AA4">
        <w:rPr>
          <w:rStyle w:val="eop"/>
          <w:rFonts w:ascii="Calibri" w:hAnsi="Calibri" w:cs="Calibri"/>
        </w:rPr>
        <w:t>Regional universities also have a crucial role to play in delivering applied research</w:t>
      </w:r>
      <w:r w:rsidR="00E447CB" w:rsidRPr="001E7AA4">
        <w:rPr>
          <w:rStyle w:val="eop"/>
          <w:rFonts w:ascii="Calibri" w:hAnsi="Calibri" w:cs="Calibri"/>
        </w:rPr>
        <w:t xml:space="preserve">. </w:t>
      </w:r>
      <w:r w:rsidR="00C7063C" w:rsidRPr="001E7AA4">
        <w:rPr>
          <w:rStyle w:val="eop"/>
          <w:rFonts w:ascii="Calibri" w:hAnsi="Calibri" w:cs="Calibri"/>
        </w:rPr>
        <w:t xml:space="preserve">Regional universities deliver research that can have </w:t>
      </w:r>
      <w:r w:rsidR="006F112D" w:rsidRPr="001E7AA4">
        <w:rPr>
          <w:rStyle w:val="eop"/>
          <w:rFonts w:ascii="Calibri" w:hAnsi="Calibri" w:cs="Calibri"/>
        </w:rPr>
        <w:t xml:space="preserve">considerable </w:t>
      </w:r>
      <w:r w:rsidR="00C7063C" w:rsidRPr="001E7AA4">
        <w:rPr>
          <w:rStyle w:val="eop"/>
          <w:rFonts w:ascii="Calibri" w:hAnsi="Calibri" w:cs="Calibri"/>
        </w:rPr>
        <w:t xml:space="preserve">impact in their </w:t>
      </w:r>
      <w:r w:rsidR="006F112D" w:rsidRPr="001E7AA4">
        <w:rPr>
          <w:rStyle w:val="eop"/>
          <w:rFonts w:ascii="Calibri" w:hAnsi="Calibri" w:cs="Calibri"/>
        </w:rPr>
        <w:t>communities</w:t>
      </w:r>
      <w:r w:rsidR="00C7063C" w:rsidRPr="001E7AA4">
        <w:rPr>
          <w:rStyle w:val="eop"/>
          <w:rFonts w:ascii="Calibri" w:hAnsi="Calibri" w:cs="Calibri"/>
        </w:rPr>
        <w:t>, bringing innovative and new approaches to the unique and important challenges of their region.</w:t>
      </w:r>
    </w:p>
    <w:tbl>
      <w:tblPr>
        <w:tblStyle w:val="CaseStudy0"/>
        <w:tblW w:w="0" w:type="auto"/>
        <w:tblLook w:val="04A0" w:firstRow="1" w:lastRow="0" w:firstColumn="1" w:lastColumn="0" w:noHBand="0" w:noVBand="1"/>
      </w:tblPr>
      <w:tblGrid>
        <w:gridCol w:w="9016"/>
      </w:tblGrid>
      <w:tr w:rsidR="005F5864" w14:paraId="42F3E2D5" w14:textId="77777777" w:rsidTr="005F5864">
        <w:tc>
          <w:tcPr>
            <w:tcW w:w="9016" w:type="dxa"/>
          </w:tcPr>
          <w:p w14:paraId="3640C2C2" w14:textId="77777777" w:rsidR="005F5864" w:rsidRPr="00D46D3D" w:rsidRDefault="005F5864" w:rsidP="005F5864">
            <w:pPr>
              <w:pStyle w:val="CaseStudy-Heading"/>
            </w:pPr>
            <w:r w:rsidRPr="00D46D3D">
              <w:t>Case study: University of Southern Queensland’s Barley Breeders Program</w:t>
            </w:r>
          </w:p>
          <w:p w14:paraId="6D7C4E69" w14:textId="77777777" w:rsidR="005F5864" w:rsidRPr="001E7AA4" w:rsidRDefault="005F5864" w:rsidP="005F5864">
            <w:r w:rsidRPr="001E7AA4">
              <w:t>Australian barley growers needed help in their fight against a fungal disease that has been causing $177 million in yield losses each year. They received this help from a group of university researchers, led by Associate Professor Anke Martin of the University of Southern Queensland. The research undertaken in the University of Southern Queensland’s Barley Breeders program will produce fungal strains with multiple virulence genes for fast and cost-effective testing of barley lines, untangle the fungal/host gene interaction for resistance breeding and identify new sources of resistance.</w:t>
            </w:r>
          </w:p>
          <w:p w14:paraId="6B29F048" w14:textId="46887902" w:rsidR="005F5864" w:rsidRPr="005F5864" w:rsidRDefault="005F5864" w:rsidP="005F5864">
            <w:pPr>
              <w:spacing w:after="120"/>
              <w:rPr>
                <w:rStyle w:val="eop"/>
              </w:rPr>
            </w:pPr>
            <w:r w:rsidRPr="001E7AA4">
              <w:t>This research aims to help in developing disease resistant barely varieties, preventing millions of dollars of crop losses for the barley industry.</w:t>
            </w:r>
            <w:r w:rsidRPr="001E7AA4">
              <w:rPr>
                <w:rStyle w:val="FootnoteReference"/>
              </w:rPr>
              <w:footnoteReference w:id="123"/>
            </w:r>
            <w:r w:rsidRPr="001E7AA4">
              <w:t xml:space="preserve"> The research to equip Australian growers with novel biological and genetic tools is a result of a collaboration between university researchers, industry partners led by InterGrain Pty Ltd. This has been successful in obtaining funding under the Australian Research Council Linkage Grants program.</w:t>
            </w:r>
            <w:r w:rsidRPr="001E7AA4">
              <w:rPr>
                <w:rStyle w:val="FootnoteReference"/>
              </w:rPr>
              <w:footnoteReference w:id="124"/>
            </w:r>
            <w:r w:rsidRPr="001E7AA4">
              <w:t xml:space="preserve"> The research partnership could lead to commercialisation of barely varieties with durable fungal resistance by Australian breeding companies.</w:t>
            </w:r>
          </w:p>
        </w:tc>
      </w:tr>
    </w:tbl>
    <w:p w14:paraId="4019BBE2" w14:textId="77777777" w:rsidR="005F5864" w:rsidRDefault="005F5864">
      <w:pPr>
        <w:spacing w:after="160"/>
        <w:rPr>
          <w:rFonts w:asciiTheme="majorHAnsi" w:eastAsiaTheme="majorEastAsia" w:hAnsiTheme="majorHAnsi" w:cstheme="majorBidi"/>
          <w:b/>
          <w:color w:val="297BAF"/>
          <w:sz w:val="28"/>
        </w:rPr>
      </w:pPr>
      <w:bookmarkStart w:id="254" w:name="_Toc139028904"/>
      <w:r>
        <w:br w:type="page"/>
      </w:r>
    </w:p>
    <w:p w14:paraId="7E4A0186" w14:textId="1A155990" w:rsidR="007332E7" w:rsidRPr="001E7AA4" w:rsidRDefault="396F51D7" w:rsidP="00F72CFE">
      <w:pPr>
        <w:pStyle w:val="Heading5"/>
      </w:pPr>
      <w:r w:rsidRPr="009D5761">
        <w:lastRenderedPageBreak/>
        <w:t>2.6.</w:t>
      </w:r>
      <w:r w:rsidR="160F7531" w:rsidRPr="009D5761">
        <w:t>3</w:t>
      </w:r>
      <w:r w:rsidRPr="009D5761">
        <w:t xml:space="preserve"> </w:t>
      </w:r>
      <w:r w:rsidR="50EBC487" w:rsidRPr="009D5761">
        <w:t xml:space="preserve">The importance of </w:t>
      </w:r>
      <w:bookmarkEnd w:id="252"/>
      <w:r w:rsidR="007C71E8" w:rsidRPr="009D5761">
        <w:t>a</w:t>
      </w:r>
      <w:r w:rsidR="50EBC487" w:rsidRPr="009D5761">
        <w:t>lumni</w:t>
      </w:r>
      <w:bookmarkEnd w:id="254"/>
      <w:r w:rsidR="030B6909" w:rsidRPr="009D5761">
        <w:t xml:space="preserve"> </w:t>
      </w:r>
      <w:bookmarkEnd w:id="253"/>
    </w:p>
    <w:p w14:paraId="78297A1F" w14:textId="42AC5CEC" w:rsidR="007332E7" w:rsidRPr="001E7AA4" w:rsidRDefault="007332E7" w:rsidP="007332E7">
      <w:pPr>
        <w:rPr>
          <w:rStyle w:val="normaltextrun"/>
          <w:rFonts w:ascii="Calibri" w:hAnsi="Calibri" w:cs="Calibri"/>
        </w:rPr>
      </w:pPr>
      <w:r w:rsidRPr="001E7AA4">
        <w:rPr>
          <w:rStyle w:val="normaltextrun"/>
          <w:rFonts w:ascii="Calibri" w:hAnsi="Calibri" w:cs="Calibri"/>
        </w:rPr>
        <w:t>A university’s graduates are a valuable part of its community, forming a bridge between the educational institution and the networks within which they operate</w:t>
      </w:r>
      <w:r w:rsidRPr="001E7AA4" w:rsidDel="009912DC">
        <w:rPr>
          <w:rStyle w:val="normaltextrun"/>
          <w:rFonts w:ascii="Calibri" w:hAnsi="Calibri" w:cs="Calibri"/>
        </w:rPr>
        <w:t xml:space="preserve">. </w:t>
      </w:r>
      <w:r w:rsidRPr="001E7AA4">
        <w:rPr>
          <w:rStyle w:val="normaltextrun"/>
          <w:rFonts w:ascii="Calibri" w:hAnsi="Calibri" w:cs="Calibri"/>
        </w:rPr>
        <w:t>Institutional capability can be built through alumni engagement and philanthropy, while alumni also promote the benefits of their institutions.</w:t>
      </w:r>
      <w:r w:rsidR="007C71E8" w:rsidRPr="001E7AA4">
        <w:rPr>
          <w:rStyle w:val="normaltextrun"/>
          <w:rFonts w:ascii="Calibri" w:hAnsi="Calibri" w:cs="Calibri"/>
        </w:rPr>
        <w:t xml:space="preserve"> </w:t>
      </w:r>
      <w:r w:rsidRPr="001E7AA4">
        <w:rPr>
          <w:rStyle w:val="normaltextrun"/>
          <w:rFonts w:ascii="Calibri" w:hAnsi="Calibri" w:cs="Calibri"/>
        </w:rPr>
        <w:t xml:space="preserve">Alumni networks can also provide opportunities for </w:t>
      </w:r>
      <w:r w:rsidR="1EC5AD18" w:rsidRPr="001E7AA4">
        <w:rPr>
          <w:rStyle w:val="normaltextrun"/>
          <w:rFonts w:ascii="Calibri" w:hAnsi="Calibri" w:cs="Calibri"/>
        </w:rPr>
        <w:t>WIL</w:t>
      </w:r>
      <w:r w:rsidRPr="001E7AA4">
        <w:rPr>
          <w:rStyle w:val="normaltextrun"/>
          <w:rFonts w:ascii="Calibri" w:hAnsi="Calibri" w:cs="Calibri"/>
        </w:rPr>
        <w:t xml:space="preserve"> and other opportunities for industry engagement. </w:t>
      </w:r>
    </w:p>
    <w:p w14:paraId="6A3EEE9F" w14:textId="7ACA1268" w:rsidR="007332E7" w:rsidRPr="001E7AA4" w:rsidRDefault="007332E7" w:rsidP="007332E7">
      <w:pPr>
        <w:rPr>
          <w:rStyle w:val="eop"/>
          <w:rFonts w:ascii="Calibri" w:hAnsi="Calibri" w:cs="Calibri"/>
        </w:rPr>
      </w:pPr>
      <w:r w:rsidRPr="001E7AA4">
        <w:rPr>
          <w:rStyle w:val="normaltextrun"/>
          <w:rFonts w:ascii="Calibri" w:hAnsi="Calibri" w:cs="Calibri"/>
        </w:rPr>
        <w:t xml:space="preserve">As discussed in </w:t>
      </w:r>
      <w:r w:rsidR="00DA2613" w:rsidRPr="001E7AA4">
        <w:rPr>
          <w:rStyle w:val="normaltextrun"/>
          <w:rFonts w:ascii="Calibri" w:hAnsi="Calibri" w:cs="Calibri"/>
        </w:rPr>
        <w:t>Section</w:t>
      </w:r>
      <w:r w:rsidRPr="001E7AA4">
        <w:rPr>
          <w:rStyle w:val="normaltextrun"/>
          <w:rFonts w:ascii="Calibri" w:hAnsi="Calibri" w:cs="Calibri"/>
        </w:rPr>
        <w:t xml:space="preserve"> 2.5, international students spend some of their most formative years in Australian universities and can be powerful champions for Australia across the world. </w:t>
      </w:r>
      <w:r w:rsidR="006F112D" w:rsidRPr="001E7AA4">
        <w:rPr>
          <w:rStyle w:val="normaltextrun"/>
          <w:rFonts w:ascii="Calibri" w:hAnsi="Calibri" w:cs="Calibri"/>
        </w:rPr>
        <w:t>And</w:t>
      </w:r>
      <w:r w:rsidR="006F112D" w:rsidRPr="001E7AA4">
        <w:rPr>
          <w:rStyle w:val="eop"/>
          <w:rFonts w:ascii="Calibri" w:hAnsi="Calibri" w:cs="Calibri"/>
        </w:rPr>
        <w:t xml:space="preserve"> </w:t>
      </w:r>
      <w:r w:rsidRPr="001E7AA4">
        <w:rPr>
          <w:rStyle w:val="eop"/>
          <w:rFonts w:ascii="Calibri" w:hAnsi="Calibri" w:cs="Calibri"/>
        </w:rPr>
        <w:t xml:space="preserve">close connection to a cohort can be a positive part of student life for both international and domestic students. </w:t>
      </w:r>
      <w:r w:rsidR="007C71E8" w:rsidRPr="001E7AA4">
        <w:rPr>
          <w:rStyle w:val="eop"/>
          <w:rFonts w:ascii="Calibri" w:hAnsi="Calibri" w:cs="Calibri"/>
        </w:rPr>
        <w:t>C</w:t>
      </w:r>
      <w:r w:rsidRPr="001E7AA4">
        <w:rPr>
          <w:rStyle w:val="eop"/>
          <w:rFonts w:ascii="Calibri" w:hAnsi="Calibri" w:cs="Calibri"/>
        </w:rPr>
        <w:t>ohort</w:t>
      </w:r>
      <w:r w:rsidR="007C71E8" w:rsidRPr="001E7AA4">
        <w:rPr>
          <w:rStyle w:val="eop"/>
          <w:rFonts w:ascii="Calibri" w:hAnsi="Calibri" w:cs="Calibri"/>
        </w:rPr>
        <w:t>s</w:t>
      </w:r>
      <w:r w:rsidRPr="001E7AA4">
        <w:rPr>
          <w:rStyle w:val="eop"/>
          <w:rFonts w:ascii="Calibri" w:hAnsi="Calibri" w:cs="Calibri"/>
        </w:rPr>
        <w:t xml:space="preserve"> often help each other to succeed in their studies.</w:t>
      </w:r>
    </w:p>
    <w:p w14:paraId="0B55313E" w14:textId="5B97FE23" w:rsidR="007332E7" w:rsidRDefault="4789D4AD" w:rsidP="007332E7">
      <w:pPr>
        <w:rPr>
          <w:rStyle w:val="eop"/>
          <w:rFonts w:ascii="Calibri" w:hAnsi="Calibri" w:cs="Calibri"/>
        </w:rPr>
      </w:pPr>
      <w:r w:rsidRPr="001E7AA4">
        <w:rPr>
          <w:rStyle w:val="eop"/>
          <w:rFonts w:ascii="Calibri" w:hAnsi="Calibri" w:cs="Calibri"/>
        </w:rPr>
        <w:t>The</w:t>
      </w:r>
      <w:r w:rsidR="4102FF98" w:rsidRPr="001E7AA4">
        <w:rPr>
          <w:rStyle w:val="eop"/>
          <w:rFonts w:ascii="Calibri" w:hAnsi="Calibri" w:cs="Calibri"/>
        </w:rPr>
        <w:t xml:space="preserve"> Review is </w:t>
      </w:r>
      <w:r w:rsidR="00846CB4" w:rsidRPr="001E7AA4">
        <w:rPr>
          <w:rStyle w:val="eop"/>
          <w:rFonts w:ascii="Calibri" w:hAnsi="Calibri" w:cs="Calibri"/>
        </w:rPr>
        <w:t>considering options to drive</w:t>
      </w:r>
      <w:r w:rsidR="007332E7" w:rsidRPr="001E7AA4">
        <w:rPr>
          <w:rStyle w:val="eop"/>
          <w:rFonts w:ascii="Calibri" w:hAnsi="Calibri" w:cs="Calibri"/>
        </w:rPr>
        <w:t xml:space="preserve"> greater encouragement and leveraging of alumni networks to provide opportunities for </w:t>
      </w:r>
      <w:r w:rsidR="0610068A" w:rsidRPr="001E7AA4">
        <w:rPr>
          <w:rStyle w:val="eop"/>
          <w:rFonts w:ascii="Calibri" w:hAnsi="Calibri" w:cs="Calibri"/>
        </w:rPr>
        <w:t>WIL</w:t>
      </w:r>
      <w:r w:rsidR="007332E7" w:rsidRPr="001E7AA4">
        <w:rPr>
          <w:rStyle w:val="eop"/>
          <w:rFonts w:ascii="Calibri" w:hAnsi="Calibri" w:cs="Calibri"/>
        </w:rPr>
        <w:t xml:space="preserve"> and industry engagement, as well as a greater focus on helping students find a cohort of connected students in larger institutions or while studying online.</w:t>
      </w:r>
    </w:p>
    <w:tbl>
      <w:tblPr>
        <w:tblStyle w:val="CaseStudy0"/>
        <w:tblW w:w="0" w:type="auto"/>
        <w:tblLook w:val="04A0" w:firstRow="1" w:lastRow="0" w:firstColumn="1" w:lastColumn="0" w:noHBand="0" w:noVBand="1"/>
      </w:tblPr>
      <w:tblGrid>
        <w:gridCol w:w="9016"/>
      </w:tblGrid>
      <w:tr w:rsidR="005F5864" w14:paraId="6ED307AB" w14:textId="77777777" w:rsidTr="005F5864">
        <w:tc>
          <w:tcPr>
            <w:tcW w:w="9016" w:type="dxa"/>
          </w:tcPr>
          <w:p w14:paraId="516388AF" w14:textId="77777777" w:rsidR="005F5864" w:rsidRPr="001E7AA4" w:rsidRDefault="005F5864" w:rsidP="005F5864">
            <w:pPr>
              <w:pStyle w:val="CaseStudy-Heading"/>
            </w:pPr>
            <w:r w:rsidRPr="00D46D3D">
              <w:t>Case study: The Indigenous Alumni Network</w:t>
            </w:r>
            <w:r w:rsidRPr="001E7AA4">
              <w:rPr>
                <w:rStyle w:val="FootnoteReference"/>
              </w:rPr>
              <w:footnoteReference w:id="125"/>
            </w:r>
          </w:p>
          <w:p w14:paraId="0163DAF1" w14:textId="2F599119" w:rsidR="005F5864" w:rsidRPr="005F5864" w:rsidRDefault="005F5864" w:rsidP="005F5864">
            <w:pPr>
              <w:spacing w:after="120"/>
              <w:rPr>
                <w:rStyle w:val="eop"/>
              </w:rPr>
            </w:pPr>
            <w:r w:rsidRPr="001E7AA4">
              <w:t>Established by First Nations alumni from the 1980s and 1990s, the objective of the Australian National University Indigenous Alumni Network is to enable Indigenous students and alumni to engage and remain connected with each other and the Australian National University.</w:t>
            </w:r>
          </w:p>
        </w:tc>
      </w:tr>
    </w:tbl>
    <w:p w14:paraId="08C27296" w14:textId="075F72D0" w:rsidR="007332E7" w:rsidRPr="009D5761" w:rsidRDefault="396F51D7" w:rsidP="00F72CFE">
      <w:pPr>
        <w:pStyle w:val="Heading5"/>
      </w:pPr>
      <w:bookmarkStart w:id="255" w:name="_Toc136259220"/>
      <w:bookmarkStart w:id="256" w:name="_Toc137829573"/>
      <w:bookmarkStart w:id="257" w:name="_Toc243678241"/>
      <w:bookmarkStart w:id="258" w:name="_Toc139028905"/>
      <w:r w:rsidRPr="009D5761">
        <w:t>2.6.</w:t>
      </w:r>
      <w:r w:rsidR="160F7531" w:rsidRPr="009D5761">
        <w:t>4</w:t>
      </w:r>
      <w:r w:rsidRPr="009D5761">
        <w:t xml:space="preserve"> </w:t>
      </w:r>
      <w:bookmarkEnd w:id="255"/>
      <w:r w:rsidRPr="009D5761">
        <w:t>A stronger civic agenda</w:t>
      </w:r>
      <w:bookmarkEnd w:id="256"/>
      <w:bookmarkEnd w:id="257"/>
      <w:bookmarkEnd w:id="258"/>
    </w:p>
    <w:p w14:paraId="26B293A0" w14:textId="4F3497C4" w:rsidR="007332E7" w:rsidRDefault="007332E7" w:rsidP="007332E7">
      <w:pPr>
        <w:rPr>
          <w:rStyle w:val="normaltextrun"/>
          <w:rFonts w:ascii="Calibri" w:hAnsi="Calibri" w:cs="Calibri"/>
        </w:rPr>
      </w:pPr>
      <w:r w:rsidRPr="001E7AA4">
        <w:rPr>
          <w:rStyle w:val="normaltextrun"/>
          <w:rFonts w:ascii="Calibri" w:hAnsi="Calibri" w:cs="Calibri"/>
        </w:rPr>
        <w:t xml:space="preserve">Higher education is strongly associated with civic engagement. It advances students’ civic mindedness and engagement, thus increasing the active citizenship and democratic strength of our society. </w:t>
      </w:r>
      <w:r w:rsidR="00DB4DB6" w:rsidRPr="001E7AA4">
        <w:rPr>
          <w:rStyle w:val="normaltextrun"/>
          <w:rFonts w:ascii="Calibri" w:hAnsi="Calibri" w:cs="Calibri"/>
        </w:rPr>
        <w:t>T</w:t>
      </w:r>
      <w:r w:rsidRPr="001E7AA4">
        <w:rPr>
          <w:rStyle w:val="normaltextrun"/>
          <w:rFonts w:ascii="Calibri" w:hAnsi="Calibri" w:cs="Calibri"/>
        </w:rPr>
        <w:t xml:space="preserve">he Review </w:t>
      </w:r>
      <w:r w:rsidR="00DB4DB6" w:rsidRPr="001E7AA4">
        <w:rPr>
          <w:rStyle w:val="normaltextrun"/>
          <w:rFonts w:ascii="Calibri" w:hAnsi="Calibri" w:cs="Calibri"/>
        </w:rPr>
        <w:t xml:space="preserve">suggests that </w:t>
      </w:r>
      <w:r w:rsidRPr="001E7AA4">
        <w:rPr>
          <w:rStyle w:val="normaltextrun"/>
          <w:rFonts w:ascii="Calibri" w:hAnsi="Calibri" w:cs="Calibri"/>
        </w:rPr>
        <w:t>community engagement classification measures should be considered</w:t>
      </w:r>
      <w:r w:rsidR="00DB4DB6" w:rsidRPr="001E7AA4">
        <w:rPr>
          <w:rStyle w:val="normaltextrun"/>
          <w:rFonts w:ascii="Calibri" w:hAnsi="Calibri" w:cs="Calibri"/>
        </w:rPr>
        <w:t xml:space="preserve"> by higher education institutions</w:t>
      </w:r>
      <w:r w:rsidRPr="001E7AA4">
        <w:rPr>
          <w:rStyle w:val="normaltextrun"/>
          <w:rFonts w:ascii="Calibri" w:hAnsi="Calibri" w:cs="Calibri"/>
        </w:rPr>
        <w:t>, given the stated difficulty in quantifying the efforts of providers in this regard. A growing range of evaluation, ranking and analysis is being built internationally across higher education (</w:t>
      </w:r>
      <w:r w:rsidR="00A004FF" w:rsidRPr="001E7AA4">
        <w:rPr>
          <w:rStyle w:val="normaltextrun"/>
          <w:rFonts w:ascii="Calibri" w:hAnsi="Calibri" w:cs="Calibri"/>
        </w:rPr>
        <w:t>for example</w:t>
      </w:r>
      <w:r w:rsidR="00CD0577" w:rsidRPr="001E7AA4">
        <w:rPr>
          <w:rStyle w:val="normaltextrun"/>
          <w:rFonts w:ascii="Calibri" w:hAnsi="Calibri" w:cs="Calibri"/>
        </w:rPr>
        <w:t>,</w:t>
      </w:r>
      <w:r w:rsidR="00DB4DB6" w:rsidRPr="001E7AA4">
        <w:rPr>
          <w:rStyle w:val="normaltextrun"/>
          <w:rFonts w:ascii="Calibri" w:hAnsi="Calibri" w:cs="Calibri"/>
        </w:rPr>
        <w:t xml:space="preserve"> </w:t>
      </w:r>
      <w:r w:rsidR="00752979" w:rsidRPr="001E7AA4">
        <w:rPr>
          <w:rStyle w:val="normaltextrun"/>
          <w:rFonts w:ascii="Calibri" w:hAnsi="Calibri" w:cs="Calibri"/>
        </w:rPr>
        <w:t xml:space="preserve">the </w:t>
      </w:r>
      <w:r w:rsidRPr="001E7AA4">
        <w:rPr>
          <w:rStyle w:val="normaltextrun"/>
          <w:rFonts w:ascii="Calibri" w:hAnsi="Calibri" w:cs="Calibri"/>
        </w:rPr>
        <w:t>T</w:t>
      </w:r>
      <w:r w:rsidR="00752979" w:rsidRPr="001E7AA4">
        <w:rPr>
          <w:rStyle w:val="normaltextrun"/>
          <w:rFonts w:ascii="Calibri" w:hAnsi="Calibri" w:cs="Calibri"/>
        </w:rPr>
        <w:t xml:space="preserve">imes </w:t>
      </w:r>
      <w:r w:rsidRPr="001E7AA4">
        <w:rPr>
          <w:rStyle w:val="normaltextrun"/>
          <w:rFonts w:ascii="Calibri" w:hAnsi="Calibri" w:cs="Calibri"/>
        </w:rPr>
        <w:t>H</w:t>
      </w:r>
      <w:r w:rsidR="00752979" w:rsidRPr="001E7AA4">
        <w:rPr>
          <w:rStyle w:val="normaltextrun"/>
          <w:rFonts w:ascii="Calibri" w:hAnsi="Calibri" w:cs="Calibri"/>
        </w:rPr>
        <w:t xml:space="preserve">igher </w:t>
      </w:r>
      <w:r w:rsidRPr="001E7AA4">
        <w:rPr>
          <w:rStyle w:val="normaltextrun"/>
          <w:rFonts w:ascii="Calibri" w:hAnsi="Calibri" w:cs="Calibri"/>
        </w:rPr>
        <w:t>E</w:t>
      </w:r>
      <w:r w:rsidR="00752979" w:rsidRPr="001E7AA4">
        <w:rPr>
          <w:rStyle w:val="normaltextrun"/>
          <w:rFonts w:ascii="Calibri" w:hAnsi="Calibri" w:cs="Calibri"/>
        </w:rPr>
        <w:t>ducation</w:t>
      </w:r>
      <w:r w:rsidRPr="001E7AA4">
        <w:rPr>
          <w:rStyle w:val="normaltextrun"/>
          <w:rFonts w:ascii="Calibri" w:hAnsi="Calibri" w:cs="Calibri"/>
        </w:rPr>
        <w:t xml:space="preserve"> Impact rankings</w:t>
      </w:r>
      <w:r w:rsidR="00232CD8" w:rsidRPr="001E7AA4">
        <w:rPr>
          <w:rStyle w:val="normaltextrun"/>
          <w:rFonts w:ascii="Calibri" w:hAnsi="Calibri" w:cs="Calibri"/>
        </w:rPr>
        <w:t>),</w:t>
      </w:r>
      <w:r w:rsidR="004800C7" w:rsidRPr="001E7AA4">
        <w:rPr>
          <w:rStyle w:val="FootnoteReference"/>
          <w:rFonts w:ascii="Calibri" w:hAnsi="Calibri" w:cs="Calibri"/>
        </w:rPr>
        <w:footnoteReference w:id="126"/>
      </w:r>
      <w:r w:rsidRPr="001E7AA4">
        <w:rPr>
          <w:rStyle w:val="normaltextrun"/>
          <w:rFonts w:ascii="Calibri" w:hAnsi="Calibri" w:cs="Calibri"/>
        </w:rPr>
        <w:t xml:space="preserve"> and all sectors</w:t>
      </w:r>
      <w:r w:rsidR="00232CD8" w:rsidRPr="001E7AA4">
        <w:rPr>
          <w:rStyle w:val="normaltextrun"/>
          <w:rFonts w:ascii="Calibri" w:hAnsi="Calibri" w:cs="Calibri"/>
        </w:rPr>
        <w:t>,</w:t>
      </w:r>
      <w:r w:rsidRPr="001E7AA4">
        <w:rPr>
          <w:rStyle w:val="normaltextrun"/>
          <w:rFonts w:ascii="Calibri" w:hAnsi="Calibri" w:cs="Calibri"/>
        </w:rPr>
        <w:t xml:space="preserve"> as the world focuses more intently on environmental, social and governance outcomes alongside economic output.</w:t>
      </w:r>
    </w:p>
    <w:tbl>
      <w:tblPr>
        <w:tblStyle w:val="SpotLight0"/>
        <w:tblW w:w="0" w:type="auto"/>
        <w:tblLook w:val="04A0" w:firstRow="1" w:lastRow="0" w:firstColumn="1" w:lastColumn="0" w:noHBand="0" w:noVBand="1"/>
      </w:tblPr>
      <w:tblGrid>
        <w:gridCol w:w="9016"/>
      </w:tblGrid>
      <w:tr w:rsidR="005F5864" w14:paraId="5F357AC1" w14:textId="77777777" w:rsidTr="005F5864">
        <w:tc>
          <w:tcPr>
            <w:tcW w:w="9016" w:type="dxa"/>
          </w:tcPr>
          <w:p w14:paraId="001AD8DC" w14:textId="77777777" w:rsidR="005F5864" w:rsidRPr="00D46D3D" w:rsidRDefault="005F5864" w:rsidP="005F5864">
            <w:pPr>
              <w:pStyle w:val="CaseStudy-Heading"/>
            </w:pPr>
            <w:r w:rsidRPr="00D46D3D">
              <w:t>Spotlight: A community focussed mission-based compact</w:t>
            </w:r>
          </w:p>
          <w:p w14:paraId="0C421BE9" w14:textId="4E0E8F58" w:rsidR="005F5864" w:rsidRDefault="005F5864" w:rsidP="005F5864">
            <w:pPr>
              <w:spacing w:after="120"/>
              <w:rPr>
                <w:rStyle w:val="normaltextrun"/>
                <w:rFonts w:ascii="Calibri" w:hAnsi="Calibri" w:cs="Calibri"/>
              </w:rPr>
            </w:pPr>
            <w:r w:rsidRPr="001E7AA4">
              <w:rPr>
                <w:rStyle w:val="normaltextrun"/>
                <w:rFonts w:ascii="Calibri" w:hAnsi="Calibri" w:cs="Calibri"/>
              </w:rPr>
              <w:t xml:space="preserve">The Review heard of the need for renewed mission-based compacts that recognise the community engagement work of universities. </w:t>
            </w:r>
            <w:r w:rsidRPr="001E7AA4">
              <w:rPr>
                <w:rStyle w:val="normaltextrun"/>
              </w:rPr>
              <w:t>Such agreements would enable institutions to specialise and align their missions and activities to the communities they serve. Mission</w:t>
            </w:r>
            <w:r w:rsidRPr="001E7AA4">
              <w:rPr>
                <w:rStyle w:val="normaltextrun"/>
                <w:rFonts w:ascii="Calibri" w:hAnsi="Calibri" w:cs="Calibri"/>
              </w:rPr>
              <w:t>-based compacts would be an avenue for universities to demonstrate engagement with their unique community and detail plans to further advance their civic functions.</w:t>
            </w:r>
          </w:p>
        </w:tc>
      </w:tr>
    </w:tbl>
    <w:p w14:paraId="35B7EFCB" w14:textId="77777777" w:rsidR="005F5864" w:rsidRDefault="005F5864">
      <w:pPr>
        <w:spacing w:after="160"/>
        <w:rPr>
          <w:rFonts w:asciiTheme="majorHAnsi" w:eastAsiaTheme="majorEastAsia" w:hAnsiTheme="majorHAnsi" w:cstheme="majorBidi"/>
          <w:b/>
          <w:color w:val="297BAF"/>
          <w:sz w:val="28"/>
        </w:rPr>
      </w:pPr>
      <w:bookmarkStart w:id="259" w:name="_Toc139028906"/>
      <w:r>
        <w:br w:type="page"/>
      </w:r>
    </w:p>
    <w:p w14:paraId="33B19D07" w14:textId="46BC027A" w:rsidR="007332E7" w:rsidRPr="001E7AA4" w:rsidRDefault="00045EB9" w:rsidP="00F72CFE">
      <w:pPr>
        <w:pStyle w:val="Heading5"/>
      </w:pPr>
      <w:r w:rsidRPr="001E7AA4">
        <w:lastRenderedPageBreak/>
        <w:t>Considerations for change</w:t>
      </w:r>
      <w:bookmarkEnd w:id="259"/>
    </w:p>
    <w:p w14:paraId="3DE7918C" w14:textId="4429ECAA" w:rsidR="001512E7" w:rsidRPr="001E7AA4" w:rsidRDefault="001512E7" w:rsidP="001512E7">
      <w:pPr>
        <w:spacing w:after="160" w:line="240" w:lineRule="auto"/>
      </w:pPr>
      <w:r w:rsidRPr="001E7AA4">
        <w:t xml:space="preserve">To ensure higher education providers deliver for their communities and </w:t>
      </w:r>
      <w:r w:rsidRPr="001E7AA4">
        <w:rPr>
          <w:rStyle w:val="normaltextrun"/>
          <w:rFonts w:ascii="Calibri" w:hAnsi="Calibri" w:cs="Calibri"/>
        </w:rPr>
        <w:t xml:space="preserve">make distinctive contributions at a local, regional and national level, </w:t>
      </w:r>
      <w:r w:rsidR="008C415B" w:rsidRPr="001E7AA4">
        <w:t xml:space="preserve">the </w:t>
      </w:r>
      <w:r w:rsidR="004104C4" w:rsidRPr="001E7AA4">
        <w:t xml:space="preserve">Review </w:t>
      </w:r>
      <w:r w:rsidR="008C415B" w:rsidRPr="001E7AA4">
        <w:t>will continue to give consideration to</w:t>
      </w:r>
      <w:r w:rsidR="00C06974" w:rsidRPr="001E7AA4">
        <w:t xml:space="preserve"> the following policy areas</w:t>
      </w:r>
      <w:r w:rsidR="008C415B" w:rsidRPr="001E7AA4">
        <w:t>:</w:t>
      </w:r>
      <w:r w:rsidR="008C415B" w:rsidRPr="001E7AA4">
        <w:rPr>
          <w:rFonts w:ascii="Calibri" w:eastAsia="Calibri" w:hAnsi="Calibri" w:cs="Calibri"/>
        </w:rPr>
        <w:t xml:space="preserve"> </w:t>
      </w:r>
    </w:p>
    <w:p w14:paraId="0D72FFF6" w14:textId="205C57E6" w:rsidR="009F0D99" w:rsidRPr="001E7AA4" w:rsidRDefault="009F0D99" w:rsidP="00A025B1">
      <w:pPr>
        <w:pStyle w:val="ListParagraph"/>
        <w:numPr>
          <w:ilvl w:val="0"/>
          <w:numId w:val="56"/>
        </w:numPr>
        <w:spacing w:line="240" w:lineRule="auto"/>
      </w:pPr>
      <w:r w:rsidRPr="001E7AA4">
        <w:t>recognising and formalising the crucial role institutions play in their communities through the Accord process and mission-based compacts</w:t>
      </w:r>
    </w:p>
    <w:p w14:paraId="0FD22A08" w14:textId="77777777" w:rsidR="009F0D99" w:rsidRPr="001E7AA4" w:rsidRDefault="009F0D99" w:rsidP="00A025B1">
      <w:pPr>
        <w:pStyle w:val="ListParagraph"/>
        <w:numPr>
          <w:ilvl w:val="0"/>
          <w:numId w:val="56"/>
        </w:numPr>
        <w:spacing w:line="240" w:lineRule="auto"/>
      </w:pPr>
      <w:r w:rsidRPr="001E7AA4">
        <w:t>the creation of stronger links between industry and education, particularly in regional areas and other areas with low participation and attainment rates</w:t>
      </w:r>
    </w:p>
    <w:p w14:paraId="4BA89FE1" w14:textId="58109B0E" w:rsidR="00111F20" w:rsidRPr="001E7AA4" w:rsidRDefault="009F0D99" w:rsidP="00A025B1">
      <w:pPr>
        <w:pStyle w:val="ListParagraph"/>
        <w:numPr>
          <w:ilvl w:val="0"/>
          <w:numId w:val="56"/>
        </w:numPr>
        <w:spacing w:line="240" w:lineRule="auto"/>
      </w:pPr>
      <w:r w:rsidRPr="001E7AA4">
        <w:t>encouraging institutions to draw on the strengths of their alumni communities</w:t>
      </w:r>
      <w:r w:rsidR="00990F2A" w:rsidRPr="001E7AA4">
        <w:t>.</w:t>
      </w:r>
    </w:p>
    <w:p w14:paraId="6E47A13B" w14:textId="03C8D3FC" w:rsidR="008B1A15" w:rsidRPr="001E7AA4" w:rsidRDefault="008B1A15">
      <w:pPr>
        <w:spacing w:after="160"/>
      </w:pPr>
      <w:r w:rsidRPr="001E7AA4">
        <w:br w:type="page"/>
      </w:r>
    </w:p>
    <w:p w14:paraId="2FD60490" w14:textId="665EC0C3" w:rsidR="008B1A15" w:rsidRPr="001E7AA4" w:rsidRDefault="5BAAEE5A" w:rsidP="00F72CFE">
      <w:pPr>
        <w:pStyle w:val="Heading4"/>
      </w:pPr>
      <w:bookmarkStart w:id="260" w:name="_Toc135739793"/>
      <w:bookmarkStart w:id="261" w:name="_Toc135741097"/>
      <w:bookmarkStart w:id="262" w:name="_Toc136169184"/>
      <w:bookmarkStart w:id="263" w:name="_Toc137829575"/>
      <w:bookmarkStart w:id="264" w:name="_Toc1329289899"/>
      <w:bookmarkStart w:id="265" w:name="_Toc139028907"/>
      <w:bookmarkStart w:id="266" w:name="_Toc135580947"/>
      <w:r w:rsidRPr="001E7AA4">
        <w:lastRenderedPageBreak/>
        <w:t>2.7: Research, innovation and research training</w:t>
      </w:r>
      <w:bookmarkEnd w:id="260"/>
      <w:bookmarkEnd w:id="261"/>
      <w:bookmarkEnd w:id="262"/>
      <w:bookmarkEnd w:id="263"/>
      <w:bookmarkEnd w:id="264"/>
      <w:bookmarkEnd w:id="265"/>
      <w:r w:rsidRPr="001E7AA4">
        <w:t xml:space="preserve"> </w:t>
      </w:r>
    </w:p>
    <w:bookmarkEnd w:id="266"/>
    <w:p w14:paraId="4079D1D1" w14:textId="77777777" w:rsidR="008B1A15" w:rsidRPr="001E7AA4" w:rsidRDefault="008B1A15" w:rsidP="008B1A15"/>
    <w:p w14:paraId="1C732009" w14:textId="23AFA598" w:rsidR="008B1A15" w:rsidRPr="001E7AA4" w:rsidRDefault="008B1A15" w:rsidP="008B1A15">
      <w:pPr>
        <w:pStyle w:val="Quote"/>
      </w:pPr>
      <w:r w:rsidRPr="001E7AA4">
        <w:t>“</w:t>
      </w:r>
      <w:r w:rsidR="00BC190B" w:rsidRPr="001E7AA4">
        <w:t>Australia has a world-class research system, which is why it is critical that we get the policy settings right to continue to support universities in their research efforts. … To realise the full potential of Australia’s research efforts and capacity, investment in research and development must be lifted to meet the average of our international competitors.</w:t>
      </w:r>
      <w:r w:rsidRPr="001E7AA4">
        <w:t xml:space="preserve">” </w:t>
      </w:r>
      <w:r w:rsidR="00E07DA8">
        <w:br/>
      </w:r>
      <w:r w:rsidRPr="001E7AA4">
        <w:t xml:space="preserve">– </w:t>
      </w:r>
      <w:r w:rsidR="00BC190B" w:rsidRPr="001E7AA4">
        <w:t>Universities Australia</w:t>
      </w:r>
      <w:r w:rsidRPr="001E7AA4">
        <w:t xml:space="preserve"> </w:t>
      </w:r>
    </w:p>
    <w:p w14:paraId="07A0BC56" w14:textId="77777777" w:rsidR="008B1A15" w:rsidRPr="001E7AA4" w:rsidRDefault="5BAAEE5A" w:rsidP="00F72CFE">
      <w:pPr>
        <w:pStyle w:val="Heading5"/>
      </w:pPr>
      <w:bookmarkStart w:id="267" w:name="_Toc135739795"/>
      <w:bookmarkStart w:id="268" w:name="_Toc135741099"/>
      <w:bookmarkStart w:id="269" w:name="_Toc136169186"/>
      <w:bookmarkStart w:id="270" w:name="_Toc137829576"/>
      <w:bookmarkStart w:id="271" w:name="_Toc8988549"/>
      <w:bookmarkStart w:id="272" w:name="_Toc139028908"/>
      <w:r w:rsidRPr="001E7AA4">
        <w:t>Issue</w:t>
      </w:r>
      <w:bookmarkEnd w:id="267"/>
      <w:bookmarkEnd w:id="268"/>
      <w:bookmarkEnd w:id="269"/>
      <w:r w:rsidRPr="001E7AA4">
        <w:t>s</w:t>
      </w:r>
      <w:bookmarkEnd w:id="270"/>
      <w:bookmarkEnd w:id="271"/>
      <w:bookmarkEnd w:id="272"/>
    </w:p>
    <w:p w14:paraId="3C65D229" w14:textId="369EA509" w:rsidR="008B1A15" w:rsidRPr="001E7AA4" w:rsidRDefault="008B1A15" w:rsidP="008B1A15">
      <w:pPr>
        <w:spacing w:line="240" w:lineRule="auto"/>
        <w:rPr>
          <w:rFonts w:cstheme="minorHAnsi"/>
        </w:rPr>
      </w:pPr>
      <w:r w:rsidRPr="001E7AA4">
        <w:rPr>
          <w:rFonts w:cstheme="minorHAnsi"/>
        </w:rPr>
        <w:t>The Australian R&amp;D system is unlike the R&amp;D systems in most leading OECD nations. Here, u</w:t>
      </w:r>
      <w:r w:rsidRPr="001E7AA4">
        <w:t xml:space="preserve">niversities play a larger than normal role compared to international economic </w:t>
      </w:r>
      <w:r w:rsidR="00CD05AD" w:rsidRPr="001E7AA4">
        <w:t>peers</w:t>
      </w:r>
      <w:r w:rsidRPr="001E7AA4">
        <w:t>.</w:t>
      </w:r>
    </w:p>
    <w:p w14:paraId="293C3B19" w14:textId="34DAE453" w:rsidR="008B1A15" w:rsidRPr="001E7AA4" w:rsidRDefault="008B1A15" w:rsidP="008B1A15">
      <w:pPr>
        <w:spacing w:after="160" w:line="240" w:lineRule="auto"/>
      </w:pPr>
      <w:r w:rsidRPr="001E7AA4">
        <w:t>Industry R&amp;D expenditure in Australia is low by OECD standards (at 0.90</w:t>
      </w:r>
      <w:r w:rsidRPr="001E7AA4" w:rsidDel="0002240E">
        <w:t>%</w:t>
      </w:r>
      <w:r w:rsidR="0002240E" w:rsidRPr="001E7AA4">
        <w:t xml:space="preserve"> </w:t>
      </w:r>
      <w:r w:rsidRPr="001E7AA4">
        <w:t xml:space="preserve">of </w:t>
      </w:r>
      <w:r w:rsidR="003B60AA" w:rsidRPr="001E7AA4">
        <w:t xml:space="preserve">gross domestic product </w:t>
      </w:r>
      <w:r w:rsidR="00124680" w:rsidRPr="001E7AA4">
        <w:t>in 2019-20</w:t>
      </w:r>
      <w:r w:rsidRPr="001E7AA4">
        <w:t>) and has been stagnant in recent years.</w:t>
      </w:r>
      <w:r w:rsidRPr="001E7AA4">
        <w:rPr>
          <w:rStyle w:val="FootnoteReference"/>
        </w:rPr>
        <w:footnoteReference w:id="127"/>
      </w:r>
      <w:r w:rsidRPr="001E7AA4">
        <w:t xml:space="preserve"> Government investment, although growing, has been marginally declining relative to economic growth.</w:t>
      </w:r>
      <w:r w:rsidRPr="001E7AA4">
        <w:rPr>
          <w:rStyle w:val="FootnoteReference"/>
        </w:rPr>
        <w:footnoteReference w:id="128"/>
      </w:r>
      <w:r w:rsidR="008318CD" w:rsidRPr="001E7AA4">
        <w:t xml:space="preserve"> </w:t>
      </w:r>
    </w:p>
    <w:p w14:paraId="79B50217" w14:textId="7111C4AA" w:rsidR="008318CD" w:rsidRPr="001E7AA4" w:rsidRDefault="008B1A15" w:rsidP="008B1A15">
      <w:pPr>
        <w:spacing w:line="240" w:lineRule="auto"/>
      </w:pPr>
      <w:r w:rsidRPr="001E7AA4">
        <w:t>But Australia’s universities are significant R&amp;D contributors, accounting for 36</w:t>
      </w:r>
      <w:r w:rsidRPr="001E7AA4" w:rsidDel="0002240E">
        <w:t>%</w:t>
      </w:r>
      <w:r w:rsidR="0002240E" w:rsidRPr="001E7AA4">
        <w:t xml:space="preserve"> </w:t>
      </w:r>
      <w:r w:rsidRPr="001E7AA4">
        <w:t>of the nation’s R&amp;D expenditure, high by OECD norms.</w:t>
      </w:r>
      <w:r w:rsidRPr="001E7AA4">
        <w:rPr>
          <w:rStyle w:val="FootnoteReference"/>
        </w:rPr>
        <w:footnoteReference w:id="129"/>
      </w:r>
      <w:r w:rsidRPr="001E7AA4">
        <w:t xml:space="preserve"> Much of that work has significant economic benefits – from solar cells to fully automated mines to </w:t>
      </w:r>
      <w:r w:rsidR="00426C19" w:rsidRPr="001E7AA4">
        <w:t>COVID</w:t>
      </w:r>
      <w:r w:rsidR="007B4B85" w:rsidRPr="001E7AA4">
        <w:t>-19</w:t>
      </w:r>
      <w:r w:rsidRPr="001E7AA4">
        <w:t xml:space="preserve"> virus sequencing. The university sector also does the underpinning work for our innovation and R&amp;D systems, training PhD students, carrying out the bulk of our basic and strategic basic research and producing the majority of our scientific publications</w:t>
      </w:r>
      <w:r w:rsidR="006F0F6B" w:rsidRPr="001E7AA4">
        <w:t xml:space="preserve"> –</w:t>
      </w:r>
      <w:r w:rsidRPr="001E7AA4">
        <w:t xml:space="preserve"> a big task given Australia produces 4</w:t>
      </w:r>
      <w:r w:rsidRPr="001E7AA4" w:rsidDel="0002240E">
        <w:t>%</w:t>
      </w:r>
      <w:r w:rsidR="0002240E" w:rsidRPr="001E7AA4">
        <w:t xml:space="preserve"> </w:t>
      </w:r>
      <w:r w:rsidRPr="001E7AA4">
        <w:t>of the world’s published research with only 0.3</w:t>
      </w:r>
      <w:r w:rsidRPr="001E7AA4" w:rsidDel="0002240E">
        <w:t>%</w:t>
      </w:r>
      <w:r w:rsidR="0002240E" w:rsidRPr="001E7AA4">
        <w:t xml:space="preserve"> </w:t>
      </w:r>
      <w:r w:rsidRPr="001E7AA4">
        <w:t>of the world’s population.</w:t>
      </w:r>
      <w:r w:rsidRPr="001E7AA4">
        <w:rPr>
          <w:rStyle w:val="FootnoteReference"/>
        </w:rPr>
        <w:footnoteReference w:id="130"/>
      </w:r>
    </w:p>
    <w:p w14:paraId="42112C62" w14:textId="45F146CE" w:rsidR="008B1A15" w:rsidRPr="001E7AA4" w:rsidRDefault="008B1A15" w:rsidP="008B1A15">
      <w:pPr>
        <w:spacing w:after="0" w:line="240" w:lineRule="auto"/>
        <w:rPr>
          <w:rFonts w:cstheme="minorHAnsi"/>
        </w:rPr>
      </w:pPr>
      <w:r w:rsidRPr="001E7AA4">
        <w:rPr>
          <w:rFonts w:cstheme="minorHAnsi"/>
        </w:rPr>
        <w:t>Despite this strong performance, it is frequently asserted that Australian higher education research is not being used for economic or social benefit. There is evidence for and against this. The evidence for includes the following:</w:t>
      </w:r>
    </w:p>
    <w:p w14:paraId="27E0825F" w14:textId="00A6E19C" w:rsidR="008B1A15" w:rsidRPr="001E7AA4" w:rsidRDefault="009A278E" w:rsidP="002D7F91">
      <w:pPr>
        <w:pStyle w:val="ListBullet"/>
        <w:rPr>
          <w:rFonts w:cstheme="minorHAnsi"/>
        </w:rPr>
      </w:pPr>
      <w:r w:rsidRPr="001E7AA4">
        <w:t>o</w:t>
      </w:r>
      <w:r w:rsidR="008B1A15" w:rsidRPr="001E7AA4">
        <w:t>nly 33</w:t>
      </w:r>
      <w:r w:rsidR="008B1A15" w:rsidRPr="001E7AA4" w:rsidDel="0002240E">
        <w:t>%</w:t>
      </w:r>
      <w:r w:rsidR="0002240E" w:rsidRPr="001E7AA4">
        <w:t xml:space="preserve"> </w:t>
      </w:r>
      <w:r w:rsidR="008B1A15" w:rsidRPr="001E7AA4">
        <w:t>of university research income comes from industry and 27</w:t>
      </w:r>
      <w:r w:rsidR="008B1A15" w:rsidRPr="001E7AA4" w:rsidDel="0002240E">
        <w:t>%</w:t>
      </w:r>
      <w:r w:rsidR="0002240E" w:rsidRPr="001E7AA4">
        <w:t xml:space="preserve"> </w:t>
      </w:r>
      <w:r w:rsidR="008B1A15" w:rsidRPr="001E7AA4">
        <w:t xml:space="preserve">from </w:t>
      </w:r>
      <w:r w:rsidR="00F31D4B" w:rsidRPr="001E7AA4">
        <w:t>‘</w:t>
      </w:r>
      <w:r w:rsidR="008B1A15" w:rsidRPr="001E7AA4">
        <w:t>public sector other</w:t>
      </w:r>
      <w:r w:rsidR="00F31D4B" w:rsidRPr="001E7AA4">
        <w:t>’</w:t>
      </w:r>
      <w:r w:rsidR="008B1A15" w:rsidRPr="001E7AA4">
        <w:t xml:space="preserve"> sources (that is</w:t>
      </w:r>
      <w:r w:rsidR="005D1361" w:rsidRPr="001E7AA4">
        <w:t>,</w:t>
      </w:r>
      <w:r w:rsidR="008B1A15" w:rsidRPr="001E7AA4">
        <w:t xml:space="preserve"> commissioned research not </w:t>
      </w:r>
      <w:r w:rsidR="00CD05AD" w:rsidRPr="001E7AA4">
        <w:t xml:space="preserve">won through </w:t>
      </w:r>
      <w:r w:rsidR="008B1A15" w:rsidRPr="001E7AA4">
        <w:t xml:space="preserve">formal </w:t>
      </w:r>
      <w:r w:rsidR="00CD05AD" w:rsidRPr="001E7AA4">
        <w:t xml:space="preserve">competitive </w:t>
      </w:r>
      <w:r w:rsidR="008B1A15" w:rsidRPr="001E7AA4">
        <w:t>research grant schemes)</w:t>
      </w:r>
      <w:r w:rsidR="008B1A15" w:rsidRPr="001E7AA4">
        <w:rPr>
          <w:rStyle w:val="FootnoteReference"/>
        </w:rPr>
        <w:footnoteReference w:id="131"/>
      </w:r>
    </w:p>
    <w:p w14:paraId="6AF63706" w14:textId="48A9A59A" w:rsidR="005F5864" w:rsidRDefault="009A278E" w:rsidP="002D7F91">
      <w:pPr>
        <w:pStyle w:val="ListBullet"/>
      </w:pPr>
      <w:r w:rsidRPr="001E7AA4">
        <w:t>i</w:t>
      </w:r>
      <w:r w:rsidR="008B1A15" w:rsidRPr="001E7AA4">
        <w:t>n terms of international innovation rankings such as the Global Innovation Index, Australia has for many years scored poorly compared to OECD peers, with Australia ranking 37</w:t>
      </w:r>
      <w:r w:rsidR="008B1A15" w:rsidRPr="001E7AA4">
        <w:rPr>
          <w:vertAlign w:val="superscript"/>
        </w:rPr>
        <w:t>th</w:t>
      </w:r>
      <w:r w:rsidR="008B1A15" w:rsidRPr="001E7AA4">
        <w:t xml:space="preserve"> in knowledge and technology outputs, behind such countries as Switzerland (</w:t>
      </w:r>
      <w:r w:rsidR="0098414A" w:rsidRPr="001E7AA4">
        <w:t>first</w:t>
      </w:r>
      <w:r w:rsidR="008B1A15" w:rsidRPr="001E7AA4">
        <w:t>), the U</w:t>
      </w:r>
      <w:r w:rsidR="00C110F1" w:rsidRPr="001E7AA4">
        <w:t>n</w:t>
      </w:r>
      <w:r w:rsidR="009363F7" w:rsidRPr="001E7AA4">
        <w:t xml:space="preserve">ited </w:t>
      </w:r>
      <w:r w:rsidR="008B1A15" w:rsidRPr="001E7AA4">
        <w:t>S</w:t>
      </w:r>
      <w:r w:rsidR="009363F7" w:rsidRPr="001E7AA4">
        <w:t>tates</w:t>
      </w:r>
      <w:r w:rsidR="008B1A15" w:rsidRPr="001E7AA4">
        <w:t xml:space="preserve"> (</w:t>
      </w:r>
      <w:r w:rsidR="0098414A" w:rsidRPr="001E7AA4">
        <w:t>third</w:t>
      </w:r>
      <w:r w:rsidR="008B1A15" w:rsidRPr="001E7AA4">
        <w:t>), the U</w:t>
      </w:r>
      <w:r w:rsidR="00C110F1" w:rsidRPr="001E7AA4">
        <w:t xml:space="preserve">nited </w:t>
      </w:r>
      <w:r w:rsidR="008B1A15" w:rsidRPr="001E7AA4">
        <w:t>K</w:t>
      </w:r>
      <w:r w:rsidR="00C110F1" w:rsidRPr="001E7AA4">
        <w:t>ingdom</w:t>
      </w:r>
      <w:r w:rsidR="008B1A15" w:rsidRPr="001E7AA4">
        <w:t xml:space="preserve"> (</w:t>
      </w:r>
      <w:r w:rsidR="0098414A" w:rsidRPr="001E7AA4">
        <w:t>eight</w:t>
      </w:r>
      <w:r w:rsidR="008B1A15" w:rsidRPr="001E7AA4">
        <w:t>) and Japan (11</w:t>
      </w:r>
      <w:r w:rsidR="008B1A15" w:rsidRPr="001E7AA4">
        <w:rPr>
          <w:vertAlign w:val="superscript"/>
        </w:rPr>
        <w:t>th</w:t>
      </w:r>
      <w:r w:rsidR="008B1A15" w:rsidRPr="001E7AA4">
        <w:t>).</w:t>
      </w:r>
      <w:r w:rsidR="008B1A15" w:rsidRPr="001E7AA4">
        <w:rPr>
          <w:rStyle w:val="FootnoteReference"/>
        </w:rPr>
        <w:footnoteReference w:id="132"/>
      </w:r>
      <w:r w:rsidR="008B1A15" w:rsidRPr="001E7AA4">
        <w:t xml:space="preserve"> While Australia, ranking 19</w:t>
      </w:r>
      <w:r w:rsidR="008B1A15" w:rsidRPr="001E7AA4">
        <w:rPr>
          <w:vertAlign w:val="superscript"/>
        </w:rPr>
        <w:t>th</w:t>
      </w:r>
      <w:r w:rsidR="008B1A15" w:rsidRPr="001E7AA4">
        <w:t>, has reasonable innovation inputs (stable business and legal systems, good education and research systems), it fails to translate these into high impact innovation outputs (new processes, products and services).</w:t>
      </w:r>
    </w:p>
    <w:p w14:paraId="2F42D5B8" w14:textId="77777777" w:rsidR="005F5864" w:rsidRDefault="005F5864">
      <w:pPr>
        <w:spacing w:after="160"/>
      </w:pPr>
      <w:r>
        <w:br w:type="page"/>
      </w:r>
    </w:p>
    <w:p w14:paraId="02A9CA15" w14:textId="77777777" w:rsidR="008B1A15" w:rsidRPr="001E7AA4" w:rsidRDefault="008B1A15" w:rsidP="008B1A15">
      <w:pPr>
        <w:spacing w:after="0" w:line="240" w:lineRule="auto"/>
      </w:pPr>
      <w:r w:rsidRPr="001E7AA4">
        <w:lastRenderedPageBreak/>
        <w:t>The case against includes:</w:t>
      </w:r>
    </w:p>
    <w:p w14:paraId="46BA467E" w14:textId="77777777" w:rsidR="008B1A15" w:rsidRPr="001E7AA4" w:rsidRDefault="008B1A15" w:rsidP="002D7F91">
      <w:pPr>
        <w:pStyle w:val="ListBullet"/>
        <w:rPr>
          <w:rFonts w:cstheme="minorHAnsi"/>
        </w:rPr>
      </w:pPr>
      <w:r w:rsidRPr="001E7AA4">
        <w:t>it is only in our universities that Australia has research capability in several areas of sovereign risk</w:t>
      </w:r>
    </w:p>
    <w:p w14:paraId="732F38D3" w14:textId="07756F93" w:rsidR="008B1A15" w:rsidRPr="001E7AA4" w:rsidRDefault="008B1A15" w:rsidP="002D7F91">
      <w:pPr>
        <w:pStyle w:val="ListBullet"/>
        <w:rPr>
          <w:rFonts w:cstheme="minorHAnsi"/>
        </w:rPr>
      </w:pPr>
      <w:r w:rsidRPr="001E7AA4">
        <w:t xml:space="preserve">many examples of university research having a transformative economic or social impact </w:t>
      </w:r>
      <w:r w:rsidR="001E6E67" w:rsidRPr="001E7AA4">
        <w:rPr>
          <w:rFonts w:ascii="Calibri" w:eastAsia="Times New Roman" w:hAnsi="Calibri" w:cs="Calibri"/>
          <w:color w:val="000000" w:themeColor="text1"/>
          <w:lang w:eastAsia="en-GB"/>
        </w:rPr>
        <w:t>–</w:t>
      </w:r>
      <w:r w:rsidR="001E6E67" w:rsidRPr="001E7AA4" w:rsidDel="001E6E67">
        <w:t xml:space="preserve"> </w:t>
      </w:r>
      <w:r w:rsidRPr="001E7AA4">
        <w:t xml:space="preserve"> </w:t>
      </w:r>
      <w:r w:rsidRPr="001E7AA4">
        <w:rPr>
          <w:rFonts w:cstheme="minorHAnsi"/>
        </w:rPr>
        <w:t xml:space="preserve">think solar cells, fully automated mines, the Jameson cell, new wheat varieties and </w:t>
      </w:r>
      <w:r w:rsidR="00426C19" w:rsidRPr="001E7AA4">
        <w:rPr>
          <w:rFonts w:cstheme="minorHAnsi"/>
        </w:rPr>
        <w:t>COVID</w:t>
      </w:r>
      <w:r w:rsidR="007B4B85" w:rsidRPr="001E7AA4">
        <w:rPr>
          <w:rFonts w:cstheme="minorHAnsi"/>
        </w:rPr>
        <w:t>-19</w:t>
      </w:r>
      <w:r w:rsidRPr="001E7AA4">
        <w:rPr>
          <w:rFonts w:cstheme="minorHAnsi"/>
        </w:rPr>
        <w:t xml:space="preserve"> virus sequencing</w:t>
      </w:r>
    </w:p>
    <w:p w14:paraId="75A3DA74" w14:textId="3F19C15C" w:rsidR="008B1A15" w:rsidRPr="001E7AA4" w:rsidRDefault="008B1A15" w:rsidP="002D7F91">
      <w:pPr>
        <w:pStyle w:val="ListBullet"/>
      </w:pPr>
      <w:r w:rsidRPr="001E7AA4">
        <w:rPr>
          <w:rFonts w:cstheme="minorHAnsi"/>
        </w:rPr>
        <w:t xml:space="preserve">all formal university/industry grant schemes are heavily </w:t>
      </w:r>
      <w:r w:rsidR="006F0F6B" w:rsidRPr="001E7AA4">
        <w:rPr>
          <w:rFonts w:cstheme="minorHAnsi"/>
        </w:rPr>
        <w:t>oversubscribed</w:t>
      </w:r>
      <w:r w:rsidRPr="001E7AA4">
        <w:rPr>
          <w:rFonts w:cstheme="minorHAnsi"/>
        </w:rPr>
        <w:t xml:space="preserve"> and all have rated well in formal evaluations of the schemes.</w:t>
      </w:r>
    </w:p>
    <w:p w14:paraId="600AFBE4" w14:textId="47E2B85C" w:rsidR="008318CD" w:rsidRPr="001E7AA4" w:rsidRDefault="008B1A15" w:rsidP="008B1A15">
      <w:pPr>
        <w:spacing w:line="240" w:lineRule="auto"/>
      </w:pPr>
      <w:r w:rsidRPr="001E7AA4">
        <w:t xml:space="preserve">We need clear measures </w:t>
      </w:r>
      <w:r w:rsidR="365311B3" w:rsidRPr="001E7AA4">
        <w:t>to indicate</w:t>
      </w:r>
      <w:r w:rsidRPr="001E7AA4">
        <w:t xml:space="preserve"> how useful our university research actually is to end</w:t>
      </w:r>
      <w:r w:rsidR="003715A3" w:rsidRPr="001E7AA4">
        <w:t>-</w:t>
      </w:r>
      <w:r w:rsidRPr="001E7AA4">
        <w:t>users.</w:t>
      </w:r>
    </w:p>
    <w:p w14:paraId="128A85AF" w14:textId="36C9BC55" w:rsidR="008B1A15" w:rsidRDefault="0016025B" w:rsidP="00D46D3D">
      <w:r w:rsidRPr="001E7AA4">
        <w:t>In summary</w:t>
      </w:r>
      <w:r w:rsidR="008B1A15" w:rsidRPr="001E7AA4">
        <w:t xml:space="preserve">, the </w:t>
      </w:r>
      <w:r w:rsidR="004104C4" w:rsidRPr="001E7AA4">
        <w:t xml:space="preserve">Review </w:t>
      </w:r>
      <w:r w:rsidR="000E5C5C" w:rsidRPr="001E7AA4">
        <w:t>considers</w:t>
      </w:r>
      <w:r w:rsidR="00CC267A" w:rsidRPr="001E7AA4">
        <w:t xml:space="preserve"> </w:t>
      </w:r>
      <w:r w:rsidR="008B1A15" w:rsidRPr="001E7AA4">
        <w:t>that</w:t>
      </w:r>
      <w:r w:rsidR="00CC267A" w:rsidRPr="001E7AA4">
        <w:t xml:space="preserve"> </w:t>
      </w:r>
      <w:r w:rsidR="008B1A15" w:rsidRPr="001E7AA4">
        <w:t>given how much of Australia’s R&amp;D reputation depends on the university sector’s strong performance in R&amp;D and the need to ensure Australia has research capability in areas of sovereign risk (communications</w:t>
      </w:r>
      <w:r w:rsidR="006F0F6B" w:rsidRPr="001E7AA4">
        <w:t>,</w:t>
      </w:r>
      <w:r w:rsidR="008B1A15" w:rsidRPr="001E7AA4">
        <w:t xml:space="preserve"> medicine</w:t>
      </w:r>
      <w:r w:rsidR="006F0F6B" w:rsidRPr="001E7AA4">
        <w:t>,</w:t>
      </w:r>
      <w:r w:rsidR="008B1A15" w:rsidRPr="001E7AA4">
        <w:t xml:space="preserve"> climate extremes, Antarctica</w:t>
      </w:r>
      <w:r w:rsidR="006F0F6B" w:rsidRPr="001E7AA4">
        <w:t xml:space="preserve"> and so on</w:t>
      </w:r>
      <w:r w:rsidR="008B1A15" w:rsidRPr="001E7AA4">
        <w:t>)</w:t>
      </w:r>
      <w:r w:rsidR="00CC4F04">
        <w:t>.</w:t>
      </w:r>
    </w:p>
    <w:p w14:paraId="2A58CC4C" w14:textId="4622ABF8" w:rsidR="00CC4F04" w:rsidRDefault="00D46D3D" w:rsidP="00D46D3D">
      <w:pPr>
        <w:pStyle w:val="Pulloutboxes"/>
      </w:pPr>
      <w:r w:rsidRPr="001574DA">
        <w:t>The research strength of our universities should be protected and increased. The Review is also of the view that mechanisms for sharing and translating university research should be improved significantly, starting with establishing a baseline and then continuing to measure how useful university research actually is to end-users.</w:t>
      </w:r>
    </w:p>
    <w:p w14:paraId="67375427" w14:textId="77777777" w:rsidR="008B1A15" w:rsidRPr="001E7AA4" w:rsidRDefault="5BAAEE5A" w:rsidP="00F72CFE">
      <w:pPr>
        <w:pStyle w:val="Heading5"/>
      </w:pPr>
      <w:bookmarkStart w:id="283" w:name="_Toc135580948"/>
      <w:bookmarkStart w:id="284" w:name="_Toc136169187"/>
      <w:bookmarkStart w:id="285" w:name="_Toc137829577"/>
      <w:bookmarkStart w:id="286" w:name="_Toc1682521278"/>
      <w:bookmarkStart w:id="287" w:name="_Toc139028909"/>
      <w:r w:rsidRPr="001E7AA4">
        <w:t>2.7.1 Getting the foundations right and protecting the basics</w:t>
      </w:r>
      <w:bookmarkEnd w:id="283"/>
      <w:bookmarkEnd w:id="284"/>
      <w:bookmarkEnd w:id="285"/>
      <w:bookmarkEnd w:id="286"/>
      <w:bookmarkEnd w:id="287"/>
    </w:p>
    <w:p w14:paraId="50A4443E" w14:textId="08ADB10D" w:rsidR="008B1A15" w:rsidRPr="001E7AA4" w:rsidRDefault="008B1A15" w:rsidP="00F72CFE">
      <w:pPr>
        <w:pStyle w:val="Heading6"/>
      </w:pPr>
      <w:bookmarkStart w:id="288" w:name="_Toc136169188"/>
      <w:r w:rsidRPr="001E7AA4">
        <w:t>2.7.1.1 The importance of international peer-reviewed competitive research</w:t>
      </w:r>
      <w:bookmarkEnd w:id="288"/>
    </w:p>
    <w:p w14:paraId="48DAE3D4" w14:textId="3BF57C29" w:rsidR="008B1A15" w:rsidRPr="001E7AA4" w:rsidRDefault="008B1A15" w:rsidP="008B1A15">
      <w:pPr>
        <w:spacing w:line="240" w:lineRule="auto"/>
      </w:pPr>
      <w:r w:rsidRPr="001E7AA4">
        <w:t xml:space="preserve">Producing excellent university research </w:t>
      </w:r>
      <w:r w:rsidR="006F0F6B" w:rsidRPr="001E7AA4">
        <w:t xml:space="preserve">enables Australia to </w:t>
      </w:r>
      <w:r w:rsidRPr="001E7AA4">
        <w:t>solve complex and wicked problems, make ground-breaking discoveries</w:t>
      </w:r>
      <w:r w:rsidR="00CD05AD" w:rsidRPr="001E7AA4">
        <w:t>,</w:t>
      </w:r>
      <w:r w:rsidRPr="001E7AA4">
        <w:t xml:space="preserve"> and train its research workforce to be at the forefront of global </w:t>
      </w:r>
      <w:r w:rsidR="006F0F6B" w:rsidRPr="001E7AA4">
        <w:t>breakthroughs</w:t>
      </w:r>
      <w:r w:rsidRPr="001E7AA4">
        <w:t xml:space="preserve">. </w:t>
      </w:r>
    </w:p>
    <w:p w14:paraId="106305AC" w14:textId="73279893" w:rsidR="008B1A15" w:rsidRPr="001E7AA4" w:rsidRDefault="008B1A15" w:rsidP="008B1A15">
      <w:pPr>
        <w:spacing w:after="160" w:line="240" w:lineRule="auto"/>
      </w:pPr>
      <w:r w:rsidRPr="001E7AA4">
        <w:t xml:space="preserve">The </w:t>
      </w:r>
      <w:r w:rsidRPr="001E7AA4" w:rsidDel="0089227A">
        <w:t>Australian Research Council (</w:t>
      </w:r>
      <w:r w:rsidRPr="001E7AA4">
        <w:t>ARC</w:t>
      </w:r>
      <w:r w:rsidRPr="001E7AA4" w:rsidDel="0089227A">
        <w:t>)</w:t>
      </w:r>
      <w:r w:rsidRPr="001E7AA4">
        <w:t>, the National Health and Medical Research Council (NHMRC) and other organisations running National Competitive Grants play a pivotal role in Australia’s research ecosystem, providing funding for critical basic and strategic basic research and ensuring high</w:t>
      </w:r>
      <w:r w:rsidR="35271230" w:rsidRPr="001E7AA4">
        <w:t>-</w:t>
      </w:r>
      <w:r w:rsidRPr="001E7AA4">
        <w:t>quality research through selecting grants using rigorous international peer review. Research supported by these grants has considerable impact, with high levels of fundamental discovery along with solving hard problems, thereby improving the lives of Australians. Funding for the ARC has not grown significantly for many years and this puts our capacity for breakthrough research at risk.</w:t>
      </w:r>
      <w:r w:rsidRPr="001E7AA4">
        <w:rPr>
          <w:rStyle w:val="FootnoteReference"/>
        </w:rPr>
        <w:footnoteReference w:id="133"/>
      </w:r>
    </w:p>
    <w:p w14:paraId="41DD602A" w14:textId="15CA1AF4" w:rsidR="008B1A15" w:rsidRPr="001E7AA4" w:rsidRDefault="008B1A15" w:rsidP="00F72CFE">
      <w:pPr>
        <w:pStyle w:val="Heading6"/>
      </w:pPr>
      <w:bookmarkStart w:id="289" w:name="_Toc136169189"/>
      <w:r w:rsidRPr="001E7AA4">
        <w:t xml:space="preserve">2.7.1.2 </w:t>
      </w:r>
      <w:r w:rsidR="00510C3E" w:rsidRPr="001E7AA4">
        <w:t>F</w:t>
      </w:r>
      <w:r w:rsidR="009D3A64" w:rsidRPr="001E7AA4">
        <w:t>und</w:t>
      </w:r>
      <w:r w:rsidR="003A5B54" w:rsidRPr="001E7AA4">
        <w:t>ing</w:t>
      </w:r>
      <w:r w:rsidRPr="001E7AA4">
        <w:t xml:space="preserve"> National Competitive Grants</w:t>
      </w:r>
      <w:bookmarkEnd w:id="289"/>
    </w:p>
    <w:p w14:paraId="64BF0C70" w14:textId="3540F75C" w:rsidR="008B1A15" w:rsidRPr="001E7AA4" w:rsidRDefault="008B1A15" w:rsidP="008B1A15">
      <w:pPr>
        <w:spacing w:line="240" w:lineRule="auto"/>
      </w:pPr>
      <w:r w:rsidRPr="001E7AA4">
        <w:t xml:space="preserve">Even though the National Competitive Grants are awarded in fierce competition, these granting bodies provide only part of the funding on any given grant (though a contribution to the difference between the amount awarded and the full cost is provided through a block grant mechanism, the Research Support Program); the host university needs to supply the rest. Finding that difference is </w:t>
      </w:r>
      <w:r w:rsidR="006F0F6B" w:rsidRPr="001E7AA4">
        <w:t xml:space="preserve">difficult </w:t>
      </w:r>
      <w:r w:rsidRPr="001E7AA4">
        <w:t>for universities. Often this funding gap has to be covered from non-government sources with many universities funding the difference from international student fees. This is</w:t>
      </w:r>
      <w:r w:rsidR="00CB676A" w:rsidRPr="001E7AA4">
        <w:t xml:space="preserve"> possible</w:t>
      </w:r>
      <w:r w:rsidR="000A0ADE" w:rsidRPr="001E7AA4">
        <w:t xml:space="preserve"> </w:t>
      </w:r>
      <w:r w:rsidRPr="001E7AA4">
        <w:t>for universities that have significant earnings from international student fees</w:t>
      </w:r>
      <w:r w:rsidR="006F0F6B" w:rsidRPr="001E7AA4">
        <w:t xml:space="preserve">, </w:t>
      </w:r>
      <w:r w:rsidRPr="001E7AA4">
        <w:t xml:space="preserve">but </w:t>
      </w:r>
      <w:r w:rsidR="006F0F6B" w:rsidRPr="001E7AA4">
        <w:t>harder</w:t>
      </w:r>
      <w:r w:rsidRPr="001E7AA4">
        <w:t xml:space="preserve"> for those that don’t. Whatever source they have (or don’t have), winning </w:t>
      </w:r>
      <w:r w:rsidR="00EE28B5" w:rsidRPr="001E7AA4">
        <w:t>N</w:t>
      </w:r>
      <w:r w:rsidRPr="001E7AA4">
        <w:t xml:space="preserve">ational </w:t>
      </w:r>
      <w:r w:rsidR="00EE28B5" w:rsidRPr="001E7AA4">
        <w:t>C</w:t>
      </w:r>
      <w:r w:rsidRPr="001E7AA4">
        <w:t xml:space="preserve">ompetitive </w:t>
      </w:r>
      <w:r w:rsidR="00EE28B5" w:rsidRPr="001E7AA4">
        <w:t>G</w:t>
      </w:r>
      <w:r w:rsidRPr="001E7AA4">
        <w:t xml:space="preserve">rants costs universities money. </w:t>
      </w:r>
      <w:r w:rsidR="0018400A" w:rsidRPr="001E7AA4">
        <w:t>The</w:t>
      </w:r>
      <w:r w:rsidR="008F440B" w:rsidRPr="001E7AA4">
        <w:t xml:space="preserve"> British </w:t>
      </w:r>
      <w:r w:rsidR="00CF4D76" w:rsidRPr="001E7AA4">
        <w:t>have a term for this</w:t>
      </w:r>
      <w:r w:rsidR="00A073B3" w:rsidRPr="001E7AA4">
        <w:t xml:space="preserve"> </w:t>
      </w:r>
      <w:r w:rsidR="0018400A" w:rsidRPr="001E7AA4">
        <w:t>– ‘the burden of matched funding’.</w:t>
      </w:r>
      <w:r w:rsidR="0018400A" w:rsidRPr="001E7AA4">
        <w:rPr>
          <w:rStyle w:val="FootnoteReference"/>
        </w:rPr>
        <w:footnoteReference w:id="134"/>
      </w:r>
      <w:r w:rsidR="0018400A" w:rsidRPr="001E7AA4">
        <w:t xml:space="preserve"> </w:t>
      </w:r>
    </w:p>
    <w:p w14:paraId="104D1515" w14:textId="5FD91424" w:rsidR="008B1A15" w:rsidRPr="001E7AA4" w:rsidRDefault="008B1A15" w:rsidP="008B1A15">
      <w:pPr>
        <w:spacing w:line="240" w:lineRule="auto"/>
      </w:pPr>
      <w:r w:rsidRPr="001E7AA4">
        <w:lastRenderedPageBreak/>
        <w:t xml:space="preserve">The size of this issue is best illustrated by noting that research income </w:t>
      </w:r>
      <w:r w:rsidR="00110050" w:rsidRPr="001E7AA4">
        <w:t xml:space="preserve">reported through </w:t>
      </w:r>
      <w:r w:rsidR="00225E37" w:rsidRPr="001E7AA4">
        <w:t xml:space="preserve">the Higher Education Research Data Collection (HERDC) </w:t>
      </w:r>
      <w:r w:rsidR="00CD05AD" w:rsidRPr="001E7AA4">
        <w:t xml:space="preserve">across </w:t>
      </w:r>
      <w:r w:rsidRPr="001E7AA4">
        <w:t>all Australian universities was $5.1 billion in 2020,</w:t>
      </w:r>
      <w:r w:rsidRPr="001E7AA4">
        <w:rPr>
          <w:rStyle w:val="FootnoteReference"/>
        </w:rPr>
        <w:footnoteReference w:id="135"/>
      </w:r>
      <w:r w:rsidRPr="001E7AA4">
        <w:t xml:space="preserve"> but they expended $12.7 billion on </w:t>
      </w:r>
      <w:r w:rsidR="0002240E" w:rsidRPr="001E7AA4">
        <w:t>R&amp;D</w:t>
      </w:r>
      <w:r w:rsidRPr="001E7AA4">
        <w:t xml:space="preserve"> in the same year</w:t>
      </w:r>
      <w:r w:rsidR="006F0F6B" w:rsidRPr="001E7AA4">
        <w:t>.</w:t>
      </w:r>
      <w:r w:rsidRPr="001E7AA4">
        <w:rPr>
          <w:rStyle w:val="FootnoteReference"/>
        </w:rPr>
        <w:footnoteReference w:id="136"/>
      </w:r>
    </w:p>
    <w:p w14:paraId="782E8BC9" w14:textId="0EBC8B6D" w:rsidR="008B1A15" w:rsidRPr="001E7AA4" w:rsidRDefault="008B1A15" w:rsidP="008B1A15">
      <w:pPr>
        <w:spacing w:line="240" w:lineRule="auto"/>
      </w:pPr>
      <w:r w:rsidRPr="001E7AA4">
        <w:t xml:space="preserve">This situation is </w:t>
      </w:r>
      <w:r w:rsidR="006F0F6B" w:rsidRPr="001E7AA4">
        <w:t>less than ideal</w:t>
      </w:r>
      <w:r w:rsidR="00691019" w:rsidRPr="001E7AA4">
        <w:t xml:space="preserve"> </w:t>
      </w:r>
      <w:r w:rsidRPr="001E7AA4">
        <w:t xml:space="preserve">– universities are </w:t>
      </w:r>
      <w:r w:rsidR="00BC5E0C" w:rsidRPr="001E7AA4">
        <w:t xml:space="preserve">potentially </w:t>
      </w:r>
      <w:r w:rsidRPr="001E7AA4">
        <w:t xml:space="preserve">disincentivised from applying for the most prestigious grants that are associated with producing the bulk of the country’s basic and strategic basic research. The fact that the grants are fiercely competed for illustrates how important research is to </w:t>
      </w:r>
      <w:r w:rsidR="00795FF6" w:rsidRPr="001E7AA4">
        <w:t>universities. Of course, there</w:t>
      </w:r>
      <w:r w:rsidR="00EC0670" w:rsidRPr="001E7AA4">
        <w:t xml:space="preserve"> </w:t>
      </w:r>
      <w:r w:rsidR="00BC5E0C" w:rsidRPr="001E7AA4">
        <w:t>is the rep</w:t>
      </w:r>
      <w:r w:rsidR="00EC0670" w:rsidRPr="001E7AA4">
        <w:t>u</w:t>
      </w:r>
      <w:r w:rsidR="00BC5E0C" w:rsidRPr="001E7AA4">
        <w:t>t</w:t>
      </w:r>
      <w:r w:rsidR="00EC0670" w:rsidRPr="001E7AA4">
        <w:t>a</w:t>
      </w:r>
      <w:r w:rsidR="00BC5E0C" w:rsidRPr="001E7AA4">
        <w:t>tional benefit to universities from strong research performance which significantly influences rankings</w:t>
      </w:r>
      <w:r w:rsidR="51B583CF" w:rsidRPr="001E7AA4">
        <w:t>. This</w:t>
      </w:r>
      <w:r w:rsidR="00BC5E0C" w:rsidRPr="001E7AA4">
        <w:t xml:space="preserve"> in turn </w:t>
      </w:r>
      <w:r w:rsidR="76A476B6" w:rsidRPr="001E7AA4">
        <w:t>affect</w:t>
      </w:r>
      <w:r w:rsidR="3FEF7D94" w:rsidRPr="001E7AA4">
        <w:t>s</w:t>
      </w:r>
      <w:r w:rsidR="00BC5E0C" w:rsidRPr="001E7AA4">
        <w:t xml:space="preserve"> the recruitment of international students</w:t>
      </w:r>
      <w:r w:rsidR="00EC0670" w:rsidRPr="001E7AA4">
        <w:t>.</w:t>
      </w:r>
    </w:p>
    <w:p w14:paraId="2CB590F6" w14:textId="25E69CB2" w:rsidR="008B1A15" w:rsidRPr="001E7AA4" w:rsidRDefault="008B1A15" w:rsidP="008B1A15">
      <w:pPr>
        <w:spacing w:line="240" w:lineRule="auto"/>
      </w:pPr>
      <w:r w:rsidRPr="001E7AA4">
        <w:t xml:space="preserve">Many submissions have argued that the National Competitive Grants should be fully funded. If this happens and the total funding for the National Competitive Grants is held constant, the success rates for the grants will fall. This could mean that good researchers would likely leave the sector </w:t>
      </w:r>
      <w:r w:rsidR="00BC5E0C" w:rsidRPr="001E7AA4">
        <w:t xml:space="preserve">and Australia </w:t>
      </w:r>
      <w:r w:rsidRPr="001E7AA4">
        <w:t>which would, in turn, lead to less inspiring teaching</w:t>
      </w:r>
      <w:r w:rsidR="00BC5E0C" w:rsidRPr="001E7AA4">
        <w:t xml:space="preserve"> and a diminished perception of the quality of the system</w:t>
      </w:r>
      <w:r w:rsidRPr="001E7AA4">
        <w:t xml:space="preserve">. The unsustainability of the current arrangements leads the Review to </w:t>
      </w:r>
      <w:r w:rsidR="009133F7" w:rsidRPr="001E7AA4">
        <w:t>consider</w:t>
      </w:r>
      <w:r w:rsidRPr="001E7AA4">
        <w:t xml:space="preserve">, on balance, that teaching and research </w:t>
      </w:r>
      <w:r w:rsidR="00F212BC" w:rsidRPr="001E7AA4">
        <w:t xml:space="preserve">may need to </w:t>
      </w:r>
      <w:r w:rsidRPr="001E7AA4">
        <w:t xml:space="preserve">be funded separately and that </w:t>
      </w:r>
      <w:r w:rsidR="00F212BC" w:rsidRPr="001E7AA4">
        <w:t xml:space="preserve">consideration should be given to </w:t>
      </w:r>
      <w:r w:rsidR="00CD05AD" w:rsidRPr="001E7AA4">
        <w:t xml:space="preserve">ensuring </w:t>
      </w:r>
      <w:r w:rsidR="00404D78" w:rsidRPr="001E7AA4">
        <w:t>National Competitive Grants cover the cost of undertaking the research.</w:t>
      </w:r>
      <w:r w:rsidR="009D0BFB" w:rsidRPr="001E7AA4" w:rsidDel="009D0BFB">
        <w:t xml:space="preserve"> </w:t>
      </w:r>
    </w:p>
    <w:p w14:paraId="4C86F96B" w14:textId="1B16168F" w:rsidR="008B1A15" w:rsidRPr="001E7AA4" w:rsidRDefault="008B1A15" w:rsidP="00F72CFE">
      <w:pPr>
        <w:pStyle w:val="Heading6"/>
      </w:pPr>
      <w:bookmarkStart w:id="294" w:name="_Toc136169190"/>
      <w:bookmarkStart w:id="295" w:name="_Hlk135749841"/>
      <w:bookmarkStart w:id="296" w:name="_Hlk135831030"/>
      <w:r w:rsidRPr="001E7AA4">
        <w:t xml:space="preserve">2.7.1.3 Embedding and promoting </w:t>
      </w:r>
      <w:r w:rsidR="001F4A8A" w:rsidRPr="001E7AA4">
        <w:t xml:space="preserve">First Nations </w:t>
      </w:r>
      <w:r w:rsidRPr="001E7AA4">
        <w:t>research and knowledge systems</w:t>
      </w:r>
      <w:bookmarkEnd w:id="294"/>
    </w:p>
    <w:bookmarkEnd w:id="295"/>
    <w:p w14:paraId="711B65B8" w14:textId="60C3FC69" w:rsidR="008B1A15" w:rsidRPr="001E7AA4" w:rsidRDefault="008B1A15" w:rsidP="008B1A15">
      <w:pPr>
        <w:spacing w:line="240" w:lineRule="auto"/>
      </w:pPr>
      <w:r w:rsidRPr="001E7AA4">
        <w:t xml:space="preserve">Australia is home to the oldest living culture, a culture with its own diverse epistemological practices, including deep and enduring histories of oral tradition, as well as storytelling, cultural, scientific, medical and agricultural practices. Valuing and embedding First Nations knowledges in Australia’s university research sector is an opportunity Australia should not miss. Not only will this enable First Nations people to take a leading role in shaping and producing knowledge, </w:t>
      </w:r>
      <w:r w:rsidR="004A2996" w:rsidRPr="001E7AA4">
        <w:t xml:space="preserve">but </w:t>
      </w:r>
      <w:r w:rsidRPr="001E7AA4">
        <w:t xml:space="preserve">it will </w:t>
      </w:r>
      <w:r w:rsidR="004A2996" w:rsidRPr="001E7AA4">
        <w:t xml:space="preserve">also </w:t>
      </w:r>
      <w:r w:rsidRPr="001E7AA4">
        <w:t xml:space="preserve">improve understanding in the community – both domestically and globally – of First Nations knowledge, culture and history. </w:t>
      </w:r>
    </w:p>
    <w:p w14:paraId="431A3A9B" w14:textId="354F2E9F" w:rsidR="008B1A15" w:rsidRPr="001E7AA4" w:rsidRDefault="008B1A15" w:rsidP="008B1A15">
      <w:pPr>
        <w:pStyle w:val="Quote"/>
        <w:spacing w:line="240" w:lineRule="auto"/>
      </w:pPr>
      <w:r w:rsidRPr="001E7AA4">
        <w:t xml:space="preserve">“We encourage the Government to prioritise advancing research and collaborations in Indigenous knowledge systems across the higher education sector.” </w:t>
      </w:r>
      <w:r w:rsidR="00E07DA8">
        <w:br/>
      </w:r>
      <w:r w:rsidR="00987515" w:rsidRPr="001E7AA4">
        <w:t xml:space="preserve">– </w:t>
      </w:r>
      <w:r w:rsidRPr="001E7AA4">
        <w:t>Pro Vice-Chancellor Indigenous, University of Melbourne</w:t>
      </w:r>
    </w:p>
    <w:p w14:paraId="60472266" w14:textId="7D21B4FD" w:rsidR="005F5864" w:rsidRDefault="008B1A15" w:rsidP="008B1A15">
      <w:pPr>
        <w:spacing w:line="240" w:lineRule="auto"/>
        <w:rPr>
          <w:rStyle w:val="normaltextrun"/>
          <w:rFonts w:ascii="Calibri" w:hAnsi="Calibri" w:cs="Calibri"/>
        </w:rPr>
      </w:pPr>
      <w:r w:rsidRPr="001E7AA4">
        <w:t>Embedding and promoting First Nations research and knowledge systems will require growing the pipeline of First Nations research students. First Nations students are currently un</w:t>
      </w:r>
      <w:r w:rsidR="00E516C4" w:rsidRPr="001E7AA4">
        <w:t>der</w:t>
      </w:r>
      <w:r w:rsidRPr="001E7AA4">
        <w:t>represented in PhD enrolments, making up only 1.7</w:t>
      </w:r>
      <w:r w:rsidRPr="001E7AA4" w:rsidDel="0002240E">
        <w:t>%</w:t>
      </w:r>
      <w:r w:rsidR="0002240E" w:rsidRPr="001E7AA4">
        <w:t xml:space="preserve"> </w:t>
      </w:r>
      <w:r w:rsidRPr="001E7AA4">
        <w:t>of total enrolments.</w:t>
      </w:r>
      <w:r w:rsidRPr="001E7AA4">
        <w:rPr>
          <w:rStyle w:val="FootnoteReference"/>
        </w:rPr>
        <w:footnoteReference w:id="137"/>
      </w:r>
      <w:r w:rsidRPr="001E7AA4">
        <w:t xml:space="preserve"> Programs should be targeted at incentivising and supporting First Nations students to undertake and complete </w:t>
      </w:r>
      <w:r w:rsidR="6B5B4272" w:rsidRPr="001E7AA4">
        <w:t>HDR</w:t>
      </w:r>
      <w:r w:rsidRPr="001E7AA4">
        <w:t xml:space="preserve"> programs. These programs </w:t>
      </w:r>
      <w:r w:rsidR="0E188674" w:rsidRPr="001E7AA4">
        <w:t>c</w:t>
      </w:r>
      <w:r w:rsidRPr="001E7AA4">
        <w:t>ould be developed and designed in collaboration with First Nations people and academics. There are already many great examples of this across the sector</w:t>
      </w:r>
      <w:r w:rsidRPr="001E7AA4">
        <w:rPr>
          <w:rStyle w:val="normaltextrun"/>
          <w:rFonts w:ascii="Calibri" w:hAnsi="Calibri" w:cs="Calibri"/>
        </w:rPr>
        <w:t>.</w:t>
      </w:r>
    </w:p>
    <w:p w14:paraId="11294426" w14:textId="77777777" w:rsidR="005F5864" w:rsidRDefault="005F5864">
      <w:pPr>
        <w:spacing w:after="160"/>
        <w:rPr>
          <w:rStyle w:val="normaltextrun"/>
          <w:rFonts w:ascii="Calibri" w:hAnsi="Calibri" w:cs="Calibri"/>
        </w:rPr>
      </w:pPr>
      <w:r>
        <w:rPr>
          <w:rStyle w:val="normaltextrun"/>
          <w:rFonts w:ascii="Calibri" w:hAnsi="Calibri" w:cs="Calibri"/>
        </w:rPr>
        <w:br w:type="page"/>
      </w:r>
    </w:p>
    <w:p w14:paraId="2F191CDD" w14:textId="1898AD0F" w:rsidR="008B1A15" w:rsidRPr="001E7AA4" w:rsidRDefault="008B1A15" w:rsidP="002A4B70">
      <w:pPr>
        <w:pStyle w:val="Quote"/>
        <w:spacing w:line="240" w:lineRule="auto"/>
      </w:pPr>
      <w:r w:rsidRPr="001E7AA4">
        <w:lastRenderedPageBreak/>
        <w:t>"</w:t>
      </w:r>
      <w:r w:rsidR="00787500" w:rsidRPr="001E7AA4">
        <w:t>Indigenous scholars … are injecting re-oriented life into the crevices and silent spaces of disciplines and the research landscape has been transformed by Indigenous-led scholarship, raising the ethical and obligatory benchmarks for good practice.</w:t>
      </w:r>
      <w:r w:rsidR="002A4B70" w:rsidRPr="001E7AA4">
        <w:t xml:space="preserve"> Indigenous leaders, both in role and function, propel innovation and creative, generative networks within our universities.</w:t>
      </w:r>
      <w:r w:rsidRPr="001E7AA4">
        <w:t xml:space="preserve">" </w:t>
      </w:r>
      <w:r w:rsidR="00E07DA8">
        <w:br/>
      </w:r>
      <w:r w:rsidR="00385444" w:rsidRPr="001E7AA4">
        <w:t>–</w:t>
      </w:r>
      <w:r w:rsidRPr="001E7AA4">
        <w:t xml:space="preserve"> </w:t>
      </w:r>
      <w:r w:rsidR="00275E88" w:rsidRPr="001E7AA4">
        <w:t>Western Sydney University Indigenous Professoriate</w:t>
      </w:r>
    </w:p>
    <w:p w14:paraId="71751A3B" w14:textId="77777777" w:rsidR="008B1A15" w:rsidRPr="001E7AA4" w:rsidRDefault="008B1A15" w:rsidP="008B1A15">
      <w:pPr>
        <w:spacing w:line="240" w:lineRule="auto"/>
      </w:pPr>
      <w:r w:rsidRPr="001E7AA4">
        <w:t xml:space="preserve">First Nations scholars from all disciplinary practices should be empowered to thrive within the research sector. Beyond deepening Australia’s understanding of First Nations culture and history, involving First Nations voices across all disciplines – from medical care to astrophysics to languages – provides a unique, and ultimately beneficial, perspective to Australia’s research system. Universities have a role to play in creating culturally safe and inclusive environments in which First Nations voices can be heard. </w:t>
      </w:r>
    </w:p>
    <w:p w14:paraId="347C425E" w14:textId="396C20C6" w:rsidR="008B1A15" w:rsidRPr="001E7AA4" w:rsidRDefault="008B1A15" w:rsidP="008B1A15">
      <w:pPr>
        <w:spacing w:line="240" w:lineRule="auto"/>
      </w:pPr>
      <w:r w:rsidRPr="001E7AA4">
        <w:t xml:space="preserve">Industry and government also have a role to play in being model users of First Nations research, embracing unique perspectives to solve wicked problems. An example of such is the consideration of First Nations practices in mitigating the </w:t>
      </w:r>
      <w:r w:rsidR="006F0F6B" w:rsidRPr="001E7AA4">
        <w:t xml:space="preserve">local </w:t>
      </w:r>
      <w:r w:rsidRPr="001E7AA4">
        <w:t xml:space="preserve">impacts of climate change. </w:t>
      </w:r>
    </w:p>
    <w:p w14:paraId="1E0AF095" w14:textId="5E306F5B" w:rsidR="008B1A15" w:rsidRPr="001E7AA4" w:rsidRDefault="008B1A15" w:rsidP="00F72CFE">
      <w:pPr>
        <w:pStyle w:val="Heading6"/>
      </w:pPr>
      <w:bookmarkStart w:id="297" w:name="_Toc136169191"/>
      <w:bookmarkEnd w:id="296"/>
      <w:r w:rsidRPr="001E7AA4">
        <w:t xml:space="preserve">2.7.1.4 Building our research capacity through research training and developing </w:t>
      </w:r>
      <w:r w:rsidR="006F0F6B" w:rsidRPr="001E7AA4">
        <w:t>our</w:t>
      </w:r>
      <w:r w:rsidRPr="001E7AA4">
        <w:t xml:space="preserve"> research workforce</w:t>
      </w:r>
      <w:bookmarkEnd w:id="297"/>
    </w:p>
    <w:p w14:paraId="24BC5534" w14:textId="62BE4144" w:rsidR="008B1A15" w:rsidRPr="001E7AA4" w:rsidRDefault="008B1A15" w:rsidP="008B1A15">
      <w:pPr>
        <w:spacing w:after="160" w:line="240" w:lineRule="auto"/>
      </w:pPr>
      <w:r w:rsidRPr="001E7AA4">
        <w:t xml:space="preserve">To provide critical and advanced skills in key sectors of the economy, Australia needs to train enough people to doctoral level. Data on exactly how many are needed at this level are not readily available, but there needs to be enough doctoral graduates to cover demand for roles in the academic workforce (where a PhD is the default entry qualification) and a high proportion of the non-university research sector </w:t>
      </w:r>
      <w:r w:rsidR="00FD3546" w:rsidRPr="001E7AA4">
        <w:t xml:space="preserve">including </w:t>
      </w:r>
      <w:r w:rsidRPr="001E7AA4">
        <w:t>industry and government research agencies.</w:t>
      </w:r>
    </w:p>
    <w:p w14:paraId="681D73E5" w14:textId="0530FC30" w:rsidR="008B1A15" w:rsidRPr="001E7AA4" w:rsidRDefault="008B1A15" w:rsidP="008B1A15">
      <w:pPr>
        <w:spacing w:after="160" w:line="240" w:lineRule="auto"/>
      </w:pPr>
      <w:r w:rsidRPr="001E7AA4">
        <w:t xml:space="preserve">Building the research workforce delivers benefits for </w:t>
      </w:r>
      <w:r w:rsidR="006F0F6B" w:rsidRPr="001E7AA4">
        <w:t xml:space="preserve">the </w:t>
      </w:r>
      <w:r w:rsidRPr="001E7AA4">
        <w:t xml:space="preserve">wider society, as many of these individuals will work outside </w:t>
      </w:r>
      <w:r w:rsidR="00902B78" w:rsidRPr="001E7AA4">
        <w:t>higher education</w:t>
      </w:r>
      <w:r w:rsidRPr="001E7AA4">
        <w:t>, helping to drive new and innovative ways of approaching problems, based on the expertise</w:t>
      </w:r>
      <w:r w:rsidRPr="001E7AA4" w:rsidDel="00902B78">
        <w:t xml:space="preserve"> they</w:t>
      </w:r>
      <w:r w:rsidRPr="001E7AA4">
        <w:t xml:space="preserve"> gained in their research</w:t>
      </w:r>
      <w:r w:rsidR="00130D0C" w:rsidRPr="001E7AA4">
        <w:t xml:space="preserve"> training</w:t>
      </w:r>
      <w:r w:rsidRPr="001E7AA4">
        <w:t xml:space="preserve">. </w:t>
      </w:r>
    </w:p>
    <w:p w14:paraId="4CF40762" w14:textId="795BE43A" w:rsidR="008B1A15" w:rsidRPr="001E7AA4" w:rsidRDefault="00A34C3D" w:rsidP="008B1A15">
      <w:pPr>
        <w:spacing w:after="160" w:line="240" w:lineRule="auto"/>
      </w:pPr>
      <w:r w:rsidRPr="001E7AA4">
        <w:t xml:space="preserve">Just as we do not have data </w:t>
      </w:r>
      <w:r w:rsidR="008B1A15" w:rsidRPr="001E7AA4">
        <w:t>on industry supply and demand at this level</w:t>
      </w:r>
      <w:r w:rsidRPr="001E7AA4">
        <w:t>,</w:t>
      </w:r>
      <w:r w:rsidR="008B1A15" w:rsidRPr="001E7AA4">
        <w:t xml:space="preserve"> </w:t>
      </w:r>
      <w:r w:rsidRPr="001E7AA4">
        <w:t>there</w:t>
      </w:r>
      <w:r w:rsidR="008B1A15" w:rsidRPr="001E7AA4">
        <w:t xml:space="preserve"> is </w:t>
      </w:r>
      <w:r w:rsidRPr="001E7AA4">
        <w:t xml:space="preserve">little </w:t>
      </w:r>
      <w:r w:rsidR="008B1A15" w:rsidRPr="001E7AA4">
        <w:t xml:space="preserve">information about whether we are producing sufficient PhDs in the right disciplines. There is no national research training policy or framework driving this data collection or forward research workforce planning. </w:t>
      </w:r>
    </w:p>
    <w:p w14:paraId="48CC29B8" w14:textId="618D175E" w:rsidR="008B1A15" w:rsidRPr="001E7AA4" w:rsidRDefault="008B1A15" w:rsidP="008B1A15">
      <w:pPr>
        <w:spacing w:after="160" w:line="240" w:lineRule="auto"/>
      </w:pPr>
      <w:r w:rsidRPr="001E7AA4">
        <w:t xml:space="preserve">The PhD in Australia generally takes the form of an apprenticeship with a more </w:t>
      </w:r>
      <w:r w:rsidR="001D2490" w:rsidRPr="001E7AA4">
        <w:t xml:space="preserve">experienced </w:t>
      </w:r>
      <w:r w:rsidRPr="001E7AA4">
        <w:t xml:space="preserve">researcher or research group, with the major output for assessment being a thesis. PhD students supply much of the ’grunt’ in our research system, which raises the question </w:t>
      </w:r>
      <w:r w:rsidR="00BD6D1D" w:rsidRPr="001E7AA4">
        <w:t xml:space="preserve">of </w:t>
      </w:r>
      <w:r w:rsidRPr="001E7AA4">
        <w:t>whether we pay enough attention to their education as opposed to seeing them as a welcome labour source. Our PhD offerings do not typically involve the deep coursework that characterises the PhD in the U</w:t>
      </w:r>
      <w:r w:rsidR="0A0E3FF0" w:rsidRPr="001E7AA4">
        <w:t>nited State</w:t>
      </w:r>
      <w:r w:rsidR="00BD6D1D" w:rsidRPr="001E7AA4">
        <w:t>s</w:t>
      </w:r>
      <w:r w:rsidRPr="001E7AA4">
        <w:t>. Nor do we often offer PhD students training in cognate fields (such as education or entrepreneur</w:t>
      </w:r>
      <w:r w:rsidR="5F632C22" w:rsidRPr="001E7AA4">
        <w:t>ship</w:t>
      </w:r>
      <w:r w:rsidRPr="001E7AA4">
        <w:t xml:space="preserve"> qualifications) that would enhance their prospects of good </w:t>
      </w:r>
      <w:r w:rsidR="5F632C22" w:rsidRPr="001E7AA4">
        <w:t>careers beyond academia</w:t>
      </w:r>
      <w:r w:rsidRPr="001E7AA4">
        <w:t xml:space="preserve">. </w:t>
      </w:r>
    </w:p>
    <w:p w14:paraId="5B695FFE" w14:textId="7CC64DFB" w:rsidR="008B1A15" w:rsidRPr="001E7AA4" w:rsidRDefault="008B1A15" w:rsidP="008B1A15">
      <w:pPr>
        <w:spacing w:after="160" w:line="240" w:lineRule="auto"/>
      </w:pPr>
      <w:r w:rsidRPr="001E7AA4">
        <w:t xml:space="preserve">Domestic enrolments in HDR programs have recently trended slightly downward, with a </w:t>
      </w:r>
      <w:r w:rsidR="008D2AE2" w:rsidRPr="001E7AA4">
        <w:t>5</w:t>
      </w:r>
      <w:r w:rsidRPr="001E7AA4" w:rsidDel="0002240E">
        <w:t>%</w:t>
      </w:r>
      <w:r w:rsidR="0002240E" w:rsidRPr="001E7AA4">
        <w:t xml:space="preserve"> </w:t>
      </w:r>
      <w:r w:rsidRPr="001E7AA4">
        <w:t xml:space="preserve">decline in enrolment numbers between 2016 </w:t>
      </w:r>
      <w:r w:rsidR="00BD6D1D" w:rsidRPr="001E7AA4">
        <w:t>and</w:t>
      </w:r>
      <w:r w:rsidRPr="001E7AA4">
        <w:t xml:space="preserve"> 2020</w:t>
      </w:r>
      <w:r w:rsidR="006F0F6B" w:rsidRPr="001E7AA4">
        <w:t>.</w:t>
      </w:r>
      <w:r w:rsidRPr="001E7AA4">
        <w:rPr>
          <w:rStyle w:val="FootnoteReference"/>
        </w:rPr>
        <w:footnoteReference w:id="138"/>
      </w:r>
      <w:r w:rsidRPr="001E7AA4">
        <w:t xml:space="preserve"> Many submissions to the Review have indicated that a key factor contributing to this decline is the PhD stipend, which is often below the minimum wage and therefore uncompetitive with industry or public sector salaries. This places significant financial pressure on HDR students, especially those with dependents. </w:t>
      </w:r>
    </w:p>
    <w:p w14:paraId="74947F8B" w14:textId="77777777" w:rsidR="008B1A15" w:rsidRPr="001E7AA4" w:rsidRDefault="008B1A15" w:rsidP="008B1A15">
      <w:pPr>
        <w:spacing w:after="160" w:line="240" w:lineRule="auto"/>
      </w:pPr>
      <w:r w:rsidRPr="001E7AA4">
        <w:t xml:space="preserve">Another factor cited is the lack of research positions available at the next training level, the postdoctoral level. Many early career researchers at postdoctoral level, while valuing postdoctoral experience, are extremely stressed as they seek a research career but, as there is relatively little </w:t>
      </w:r>
      <w:r w:rsidRPr="001E7AA4">
        <w:lastRenderedPageBreak/>
        <w:t>research funding available, the number of postdoctoral positions is limited so the next job for these researchers is rarely guaranteed.</w:t>
      </w:r>
    </w:p>
    <w:p w14:paraId="7FEDE364" w14:textId="5F1BA264" w:rsidR="008B1A15" w:rsidRPr="001E7AA4" w:rsidRDefault="0FE25076" w:rsidP="008B1A15">
      <w:pPr>
        <w:spacing w:after="160" w:line="240" w:lineRule="auto"/>
      </w:pPr>
      <w:r w:rsidRPr="001E7AA4">
        <w:t xml:space="preserve">Given this, </w:t>
      </w:r>
      <w:r w:rsidR="195D5E5F" w:rsidRPr="001E7AA4">
        <w:t>f</w:t>
      </w:r>
      <w:r w:rsidR="195D5E5F" w:rsidRPr="001E7AA4">
        <w:rPr>
          <w:rFonts w:ascii="Calibri" w:eastAsia="Calibri" w:hAnsi="Calibri" w:cs="Calibri"/>
        </w:rPr>
        <w:t xml:space="preserve">urther consideration </w:t>
      </w:r>
      <w:r w:rsidR="00A34C3D" w:rsidRPr="001E7AA4">
        <w:rPr>
          <w:rFonts w:ascii="Calibri" w:eastAsia="Calibri" w:hAnsi="Calibri" w:cs="Calibri"/>
        </w:rPr>
        <w:t>needs to be</w:t>
      </w:r>
      <w:r w:rsidR="195D5E5F" w:rsidRPr="001E7AA4">
        <w:rPr>
          <w:rFonts w:ascii="Calibri" w:eastAsia="Calibri" w:hAnsi="Calibri" w:cs="Calibri"/>
        </w:rPr>
        <w:t xml:space="preserve"> given to the future of research training programs, including the financial support and career structure necessary to build the next generation of research leaders</w:t>
      </w:r>
      <w:r w:rsidR="281FAD77" w:rsidRPr="001E7AA4">
        <w:rPr>
          <w:rFonts w:ascii="Calibri" w:eastAsia="Calibri" w:hAnsi="Calibri" w:cs="Calibri"/>
        </w:rPr>
        <w:t>, and empower</w:t>
      </w:r>
      <w:r w:rsidR="51D3AEA7" w:rsidRPr="001E7AA4">
        <w:rPr>
          <w:rFonts w:ascii="Calibri" w:eastAsia="Calibri" w:hAnsi="Calibri" w:cs="Calibri"/>
        </w:rPr>
        <w:t xml:space="preserve"> a more diverse cohort of early career researchers.</w:t>
      </w:r>
      <w:r w:rsidR="008B1A15" w:rsidRPr="001E7AA4">
        <w:t xml:space="preserve"> In addition to the underrepresentation of First Nations PhD students</w:t>
      </w:r>
      <w:r w:rsidR="008B1A15" w:rsidRPr="001E7AA4">
        <w:rPr>
          <w:bCs/>
          <w:iCs/>
        </w:rPr>
        <w:t>,</w:t>
      </w:r>
      <w:r w:rsidR="008B1A15" w:rsidRPr="001E7AA4">
        <w:t xml:space="preserve"> those with disability and those from low</w:t>
      </w:r>
      <w:r w:rsidR="00487B59" w:rsidRPr="001E7AA4">
        <w:t xml:space="preserve"> </w:t>
      </w:r>
      <w:r w:rsidR="005D02AF" w:rsidRPr="001E7AA4">
        <w:t>SES</w:t>
      </w:r>
      <w:r w:rsidR="008B1A15" w:rsidRPr="001E7AA4">
        <w:t xml:space="preserve"> backgrounds are not adequately represented in recent PhD student cohort figures (making up 7.8</w:t>
      </w:r>
      <w:r w:rsidR="008B1A15" w:rsidRPr="001E7AA4" w:rsidDel="0002240E">
        <w:t>%</w:t>
      </w:r>
      <w:r w:rsidR="0002240E" w:rsidRPr="001E7AA4">
        <w:t xml:space="preserve"> </w:t>
      </w:r>
      <w:r w:rsidR="008B1A15" w:rsidRPr="001E7AA4">
        <w:t xml:space="preserve">and 9.7% of total PhD enrolments </w:t>
      </w:r>
      <w:r w:rsidR="008B1A15" w:rsidRPr="001E7AA4">
        <w:rPr>
          <w:rFonts w:ascii="Calibri" w:eastAsia="Calibri" w:hAnsi="Calibri" w:cs="Calibri"/>
          <w:color w:val="000000" w:themeColor="text1"/>
        </w:rPr>
        <w:t>respectively</w:t>
      </w:r>
      <w:r w:rsidR="008B1A15" w:rsidRPr="001E7AA4">
        <w:t>)</w:t>
      </w:r>
      <w:r w:rsidR="006F0F6B" w:rsidRPr="001E7AA4">
        <w:t>.</w:t>
      </w:r>
      <w:r w:rsidR="008B1A15" w:rsidRPr="001E7AA4">
        <w:rPr>
          <w:rStyle w:val="FootnoteReference"/>
        </w:rPr>
        <w:footnoteReference w:id="139"/>
      </w:r>
      <w:r w:rsidR="006F0F6B" w:rsidRPr="001E7AA4">
        <w:t xml:space="preserve"> </w:t>
      </w:r>
      <w:r w:rsidR="008B1A15" w:rsidRPr="001E7AA4">
        <w:t xml:space="preserve">Research training pathways </w:t>
      </w:r>
      <w:r w:rsidR="3BD7CBE6" w:rsidRPr="001E7AA4">
        <w:t>could</w:t>
      </w:r>
      <w:r w:rsidR="008B1A15" w:rsidRPr="001E7AA4">
        <w:t xml:space="preserve"> be refined to improve accessibility for all Australians wishing to undertake research, which in turn will lead to a more diverse range of PhD graduates and researchers in the workforce. </w:t>
      </w:r>
    </w:p>
    <w:p w14:paraId="643962BF" w14:textId="4F492668" w:rsidR="008B1A15" w:rsidRPr="001E7AA4" w:rsidRDefault="008B1A15" w:rsidP="008B1A15">
      <w:pPr>
        <w:spacing w:after="160" w:line="240" w:lineRule="auto"/>
        <w:rPr>
          <w:bCs/>
          <w:iCs/>
        </w:rPr>
      </w:pPr>
      <w:r w:rsidRPr="001E7AA4">
        <w:t xml:space="preserve">Research training in the form of tailored career development for teaching-and-research and research-only academics </w:t>
      </w:r>
      <w:r w:rsidR="48453CEE" w:rsidRPr="001E7AA4">
        <w:t>could also</w:t>
      </w:r>
      <w:r w:rsidRPr="001E7AA4">
        <w:t xml:space="preserve"> be enhanced. Such training needs to complement training in university education.</w:t>
      </w:r>
    </w:p>
    <w:p w14:paraId="088E1720" w14:textId="77777777" w:rsidR="008B1A15" w:rsidRPr="001E7AA4" w:rsidRDefault="008B1A15" w:rsidP="008B1A15">
      <w:pPr>
        <w:spacing w:after="160" w:line="240" w:lineRule="auto"/>
      </w:pPr>
      <w:r w:rsidRPr="001E7AA4">
        <w:t>Clarity of approach to research training and support for early career researchers is vital and needs to be addressed with some urgency.</w:t>
      </w:r>
    </w:p>
    <w:p w14:paraId="4E19E304" w14:textId="77777777" w:rsidR="008B1A15" w:rsidRPr="001E7AA4" w:rsidRDefault="008B1A15" w:rsidP="00F72CFE">
      <w:pPr>
        <w:pStyle w:val="Heading6"/>
      </w:pPr>
      <w:bookmarkStart w:id="298" w:name="_Toc136169192"/>
      <w:r w:rsidRPr="001E7AA4">
        <w:t>2.7.1.5 Strengthening research infrastructure</w:t>
      </w:r>
      <w:bookmarkEnd w:id="298"/>
      <w:r w:rsidRPr="001E7AA4">
        <w:t xml:space="preserve"> </w:t>
      </w:r>
    </w:p>
    <w:p w14:paraId="5226F9BA" w14:textId="4C18E446" w:rsidR="008B1A15" w:rsidRPr="001E7AA4" w:rsidRDefault="008B1A15" w:rsidP="008B1A15">
      <w:pPr>
        <w:spacing w:line="240" w:lineRule="auto"/>
        <w:rPr>
          <w:rFonts w:eastAsia="Calibri"/>
          <w:color w:val="000000" w:themeColor="text1"/>
        </w:rPr>
      </w:pPr>
      <w:r w:rsidRPr="001E7AA4">
        <w:t xml:space="preserve">Research infrastructure is a </w:t>
      </w:r>
      <w:r w:rsidR="006F0F6B" w:rsidRPr="001E7AA4">
        <w:t>major</w:t>
      </w:r>
      <w:r w:rsidRPr="001E7AA4">
        <w:t xml:space="preserve"> contributor to high-quality Australian research, and subsequently the contribution that research makes to addressing national and global problems. </w:t>
      </w:r>
      <w:r w:rsidRPr="001E7AA4">
        <w:rPr>
          <w:rFonts w:eastAsia="Calibri"/>
          <w:color w:val="000000" w:themeColor="text1"/>
        </w:rPr>
        <w:t xml:space="preserve">Several submissions to the Review have argued that there is insufficient funding for both research and other university infrastructure, risking Australia’s ability to undertake leading-edge experimental R&amp;D. </w:t>
      </w:r>
    </w:p>
    <w:p w14:paraId="3C473647" w14:textId="538D7713" w:rsidR="008B1A15" w:rsidRPr="001E7AA4" w:rsidRDefault="008B1A15" w:rsidP="008B1A15">
      <w:pPr>
        <w:spacing w:line="240" w:lineRule="auto"/>
        <w:rPr>
          <w:rFonts w:eastAsia="Calibri" w:cstheme="minorHAnsi"/>
          <w:color w:val="000000" w:themeColor="text1"/>
        </w:rPr>
      </w:pPr>
      <w:r w:rsidRPr="001E7AA4">
        <w:rPr>
          <w:rFonts w:eastAsia="Calibri" w:cstheme="minorHAnsi"/>
          <w:color w:val="000000" w:themeColor="text1"/>
        </w:rPr>
        <w:t xml:space="preserve">Australia has had research and broader infrastructure mechanisms that have worked well in the past, notably the Education Investment Fund (EIF), which </w:t>
      </w:r>
      <w:r w:rsidRPr="001E7AA4">
        <w:rPr>
          <w:rFonts w:ascii="Calibri" w:eastAsia="Calibri" w:hAnsi="Calibri" w:cs="Calibri"/>
        </w:rPr>
        <w:t>funded general university infrastructure</w:t>
      </w:r>
      <w:r w:rsidRPr="001E7AA4">
        <w:rPr>
          <w:rFonts w:eastAsia="Calibri" w:cstheme="minorHAnsi"/>
          <w:color w:val="000000" w:themeColor="text1"/>
        </w:rPr>
        <w:t xml:space="preserve"> (discussed further in </w:t>
      </w:r>
      <w:r w:rsidR="00DA2613" w:rsidRPr="001E7AA4">
        <w:rPr>
          <w:rFonts w:eastAsia="Calibri" w:cstheme="minorHAnsi"/>
          <w:color w:val="000000" w:themeColor="text1"/>
        </w:rPr>
        <w:t>Section</w:t>
      </w:r>
      <w:r w:rsidRPr="001E7AA4">
        <w:rPr>
          <w:rFonts w:eastAsia="Calibri" w:cstheme="minorHAnsi"/>
          <w:color w:val="000000" w:themeColor="text1"/>
        </w:rPr>
        <w:t xml:space="preserve"> 3.3). Currently, t</w:t>
      </w:r>
      <w:r w:rsidRPr="001E7AA4">
        <w:t>he Government’s main program</w:t>
      </w:r>
      <w:r w:rsidR="00533DBA" w:rsidRPr="001E7AA4">
        <w:t xml:space="preserve">s </w:t>
      </w:r>
      <w:r w:rsidRPr="001E7AA4">
        <w:t xml:space="preserve">for funding research infrastructure </w:t>
      </w:r>
      <w:r w:rsidR="00375350" w:rsidRPr="001E7AA4">
        <w:t xml:space="preserve">are </w:t>
      </w:r>
      <w:r w:rsidRPr="001E7AA4">
        <w:t>the National Collaborative Research Infrastructure Strategy (NCRIS</w:t>
      </w:r>
      <w:r w:rsidR="00375350" w:rsidRPr="001E7AA4">
        <w:t>) and the Medical Research Future Fund (MRFF).</w:t>
      </w:r>
    </w:p>
    <w:p w14:paraId="12FA163D" w14:textId="23EDBCC2" w:rsidR="008B1A15" w:rsidRPr="001E7AA4" w:rsidRDefault="008B1A15" w:rsidP="008B1A15">
      <w:pPr>
        <w:spacing w:line="240" w:lineRule="auto"/>
        <w:rPr>
          <w:rFonts w:eastAsia="Calibri" w:cstheme="minorHAnsi"/>
          <w:color w:val="000000" w:themeColor="text1"/>
        </w:rPr>
      </w:pPr>
      <w:r w:rsidRPr="001E7AA4">
        <w:rPr>
          <w:rFonts w:eastAsia="Calibri" w:cstheme="minorHAnsi"/>
          <w:color w:val="000000" w:themeColor="text1"/>
        </w:rPr>
        <w:t>NCRIS provides critical research infrastructure on a national scale, promotes strong collaboration across research institutions, and strategically targets funding for national priorities. However, most NCRIS funding is currently due to end in 2028-29, and greater certainty is required for the future of the program. It is important that this source of funding continues to ensure that necessary, cutting-edge research infrastructure can be constructed, operated and made accessible to researchers conducting research that meet</w:t>
      </w:r>
      <w:r w:rsidR="001A0A58" w:rsidRPr="001E7AA4">
        <w:rPr>
          <w:rFonts w:eastAsia="Calibri" w:cstheme="minorHAnsi"/>
          <w:color w:val="000000" w:themeColor="text1"/>
        </w:rPr>
        <w:t>s</w:t>
      </w:r>
      <w:r w:rsidRPr="001E7AA4">
        <w:rPr>
          <w:rFonts w:eastAsia="Calibri" w:cstheme="minorHAnsi"/>
          <w:color w:val="000000" w:themeColor="text1"/>
        </w:rPr>
        <w:t xml:space="preserve"> national priorities.</w:t>
      </w:r>
    </w:p>
    <w:p w14:paraId="2C655422" w14:textId="4F7E039F" w:rsidR="00882F1A" w:rsidRPr="001E7AA4" w:rsidRDefault="0053464D" w:rsidP="00882F1A">
      <w:pPr>
        <w:pStyle w:val="Quote"/>
      </w:pPr>
      <w:r w:rsidRPr="001E7AA4">
        <w:t>“</w:t>
      </w:r>
      <w:r w:rsidR="00882F1A" w:rsidRPr="001E7AA4">
        <w:t>While Australian research has been well served by the National Collaborative Research Infrastructure Strategy (NCRIS), this does not provide a holistic or guaranteed sustainable source of research funding.</w:t>
      </w:r>
      <w:r w:rsidRPr="001E7AA4">
        <w:t>”</w:t>
      </w:r>
      <w:r w:rsidR="00882F1A" w:rsidRPr="001E7AA4">
        <w:t xml:space="preserve"> </w:t>
      </w:r>
      <w:r w:rsidR="00E61ECB">
        <w:br/>
      </w:r>
      <w:r w:rsidR="00C16591" w:rsidRPr="001E7AA4">
        <w:t xml:space="preserve">– The </w:t>
      </w:r>
      <w:r w:rsidR="00882F1A" w:rsidRPr="001E7AA4">
        <w:t xml:space="preserve">Group </w:t>
      </w:r>
      <w:r w:rsidR="005020A2" w:rsidRPr="001E7AA4">
        <w:t>o</w:t>
      </w:r>
      <w:r w:rsidR="00882F1A" w:rsidRPr="001E7AA4">
        <w:t>f Eight</w:t>
      </w:r>
    </w:p>
    <w:p w14:paraId="26AB10F1" w14:textId="3E98D319" w:rsidR="008B1A15" w:rsidRDefault="008B1A15" w:rsidP="008B1A15">
      <w:pPr>
        <w:spacing w:line="240" w:lineRule="auto"/>
        <w:rPr>
          <w:rFonts w:ascii="Calibri" w:eastAsia="Calibri" w:hAnsi="Calibri" w:cs="Calibri"/>
        </w:rPr>
      </w:pPr>
      <w:r w:rsidRPr="001E7AA4">
        <w:rPr>
          <w:rFonts w:eastAsia="Calibri" w:cstheme="minorHAnsi"/>
          <w:color w:val="000000" w:themeColor="text1"/>
        </w:rPr>
        <w:t xml:space="preserve">While there is strong support for funding through NCRIS, this provides only a proportion of the needed higher education infrastructure. </w:t>
      </w:r>
      <w:r w:rsidR="00AE5271" w:rsidRPr="001E7AA4">
        <w:rPr>
          <w:rFonts w:eastAsia="Calibri" w:cstheme="minorHAnsi"/>
          <w:color w:val="000000" w:themeColor="text1"/>
        </w:rPr>
        <w:t>Submissions have argued that a</w:t>
      </w:r>
      <w:r w:rsidRPr="001E7AA4">
        <w:rPr>
          <w:rFonts w:ascii="Calibri" w:eastAsia="Calibri" w:hAnsi="Calibri" w:cs="Calibri"/>
        </w:rPr>
        <w:t xml:space="preserve">dequate funding is needed to meet the demand for both research infrastructure and contemporary learning </w:t>
      </w:r>
      <w:r w:rsidR="0065483C" w:rsidRPr="001E7AA4">
        <w:rPr>
          <w:rFonts w:ascii="Calibri" w:eastAsia="Calibri" w:hAnsi="Calibri" w:cs="Calibri"/>
        </w:rPr>
        <w:t xml:space="preserve">and teaching </w:t>
      </w:r>
      <w:r w:rsidRPr="001E7AA4">
        <w:rPr>
          <w:rFonts w:ascii="Calibri" w:eastAsia="Calibri" w:hAnsi="Calibri" w:cs="Calibri"/>
        </w:rPr>
        <w:t>facilities.</w:t>
      </w:r>
    </w:p>
    <w:p w14:paraId="1415EC3F" w14:textId="605490E9" w:rsidR="00D46D3D" w:rsidRDefault="00D46D3D" w:rsidP="00D46D3D">
      <w:pPr>
        <w:pStyle w:val="Pulloutboxes"/>
      </w:pPr>
      <w:r w:rsidRPr="00454909">
        <w:t>The Review suggests consideration be given to NCRIS moving to sustainable, ongoing funding.</w:t>
      </w:r>
    </w:p>
    <w:p w14:paraId="0BB5C72B" w14:textId="77777777" w:rsidR="008B1A15" w:rsidRPr="001E7AA4" w:rsidRDefault="008B1A15" w:rsidP="00F72CFE">
      <w:pPr>
        <w:pStyle w:val="Heading6"/>
        <w:rPr>
          <w:rStyle w:val="normaltextrun"/>
          <w:rFonts w:ascii="Calibri" w:eastAsiaTheme="minorHAnsi" w:hAnsi="Calibri" w:cs="Calibri"/>
          <w:b w:val="0"/>
          <w:color w:val="auto"/>
          <w:sz w:val="22"/>
        </w:rPr>
      </w:pPr>
      <w:bookmarkStart w:id="299" w:name="_Toc136169193"/>
      <w:r w:rsidRPr="001E7AA4">
        <w:lastRenderedPageBreak/>
        <w:t>2.7.1.6 The importance of measuring research quality</w:t>
      </w:r>
      <w:bookmarkEnd w:id="299"/>
    </w:p>
    <w:p w14:paraId="57A67963" w14:textId="5EF10199" w:rsidR="008B1A15" w:rsidRPr="001E7AA4" w:rsidRDefault="008B1A15" w:rsidP="008B1A15">
      <w:pPr>
        <w:spacing w:line="240" w:lineRule="auto"/>
        <w:rPr>
          <w:rFonts w:ascii="Segoe UI" w:hAnsi="Segoe UI" w:cs="Segoe UI"/>
          <w:sz w:val="18"/>
          <w:szCs w:val="18"/>
        </w:rPr>
      </w:pPr>
      <w:r w:rsidRPr="001E7AA4">
        <w:rPr>
          <w:rStyle w:val="normaltextrun"/>
          <w:rFonts w:ascii="Calibri" w:hAnsi="Calibri" w:cs="Calibri"/>
        </w:rPr>
        <w:t>The Australian university system is internationally recognised for its high</w:t>
      </w:r>
      <w:r w:rsidR="0CF55BC1" w:rsidRPr="001E7AA4">
        <w:rPr>
          <w:rStyle w:val="normaltextrun"/>
          <w:rFonts w:ascii="Calibri" w:hAnsi="Calibri" w:cs="Calibri"/>
        </w:rPr>
        <w:t>-</w:t>
      </w:r>
      <w:r w:rsidRPr="001E7AA4">
        <w:rPr>
          <w:rStyle w:val="normaltextrun"/>
          <w:rFonts w:ascii="Calibri" w:hAnsi="Calibri" w:cs="Calibri"/>
        </w:rPr>
        <w:t>quality research capabilities. Research performance evaluation plays an important role in preserving Australia’s research bedrock, demonstrating that the significant level of investment in university research is leading to strong outcomes for the nation. However, many universities argue that the recent research assessment exercise, Excellence in Research</w:t>
      </w:r>
      <w:r w:rsidR="00786190" w:rsidRPr="001E7AA4">
        <w:rPr>
          <w:rStyle w:val="normaltextrun"/>
          <w:rFonts w:ascii="Calibri" w:hAnsi="Calibri" w:cs="Calibri"/>
        </w:rPr>
        <w:t xml:space="preserve"> for</w:t>
      </w:r>
      <w:r w:rsidRPr="001E7AA4">
        <w:rPr>
          <w:rStyle w:val="normaltextrun"/>
          <w:rFonts w:ascii="Calibri" w:hAnsi="Calibri" w:cs="Calibri"/>
        </w:rPr>
        <w:t xml:space="preserve"> Australia (ERA), came with too high an administrative burden. Accordingly, the recently completed Review of the </w:t>
      </w:r>
      <w:r w:rsidRPr="001E7AA4">
        <w:rPr>
          <w:rStyle w:val="normaltextrun"/>
          <w:rFonts w:ascii="Calibri" w:hAnsi="Calibri" w:cs="Calibri"/>
          <w:i/>
          <w:iCs/>
        </w:rPr>
        <w:t xml:space="preserve">Australian Research Council Act 2001 </w:t>
      </w:r>
      <w:r w:rsidRPr="001E7AA4">
        <w:rPr>
          <w:rStyle w:val="normaltextrun"/>
          <w:rFonts w:ascii="Calibri" w:hAnsi="Calibri" w:cs="Calibri"/>
        </w:rPr>
        <w:t>has</w:t>
      </w:r>
      <w:r w:rsidRPr="001E7AA4">
        <w:rPr>
          <w:rStyle w:val="normaltextrun"/>
          <w:rFonts w:ascii="Calibri" w:hAnsi="Calibri" w:cs="Calibri"/>
          <w:i/>
          <w:iCs/>
        </w:rPr>
        <w:t xml:space="preserve"> </w:t>
      </w:r>
      <w:r w:rsidRPr="001E7AA4">
        <w:rPr>
          <w:rStyle w:val="normaltextrun"/>
          <w:rFonts w:ascii="Calibri" w:hAnsi="Calibri" w:cs="Calibri"/>
        </w:rPr>
        <w:t>recommended that ERA, along with the ARC’s Engagement and Impact assessment, be discontinued.</w:t>
      </w:r>
      <w:r w:rsidRPr="001E7AA4">
        <w:rPr>
          <w:rStyle w:val="FootnoteReference"/>
          <w:rFonts w:ascii="Calibri" w:hAnsi="Calibri" w:cs="Calibri"/>
        </w:rPr>
        <w:footnoteReference w:id="140"/>
      </w:r>
      <w:r w:rsidRPr="001E7AA4">
        <w:rPr>
          <w:rStyle w:val="eop"/>
          <w:rFonts w:ascii="Calibri" w:hAnsi="Calibri" w:cs="Calibri"/>
        </w:rPr>
        <w:t xml:space="preserve">  </w:t>
      </w:r>
    </w:p>
    <w:p w14:paraId="288BB0B8" w14:textId="2C3897A8" w:rsidR="008B1A15" w:rsidRPr="001E7AA4" w:rsidRDefault="008B1A15" w:rsidP="008B1A15">
      <w:r w:rsidRPr="001E7AA4">
        <w:rPr>
          <w:rStyle w:val="normaltextrun"/>
          <w:rFonts w:ascii="Calibri" w:hAnsi="Calibri" w:cs="Calibri"/>
        </w:rPr>
        <w:t xml:space="preserve">The Review, after consulting TEQSA, notes national research performance evaluation is vital not least for providing research funders evidence of value for money and notes that recent developments in data technology offer opportunities to move toward less labour-intensive processes for collecting performance data and assessing performance, though these data-driven approaches will not remove the need for some peer review and expert analysis of data to measure Australia’s research outcomes fully. </w:t>
      </w:r>
    </w:p>
    <w:p w14:paraId="12074FF3" w14:textId="77777777" w:rsidR="008B1A15" w:rsidRPr="001E7AA4" w:rsidRDefault="5BAAEE5A" w:rsidP="00F72CFE">
      <w:pPr>
        <w:pStyle w:val="Heading5"/>
      </w:pPr>
      <w:bookmarkStart w:id="300" w:name="_Toc136169194"/>
      <w:bookmarkStart w:id="301" w:name="_Toc137829578"/>
      <w:bookmarkStart w:id="302" w:name="_Toc619934952"/>
      <w:bookmarkStart w:id="303" w:name="_Toc139028910"/>
      <w:r w:rsidRPr="001E7AA4">
        <w:t>2.7.2 Sharing and translating university research</w:t>
      </w:r>
      <w:bookmarkEnd w:id="300"/>
      <w:bookmarkEnd w:id="301"/>
      <w:bookmarkEnd w:id="302"/>
      <w:bookmarkEnd w:id="303"/>
    </w:p>
    <w:p w14:paraId="3D92CD3B" w14:textId="4A99C2E8" w:rsidR="008B1A15" w:rsidRPr="001E7AA4" w:rsidRDefault="008B1A15" w:rsidP="008B1A15">
      <w:pPr>
        <w:spacing w:line="240" w:lineRule="auto"/>
      </w:pPr>
      <w:r w:rsidRPr="001E7AA4">
        <w:t xml:space="preserve">Effective sharing and translation of university research and research expertise is important for a successful knowledge economy. Understanding what is being achieved </w:t>
      </w:r>
      <w:r w:rsidR="006F0F6B" w:rsidRPr="001E7AA4">
        <w:t xml:space="preserve">(through measurement) </w:t>
      </w:r>
      <w:r w:rsidRPr="001E7AA4">
        <w:t>is vital</w:t>
      </w:r>
      <w:r w:rsidR="006F0F6B" w:rsidRPr="001E7AA4">
        <w:t xml:space="preserve">, </w:t>
      </w:r>
      <w:r w:rsidRPr="001E7AA4">
        <w:t>as are pull and push factors.</w:t>
      </w:r>
    </w:p>
    <w:p w14:paraId="43D833DD" w14:textId="11B7803F" w:rsidR="008B1A15" w:rsidRPr="001E7AA4" w:rsidRDefault="008B1A15" w:rsidP="00F72CFE">
      <w:pPr>
        <w:pStyle w:val="Heading6"/>
      </w:pPr>
      <w:bookmarkStart w:id="304" w:name="_Toc136169195"/>
      <w:r w:rsidRPr="001E7AA4">
        <w:t>2.7.2.1 Measure how useful university research is – establish the baseline and monitor over time</w:t>
      </w:r>
      <w:bookmarkEnd w:id="304"/>
      <w:r w:rsidRPr="001E7AA4">
        <w:t xml:space="preserve"> </w:t>
      </w:r>
    </w:p>
    <w:p w14:paraId="584A808C" w14:textId="20B83738" w:rsidR="008B1A15" w:rsidRPr="001E7AA4" w:rsidRDefault="008B1A15" w:rsidP="008B1A15">
      <w:pPr>
        <w:rPr>
          <w:rStyle w:val="normaltextrun"/>
          <w:rFonts w:ascii="Calibri" w:hAnsi="Calibri" w:cs="Calibri"/>
        </w:rPr>
      </w:pPr>
      <w:r w:rsidRPr="001E7AA4">
        <w:rPr>
          <w:rStyle w:val="normaltextrun"/>
          <w:rFonts w:ascii="Calibri" w:hAnsi="Calibri" w:cs="Calibri"/>
        </w:rPr>
        <w:t xml:space="preserve">There are many examples of Australian </w:t>
      </w:r>
      <w:r w:rsidR="00772C40" w:rsidRPr="001E7AA4">
        <w:rPr>
          <w:rStyle w:val="normaltextrun"/>
          <w:rFonts w:ascii="Calibri" w:hAnsi="Calibri" w:cs="Calibri"/>
        </w:rPr>
        <w:t>higher education</w:t>
      </w:r>
      <w:r w:rsidRPr="001E7AA4">
        <w:rPr>
          <w:rStyle w:val="normaltextrun"/>
          <w:rFonts w:ascii="Calibri" w:hAnsi="Calibri" w:cs="Calibri"/>
        </w:rPr>
        <w:t xml:space="preserve"> research translating into tangible, real world benefits – from fewer deaths and disease prevention to improved processes and efficiencies. However, as noted above, there is conflicting evidence on how much end</w:t>
      </w:r>
      <w:r w:rsidR="003E3E27" w:rsidRPr="001E7AA4">
        <w:rPr>
          <w:rStyle w:val="normaltextrun"/>
          <w:rFonts w:ascii="Calibri" w:hAnsi="Calibri" w:cs="Calibri"/>
        </w:rPr>
        <w:t>-</w:t>
      </w:r>
      <w:r w:rsidRPr="001E7AA4">
        <w:rPr>
          <w:rStyle w:val="normaltextrun"/>
          <w:rFonts w:ascii="Calibri" w:hAnsi="Calibri" w:cs="Calibri"/>
        </w:rPr>
        <w:t>users in industry, government and the community are drawing on and using university research expertise. Given the amount invested in university research, it is important to settle this with quantifiable evidence. The</w:t>
      </w:r>
      <w:r w:rsidR="0015330E" w:rsidRPr="001E7AA4">
        <w:rPr>
          <w:rStyle w:val="normaltextrun"/>
          <w:rFonts w:ascii="Calibri" w:hAnsi="Calibri" w:cs="Calibri"/>
        </w:rPr>
        <w:t xml:space="preserve"> </w:t>
      </w:r>
      <w:r w:rsidRPr="001E7AA4">
        <w:rPr>
          <w:rStyle w:val="normaltextrun"/>
          <w:rFonts w:ascii="Calibri" w:hAnsi="Calibri" w:cs="Calibri"/>
        </w:rPr>
        <w:t xml:space="preserve">Review </w:t>
      </w:r>
      <w:r w:rsidR="00352EFE" w:rsidRPr="001E7AA4">
        <w:rPr>
          <w:rStyle w:val="normaltextrun"/>
          <w:rFonts w:ascii="Calibri" w:hAnsi="Calibri" w:cs="Calibri"/>
        </w:rPr>
        <w:t xml:space="preserve">considers </w:t>
      </w:r>
      <w:r w:rsidRPr="001E7AA4">
        <w:rPr>
          <w:rStyle w:val="normaltextrun"/>
          <w:rFonts w:ascii="Calibri" w:hAnsi="Calibri" w:cs="Calibri"/>
        </w:rPr>
        <w:t xml:space="preserve">that a measure </w:t>
      </w:r>
      <w:r w:rsidR="00352EFE" w:rsidRPr="001E7AA4">
        <w:rPr>
          <w:rStyle w:val="normaltextrun"/>
          <w:rFonts w:ascii="Calibri" w:hAnsi="Calibri" w:cs="Calibri"/>
        </w:rPr>
        <w:t xml:space="preserve">could </w:t>
      </w:r>
      <w:r w:rsidRPr="001E7AA4">
        <w:rPr>
          <w:rStyle w:val="normaltextrun"/>
          <w:rFonts w:ascii="Calibri" w:hAnsi="Calibri" w:cs="Calibri"/>
        </w:rPr>
        <w:t>be constructed of the interaction between Australian university researchers and end</w:t>
      </w:r>
      <w:r w:rsidR="001C724F" w:rsidRPr="001E7AA4">
        <w:rPr>
          <w:rStyle w:val="normaltextrun"/>
          <w:rFonts w:ascii="Calibri" w:hAnsi="Calibri" w:cs="Calibri"/>
        </w:rPr>
        <w:t>-</w:t>
      </w:r>
      <w:r w:rsidRPr="001E7AA4">
        <w:rPr>
          <w:rStyle w:val="normaltextrun"/>
          <w:rFonts w:ascii="Calibri" w:hAnsi="Calibri" w:cs="Calibri"/>
        </w:rPr>
        <w:t>users</w:t>
      </w:r>
      <w:r w:rsidR="00F6602D" w:rsidRPr="001E7AA4">
        <w:rPr>
          <w:rStyle w:val="normaltextrun"/>
          <w:rFonts w:ascii="Calibri" w:hAnsi="Calibri" w:cs="Calibri"/>
        </w:rPr>
        <w:t>,</w:t>
      </w:r>
      <w:r w:rsidRPr="001E7AA4">
        <w:rPr>
          <w:rStyle w:val="normaltextrun"/>
          <w:rFonts w:ascii="Calibri" w:hAnsi="Calibri" w:cs="Calibri"/>
        </w:rPr>
        <w:t xml:space="preserve"> and of the impact and value of that interaction. The initial calculation of this measure w</w:t>
      </w:r>
      <w:r w:rsidR="00352EFE" w:rsidRPr="001E7AA4">
        <w:rPr>
          <w:rStyle w:val="normaltextrun"/>
          <w:rFonts w:ascii="Calibri" w:hAnsi="Calibri" w:cs="Calibri"/>
        </w:rPr>
        <w:t xml:space="preserve">ould </w:t>
      </w:r>
      <w:r w:rsidRPr="001E7AA4">
        <w:rPr>
          <w:rStyle w:val="normaltextrun"/>
          <w:rFonts w:ascii="Calibri" w:hAnsi="Calibri" w:cs="Calibri"/>
        </w:rPr>
        <w:t xml:space="preserve">provide a baseline and then re-calculation, </w:t>
      </w:r>
      <w:r w:rsidR="001C724F" w:rsidRPr="001E7AA4">
        <w:rPr>
          <w:rStyle w:val="normaltextrun"/>
          <w:rFonts w:ascii="Calibri" w:hAnsi="Calibri" w:cs="Calibri"/>
        </w:rPr>
        <w:t xml:space="preserve">perhaps </w:t>
      </w:r>
      <w:r w:rsidRPr="001E7AA4">
        <w:rPr>
          <w:rStyle w:val="normaltextrun"/>
          <w:rFonts w:ascii="Calibri" w:hAnsi="Calibri" w:cs="Calibri"/>
        </w:rPr>
        <w:t xml:space="preserve">at </w:t>
      </w:r>
      <w:r w:rsidR="00F6602D" w:rsidRPr="001E7AA4">
        <w:rPr>
          <w:rStyle w:val="normaltextrun"/>
          <w:rFonts w:ascii="Calibri" w:hAnsi="Calibri" w:cs="Calibri"/>
        </w:rPr>
        <w:t>two-</w:t>
      </w:r>
      <w:r w:rsidRPr="001E7AA4">
        <w:rPr>
          <w:rStyle w:val="normaltextrun"/>
          <w:rFonts w:ascii="Calibri" w:hAnsi="Calibri" w:cs="Calibri"/>
        </w:rPr>
        <w:t xml:space="preserve">yearly rests, </w:t>
      </w:r>
      <w:r w:rsidR="00F6602D" w:rsidRPr="001E7AA4">
        <w:rPr>
          <w:rStyle w:val="normaltextrun"/>
          <w:rFonts w:ascii="Calibri" w:hAnsi="Calibri" w:cs="Calibri"/>
        </w:rPr>
        <w:t xml:space="preserve">would </w:t>
      </w:r>
      <w:r w:rsidRPr="001E7AA4">
        <w:rPr>
          <w:rStyle w:val="normaltextrun"/>
          <w:rFonts w:ascii="Calibri" w:hAnsi="Calibri" w:cs="Calibri"/>
        </w:rPr>
        <w:t>provide information on any improvements or otherwise.</w:t>
      </w:r>
    </w:p>
    <w:p w14:paraId="3D325DD7" w14:textId="77777777" w:rsidR="008B1A15" w:rsidRPr="001E7AA4" w:rsidRDefault="008B1A15" w:rsidP="008B1A15">
      <w:r w:rsidRPr="001E7AA4">
        <w:rPr>
          <w:rStyle w:val="normaltextrun"/>
          <w:rFonts w:ascii="Calibri" w:hAnsi="Calibri" w:cs="Calibri"/>
        </w:rPr>
        <w:t xml:space="preserve">The very act of measuring this will almost certainly have the effect of </w:t>
      </w:r>
      <w:r w:rsidRPr="001E7AA4">
        <w:t>improving the interactions as the higher education sector, especially its research part, is inherently highly competitive.</w:t>
      </w:r>
    </w:p>
    <w:p w14:paraId="5046D8EC" w14:textId="562B306A" w:rsidR="008B1A15" w:rsidRPr="001E7AA4" w:rsidRDefault="008B1A15" w:rsidP="008B1A15">
      <w:pPr>
        <w:spacing w:line="240" w:lineRule="auto"/>
        <w:rPr>
          <w:rStyle w:val="normaltextrun"/>
        </w:rPr>
      </w:pPr>
      <w:r w:rsidRPr="001E7AA4">
        <w:rPr>
          <w:rStyle w:val="normaltextrun"/>
        </w:rPr>
        <w:t xml:space="preserve">Measuring interactions and their impact is not trivial but it is an area where a lot of work has been done both in Australia and overseas. An example that could be adapted to this purpose is narrative CVs used by the NHMRC and </w:t>
      </w:r>
      <w:r w:rsidRPr="001E7AA4">
        <w:rPr>
          <w:rStyle w:val="normaltextrun"/>
          <w:rFonts w:ascii="Calibri" w:hAnsi="Calibri" w:cs="Calibri"/>
        </w:rPr>
        <w:t>UK Research and Innovation to enable researchers to showcase a range of skills and experience when applying for research funding. In turn, the information collected through this process can be used to demonstrate research impact.</w:t>
      </w:r>
    </w:p>
    <w:p w14:paraId="48FCAB14" w14:textId="3FF5ABFC" w:rsidR="008B1A15" w:rsidRPr="001E7AA4" w:rsidRDefault="008B1A15" w:rsidP="00F72CFE">
      <w:pPr>
        <w:pStyle w:val="Heading6"/>
      </w:pPr>
      <w:bookmarkStart w:id="305" w:name="_Toc136169196"/>
      <w:r w:rsidRPr="001E7AA4">
        <w:lastRenderedPageBreak/>
        <w:t xml:space="preserve">2.7.2.2 Show how it’s done – </w:t>
      </w:r>
      <w:r w:rsidR="006F0F6B" w:rsidRPr="001E7AA4">
        <w:t>g</w:t>
      </w:r>
      <w:r w:rsidRPr="001E7AA4">
        <w:t>overnment to become an exemplary user of research (pull mechanism)</w:t>
      </w:r>
      <w:bookmarkEnd w:id="305"/>
    </w:p>
    <w:p w14:paraId="203BF3D6" w14:textId="77777777" w:rsidR="008B1A15" w:rsidRPr="001E7AA4" w:rsidRDefault="008B1A15" w:rsidP="008B1A15">
      <w:pPr>
        <w:spacing w:line="240" w:lineRule="auto"/>
      </w:pPr>
      <w:r w:rsidRPr="001E7AA4">
        <w:t xml:space="preserve">University research can be drawn on by governments to address not only the grand challenges of solving the nation’s wicked problems but also the more routine policy issues. There are already examples across jurisdictions where governments have enlisted the expertise of university researchers to help drive policy development and community engagement, but this needs to become more widespread.  </w:t>
      </w:r>
    </w:p>
    <w:p w14:paraId="37061CDA" w14:textId="77777777" w:rsidR="008B1A15" w:rsidRDefault="008B1A15" w:rsidP="008B1A15">
      <w:pPr>
        <w:rPr>
          <w:rStyle w:val="normaltextrun"/>
          <w:rFonts w:ascii="Calibri" w:hAnsi="Calibri" w:cs="Calibri"/>
          <w:color w:val="000000"/>
          <w:shd w:val="clear" w:color="auto" w:fill="FFFFFF"/>
        </w:rPr>
      </w:pPr>
      <w:bookmarkStart w:id="306" w:name="_Toc135580949"/>
      <w:r w:rsidRPr="001E7AA4">
        <w:t xml:space="preserve">Finding ways for governments to optimise how they draw on university research will be useful in itself but it will also provide a guide for industry and communities to do likewise, hopefully </w:t>
      </w:r>
      <w:r w:rsidRPr="001E7AA4">
        <w:rPr>
          <w:rStyle w:val="normaltextrun"/>
          <w:rFonts w:ascii="Calibri" w:hAnsi="Calibri" w:cs="Calibri"/>
          <w:color w:val="000000"/>
          <w:shd w:val="clear" w:color="auto" w:fill="FFFFFF"/>
        </w:rPr>
        <w:t>leading to a broader culture shift by signalling to industry that academic research is highly valuable.</w:t>
      </w:r>
    </w:p>
    <w:tbl>
      <w:tblPr>
        <w:tblStyle w:val="CaseStudy0"/>
        <w:tblW w:w="0" w:type="auto"/>
        <w:tblLook w:val="04A0" w:firstRow="1" w:lastRow="0" w:firstColumn="1" w:lastColumn="0" w:noHBand="0" w:noVBand="1"/>
      </w:tblPr>
      <w:tblGrid>
        <w:gridCol w:w="9016"/>
      </w:tblGrid>
      <w:tr w:rsidR="005F5864" w14:paraId="6722C180" w14:textId="77777777" w:rsidTr="005F5864">
        <w:tc>
          <w:tcPr>
            <w:tcW w:w="9016" w:type="dxa"/>
          </w:tcPr>
          <w:p w14:paraId="681BAFF4" w14:textId="77777777" w:rsidR="005F5864" w:rsidRPr="00D46D3D" w:rsidRDefault="005F5864" w:rsidP="005F5864">
            <w:pPr>
              <w:pStyle w:val="CaseStudy-Heading"/>
            </w:pPr>
            <w:r w:rsidRPr="00D46D3D">
              <w:t>Case study: State government collaboration with the University of Tasmania</w:t>
            </w:r>
          </w:p>
          <w:p w14:paraId="7886D192" w14:textId="6B7196DE" w:rsidR="005F5864" w:rsidRPr="005F5864" w:rsidRDefault="005F5864" w:rsidP="005F5864">
            <w:pPr>
              <w:spacing w:after="120"/>
              <w:rPr>
                <w:rStyle w:val="normaltextrun"/>
              </w:rPr>
            </w:pPr>
            <w:r w:rsidRPr="001E7AA4">
              <w:t>The Tasmanian Government has a long-standing relationship with the University of Tasmania as a significant contributor to the economic, social, and cultural development in the state. Since the 1990s there has been a formal partnership between the state government and the University under which the university carries out the majority of the state’s agriculture and aquaculture research through two specially created entities, the Tasmanian Institute for Agriculture (TIA) and the Institute of Marine and Antarctic Studies (IMAS). The agreements governing these partnerships have been reviewed and renewed several times.</w:t>
            </w:r>
            <w:r w:rsidRPr="001E7AA4">
              <w:rPr>
                <w:rStyle w:val="FootnoteReference"/>
              </w:rPr>
              <w:footnoteReference w:id="141"/>
            </w:r>
          </w:p>
        </w:tc>
      </w:tr>
    </w:tbl>
    <w:p w14:paraId="1DA99FCD" w14:textId="5D15FCC5" w:rsidR="008B1A15" w:rsidRPr="001E7AA4" w:rsidRDefault="008B1A15" w:rsidP="00F72CFE">
      <w:pPr>
        <w:pStyle w:val="Heading6"/>
      </w:pPr>
      <w:bookmarkStart w:id="307" w:name="_Toc136169197"/>
      <w:r w:rsidRPr="001E7AA4">
        <w:t>2.7.2.3 Research broker bodies (pull mechanism)</w:t>
      </w:r>
      <w:bookmarkEnd w:id="307"/>
    </w:p>
    <w:p w14:paraId="1283A547" w14:textId="5A4A0534" w:rsidR="008B1A15" w:rsidRPr="001E7AA4" w:rsidRDefault="008B1A15" w:rsidP="008B1A15">
      <w:pPr>
        <w:spacing w:after="0" w:line="240" w:lineRule="auto"/>
      </w:pPr>
      <w:r w:rsidRPr="001E7AA4">
        <w:t>Research broker bodies, such as AMIRA in the private sector</w:t>
      </w:r>
      <w:r w:rsidR="005B0681" w:rsidRPr="001E7AA4">
        <w:t>,</w:t>
      </w:r>
      <w:r w:rsidRPr="001E7AA4">
        <w:t xml:space="preserve"> and the rural research corporations and the Chief Scientists’ Offices in the public sector, have shown that they can deliver good results through identifying challenges, pulling together the right researchers, project managing, </w:t>
      </w:r>
      <w:r w:rsidR="00981C93" w:rsidRPr="001E7AA4">
        <w:t xml:space="preserve">and </w:t>
      </w:r>
      <w:r w:rsidRPr="001E7AA4">
        <w:t xml:space="preserve">managing funding </w:t>
      </w:r>
      <w:r w:rsidR="00981C93" w:rsidRPr="001E7AA4">
        <w:t xml:space="preserve">to achieve targeted </w:t>
      </w:r>
      <w:r w:rsidRPr="001E7AA4">
        <w:t>research outputs. Broker bodies</w:t>
      </w:r>
      <w:r w:rsidR="00F5140E" w:rsidRPr="001E7AA4">
        <w:t xml:space="preserve"> such as these</w:t>
      </w:r>
      <w:r w:rsidRPr="001E7AA4">
        <w:t xml:space="preserve"> </w:t>
      </w:r>
      <w:r w:rsidR="587AB189" w:rsidRPr="001E7AA4">
        <w:t>c</w:t>
      </w:r>
      <w:r w:rsidRPr="001E7AA4">
        <w:t xml:space="preserve">ould be used </w:t>
      </w:r>
      <w:r w:rsidR="00F5140E" w:rsidRPr="001E7AA4">
        <w:t>more widely</w:t>
      </w:r>
      <w:r w:rsidRPr="001E7AA4">
        <w:t xml:space="preserve"> to bolster use of university research further. </w:t>
      </w:r>
    </w:p>
    <w:p w14:paraId="5F6859F3" w14:textId="1D8A112C" w:rsidR="008B1A15" w:rsidRPr="001E7AA4" w:rsidRDefault="008B1A15" w:rsidP="00F72CFE">
      <w:pPr>
        <w:pStyle w:val="Heading6"/>
      </w:pPr>
      <w:bookmarkStart w:id="308" w:name="_Toc136169198"/>
      <w:r w:rsidRPr="001E7AA4">
        <w:t>2.7.2.4 Increase academic consulting (pull mechanism)</w:t>
      </w:r>
      <w:bookmarkEnd w:id="308"/>
    </w:p>
    <w:p w14:paraId="414FB238" w14:textId="7CFD09D5" w:rsidR="005F5864" w:rsidRDefault="008B1A15" w:rsidP="00AD66AC">
      <w:pPr>
        <w:spacing w:line="240" w:lineRule="auto"/>
        <w:rPr>
          <w:rStyle w:val="eop"/>
          <w:rFonts w:ascii="Calibri" w:hAnsi="Calibri" w:cs="Calibri"/>
          <w:color w:val="000000" w:themeColor="text1"/>
        </w:rPr>
      </w:pPr>
      <w:r w:rsidRPr="001E7AA4">
        <w:rPr>
          <w:rStyle w:val="normaltextrun"/>
          <w:rFonts w:ascii="Calibri" w:hAnsi="Calibri" w:cs="Calibri"/>
          <w:color w:val="000000"/>
          <w:shd w:val="clear" w:color="auto" w:fill="FFFFFF"/>
        </w:rPr>
        <w:t xml:space="preserve">Academic consulting fills a gap in the consulting market and is most successful when deep research knowledge and expertise is needed to solve a problem. </w:t>
      </w:r>
      <w:r w:rsidRPr="001E7AA4">
        <w:t xml:space="preserve">The Productivity Commission has recommended processes to facilitate </w:t>
      </w:r>
      <w:r w:rsidRPr="001E7AA4">
        <w:rPr>
          <w:rStyle w:val="normaltextrun"/>
          <w:rFonts w:ascii="Calibri" w:hAnsi="Calibri" w:cs="Calibri"/>
          <w:color w:val="000000"/>
          <w:shd w:val="clear" w:color="auto" w:fill="FFFFFF"/>
        </w:rPr>
        <w:t>academic consulting arrangements to make use of university research expertise and specialist knowledge</w:t>
      </w:r>
      <w:r w:rsidR="320CADE8" w:rsidRPr="001E7AA4">
        <w:rPr>
          <w:rStyle w:val="normaltextrun"/>
          <w:rFonts w:ascii="Calibri" w:hAnsi="Calibri" w:cs="Calibri"/>
          <w:color w:val="000000"/>
          <w:shd w:val="clear" w:color="auto" w:fill="FFFFFF"/>
        </w:rPr>
        <w:t xml:space="preserve">, including that </w:t>
      </w:r>
      <w:r w:rsidRPr="001E7AA4">
        <w:rPr>
          <w:rStyle w:val="normaltextrun"/>
          <w:rFonts w:ascii="Calibri" w:hAnsi="Calibri" w:cs="Calibri"/>
          <w:color w:val="000000" w:themeColor="text1"/>
        </w:rPr>
        <w:t>universities should reduce barriers to academic consulting and enable further avenues for university researchers to consult with business and government.</w:t>
      </w:r>
      <w:r w:rsidRPr="001E7AA4">
        <w:rPr>
          <w:rStyle w:val="FootnoteReference"/>
          <w:rFonts w:ascii="Calibri" w:hAnsi="Calibri" w:cs="Calibri"/>
          <w:color w:val="000000"/>
          <w:shd w:val="clear" w:color="auto" w:fill="FFFFFF"/>
        </w:rPr>
        <w:footnoteReference w:id="142"/>
      </w:r>
      <w:r w:rsidRPr="001E7AA4">
        <w:rPr>
          <w:rStyle w:val="normaltextrun"/>
          <w:rFonts w:ascii="Calibri" w:hAnsi="Calibri" w:cs="Calibri"/>
          <w:color w:val="000000" w:themeColor="text1"/>
        </w:rPr>
        <w:t xml:space="preserve"> As outlined above, there is also a role for government to play in becoming an exemplary user of academic research, including consulting. Increasing academic consulting would </w:t>
      </w:r>
      <w:r w:rsidRPr="001E7AA4">
        <w:t>further break down barriers between academia and industry</w:t>
      </w:r>
      <w:r w:rsidRPr="001E7AA4">
        <w:rPr>
          <w:rStyle w:val="normaltextrun"/>
          <w:rFonts w:ascii="Calibri" w:hAnsi="Calibri" w:cs="Calibri"/>
          <w:color w:val="000000" w:themeColor="text1"/>
        </w:rPr>
        <w:t>.</w:t>
      </w:r>
      <w:r w:rsidRPr="001E7AA4">
        <w:rPr>
          <w:rStyle w:val="eop"/>
          <w:rFonts w:ascii="Calibri" w:hAnsi="Calibri" w:cs="Calibri"/>
          <w:color w:val="000000" w:themeColor="text1"/>
        </w:rPr>
        <w:t xml:space="preserve"> </w:t>
      </w:r>
    </w:p>
    <w:p w14:paraId="126F2EC9" w14:textId="77777777" w:rsidR="005F5864" w:rsidRDefault="005F5864">
      <w:pPr>
        <w:spacing w:after="160"/>
        <w:rPr>
          <w:rStyle w:val="eop"/>
          <w:rFonts w:ascii="Calibri" w:hAnsi="Calibri" w:cs="Calibri"/>
          <w:color w:val="000000" w:themeColor="text1"/>
        </w:rPr>
      </w:pPr>
      <w:r>
        <w:rPr>
          <w:rStyle w:val="eop"/>
          <w:rFonts w:ascii="Calibri" w:hAnsi="Calibri" w:cs="Calibri"/>
          <w:color w:val="000000" w:themeColor="text1"/>
        </w:rPr>
        <w:br w:type="page"/>
      </w:r>
    </w:p>
    <w:p w14:paraId="096372FF" w14:textId="64B685EA" w:rsidR="007A26D0" w:rsidRPr="001E7AA4" w:rsidRDefault="007A26D0" w:rsidP="002D7F91">
      <w:pPr>
        <w:spacing w:after="0"/>
      </w:pPr>
      <w:r w:rsidRPr="001E7AA4">
        <w:lastRenderedPageBreak/>
        <w:t>University think tanks bring academic expertise to public policy and enhance public sector/university collaboration. Several universities are working with governments and industry to create think</w:t>
      </w:r>
      <w:r w:rsidR="00D46C4E" w:rsidRPr="001E7AA4">
        <w:t xml:space="preserve"> </w:t>
      </w:r>
      <w:r w:rsidRPr="001E7AA4">
        <w:t>tanks which provide advice on major issues. Good examples include:</w:t>
      </w:r>
    </w:p>
    <w:p w14:paraId="473F602D" w14:textId="493C3CAC" w:rsidR="007A26D0" w:rsidRPr="001E7AA4" w:rsidRDefault="00DE635E" w:rsidP="002D7F91">
      <w:pPr>
        <w:pStyle w:val="ListBullet"/>
      </w:pPr>
      <w:r w:rsidRPr="001E7AA4">
        <w:t>t</w:t>
      </w:r>
      <w:r w:rsidR="007A26D0" w:rsidRPr="001E7AA4">
        <w:t xml:space="preserve">he Grattan Institute, which provides advice across a range of social and economic policy issues </w:t>
      </w:r>
    </w:p>
    <w:p w14:paraId="65597962" w14:textId="26F06415" w:rsidR="007A26D0" w:rsidRPr="001E7AA4" w:rsidRDefault="00DE635E" w:rsidP="002D7F91">
      <w:pPr>
        <w:pStyle w:val="ListBullet"/>
      </w:pPr>
      <w:r w:rsidRPr="001E7AA4">
        <w:t>t</w:t>
      </w:r>
      <w:r w:rsidR="007A26D0" w:rsidRPr="001E7AA4">
        <w:t>he James Martin Institute for Public Policy, which provides public policy advice to government</w:t>
      </w:r>
    </w:p>
    <w:p w14:paraId="3492990B" w14:textId="6F3C4C0C" w:rsidR="007A26D0" w:rsidRPr="001E7AA4" w:rsidRDefault="00DE635E" w:rsidP="002D7F91">
      <w:pPr>
        <w:pStyle w:val="ListBullet"/>
      </w:pPr>
      <w:r w:rsidRPr="001E7AA4">
        <w:t>t</w:t>
      </w:r>
      <w:r w:rsidR="007A26D0" w:rsidRPr="001E7AA4">
        <w:t>he Melbourne Centre for the Study of Higher Education at the University of Melbourne (formerly the LH Martin Institute), dedicated to policy and practice in higher education</w:t>
      </w:r>
    </w:p>
    <w:p w14:paraId="7705F8CF" w14:textId="773E6111" w:rsidR="007A26D0" w:rsidRPr="001E7AA4" w:rsidRDefault="00DE635E" w:rsidP="002D7F91">
      <w:pPr>
        <w:pStyle w:val="ListBullet"/>
      </w:pPr>
      <w:r w:rsidRPr="001E7AA4">
        <w:t>t</w:t>
      </w:r>
      <w:r w:rsidR="007A26D0" w:rsidRPr="001E7AA4">
        <w:t>he Mitchell Institute for Education and Health Policy at Victoria University, a health and education policy think tank.</w:t>
      </w:r>
    </w:p>
    <w:p w14:paraId="34757A81" w14:textId="07C40B58" w:rsidR="007A26D0" w:rsidRPr="001E7AA4" w:rsidRDefault="007A26D0" w:rsidP="008B1A15">
      <w:pPr>
        <w:spacing w:after="0" w:line="240" w:lineRule="auto"/>
      </w:pPr>
      <w:r w:rsidRPr="001E7AA4">
        <w:t xml:space="preserve">Also, the NSW Innovation and Productivity Council makes a point of sourcing expertise from NSW universities in providing its advice to government. </w:t>
      </w:r>
    </w:p>
    <w:p w14:paraId="2974DA3F" w14:textId="34B4BE0C" w:rsidR="008B1A15" w:rsidRPr="001E7AA4" w:rsidRDefault="008B1A15" w:rsidP="00F72CFE">
      <w:pPr>
        <w:pStyle w:val="Heading6"/>
      </w:pPr>
      <w:bookmarkStart w:id="309" w:name="_Toc136169199"/>
      <w:bookmarkEnd w:id="306"/>
      <w:r w:rsidRPr="001E7AA4">
        <w:t>2.7.</w:t>
      </w:r>
      <w:r w:rsidR="009638B3" w:rsidRPr="001E7AA4">
        <w:t xml:space="preserve">2.5 </w:t>
      </w:r>
      <w:r w:rsidRPr="001E7AA4">
        <w:t>Keep encouraging universities to move towards research translation and commercialisation (push mechanism)</w:t>
      </w:r>
      <w:bookmarkEnd w:id="309"/>
    </w:p>
    <w:p w14:paraId="02E57CCE" w14:textId="3F8FB172" w:rsidR="008B1A15" w:rsidRPr="001E7AA4" w:rsidRDefault="008B1A15" w:rsidP="008B1A15">
      <w:pPr>
        <w:spacing w:line="240" w:lineRule="auto"/>
      </w:pPr>
      <w:r w:rsidRPr="001E7AA4">
        <w:t xml:space="preserve">University researchers are good at refining and solving </w:t>
      </w:r>
      <w:r w:rsidR="00D46C4E" w:rsidRPr="001E7AA4">
        <w:t xml:space="preserve">hard </w:t>
      </w:r>
      <w:r w:rsidRPr="001E7AA4">
        <w:t xml:space="preserve">problems. To drive research impact and strong economic outcomes, </w:t>
      </w:r>
      <w:r w:rsidR="158E5210" w:rsidRPr="001E7AA4">
        <w:t xml:space="preserve">the Review is considering ways in which </w:t>
      </w:r>
      <w:r w:rsidR="48B9171C" w:rsidRPr="001E7AA4">
        <w:t>university</w:t>
      </w:r>
      <w:r w:rsidRPr="001E7AA4">
        <w:t xml:space="preserve"> and industry collaboration </w:t>
      </w:r>
      <w:r w:rsidR="45356C82" w:rsidRPr="001E7AA4">
        <w:t>could</w:t>
      </w:r>
      <w:r w:rsidRPr="001E7AA4">
        <w:t xml:space="preserve"> be incentivised and promoted further</w:t>
      </w:r>
      <w:r w:rsidR="005734D6" w:rsidRPr="001E7AA4">
        <w:t xml:space="preserve"> to tackle major industry problems</w:t>
      </w:r>
      <w:r w:rsidRPr="001E7AA4">
        <w:t xml:space="preserve">. </w:t>
      </w:r>
    </w:p>
    <w:p w14:paraId="38F19D1D" w14:textId="24B4DCB9" w:rsidR="008B1A15" w:rsidRPr="001E7AA4" w:rsidRDefault="008B1A15" w:rsidP="008B1A15">
      <w:pPr>
        <w:spacing w:line="240" w:lineRule="auto"/>
      </w:pPr>
      <w:r w:rsidRPr="001E7AA4">
        <w:t>Universities have signalled their strong interest in doing this, with many of them establishing Deputy or Pro Vice-Chancellor (Industry), or similar, roles in recent years. And they are enthusiastic participants in university/end-user collaborative schemes. These schemes</w:t>
      </w:r>
      <w:r w:rsidR="006F0F6B" w:rsidRPr="001E7AA4">
        <w:t>, including</w:t>
      </w:r>
      <w:r w:rsidRPr="001E7AA4">
        <w:t xml:space="preserve"> the ARC Linkage Grants, </w:t>
      </w:r>
      <w:r w:rsidR="00565BEE" w:rsidRPr="001E7AA4">
        <w:t xml:space="preserve">the </w:t>
      </w:r>
      <w:r w:rsidRPr="001E7AA4">
        <w:t>Cooperative Research Centres, Australia</w:t>
      </w:r>
      <w:r w:rsidR="00A356D9">
        <w:t>’</w:t>
      </w:r>
      <w:r w:rsidRPr="001E7AA4">
        <w:t xml:space="preserve">s Economic Accelerator, and the National Reconstruction Fund, have been successful in bolstering research translation and commercialisation. </w:t>
      </w:r>
    </w:p>
    <w:p w14:paraId="282536CF" w14:textId="6CD87C47" w:rsidR="008B1A15" w:rsidRPr="001E7AA4" w:rsidRDefault="008B1A15" w:rsidP="008B1A15">
      <w:pPr>
        <w:spacing w:line="240" w:lineRule="auto"/>
      </w:pPr>
      <w:r w:rsidRPr="001E7AA4">
        <w:t>Industry is indicating that it too is more interested in using university research. The amount of industry-funded research in the higher education sector has grown over the last five years, increasing from $481 million to $666 million</w:t>
      </w:r>
      <w:r w:rsidR="006F0F6B" w:rsidRPr="001E7AA4">
        <w:t>.</w:t>
      </w:r>
      <w:r w:rsidRPr="001E7AA4">
        <w:rPr>
          <w:rStyle w:val="FootnoteReference"/>
        </w:rPr>
        <w:footnoteReference w:id="143"/>
      </w:r>
      <w:r w:rsidRPr="001E7AA4">
        <w:t xml:space="preserve"> This growth, which has been spurred in part by university-industry funding schemes, </w:t>
      </w:r>
      <w:r w:rsidR="642C5C75" w:rsidRPr="001E7AA4">
        <w:t>could</w:t>
      </w:r>
      <w:r w:rsidRPr="001E7AA4">
        <w:t xml:space="preserve"> continue to be incentivised further to boost collaboration and research translation.</w:t>
      </w:r>
    </w:p>
    <w:p w14:paraId="36B46271" w14:textId="5E32DA56" w:rsidR="008B1A15" w:rsidRPr="001E7AA4" w:rsidRDefault="008B1A15" w:rsidP="00B65F5B">
      <w:pPr>
        <w:pStyle w:val="Heading6"/>
      </w:pPr>
      <w:bookmarkStart w:id="310" w:name="_Toc136169200"/>
      <w:r w:rsidRPr="001E7AA4">
        <w:t>2.7.</w:t>
      </w:r>
      <w:r w:rsidR="009638B3" w:rsidRPr="001E7AA4">
        <w:t>2.6</w:t>
      </w:r>
      <w:r w:rsidRPr="001E7AA4">
        <w:t xml:space="preserve"> Upskill </w:t>
      </w:r>
      <w:r w:rsidR="00602FD1" w:rsidRPr="001E7AA4">
        <w:t xml:space="preserve">the </w:t>
      </w:r>
      <w:r w:rsidRPr="001E7AA4">
        <w:t>research workforce – training in translation/commercialisation/entrepreneurship (push mechanism)</w:t>
      </w:r>
      <w:bookmarkEnd w:id="310"/>
    </w:p>
    <w:p w14:paraId="41314837" w14:textId="544D2634" w:rsidR="008B1A15" w:rsidRPr="001E7AA4" w:rsidRDefault="008B1A15" w:rsidP="008B1A15">
      <w:pPr>
        <w:spacing w:after="160" w:line="240" w:lineRule="auto"/>
      </w:pPr>
      <w:r w:rsidRPr="001E7AA4">
        <w:t xml:space="preserve">As outlined above, alternative pathways for researchers </w:t>
      </w:r>
      <w:r w:rsidR="7A1A2A4F" w:rsidRPr="001E7AA4">
        <w:t>could</w:t>
      </w:r>
      <w:r w:rsidRPr="001E7AA4">
        <w:t xml:space="preserve"> be made clearer to ensure that the broader research workforce and economy has the skillset and number of PhDs required for Australia to be competitive on the global stage. Increasing the share of researchers </w:t>
      </w:r>
      <w:r w:rsidR="00565BEE" w:rsidRPr="001E7AA4">
        <w:t xml:space="preserve">including </w:t>
      </w:r>
      <w:r w:rsidRPr="001E7AA4">
        <w:t xml:space="preserve">PhD graduates working in parts of the economy other than </w:t>
      </w:r>
      <w:r w:rsidR="00CC6029" w:rsidRPr="001E7AA4">
        <w:t xml:space="preserve">higher education </w:t>
      </w:r>
      <w:r w:rsidRPr="001E7AA4">
        <w:t xml:space="preserve">and government research jobs, particularly in leadership roles, </w:t>
      </w:r>
      <w:r w:rsidR="27135356" w:rsidRPr="001E7AA4">
        <w:t>may</w:t>
      </w:r>
      <w:r w:rsidRPr="001E7AA4">
        <w:t xml:space="preserve"> also be an important contributor to the development of an ecosystem that promotes research translation and adoption.</w:t>
      </w:r>
    </w:p>
    <w:p w14:paraId="1AAC448B" w14:textId="2D49EC90" w:rsidR="005F5864" w:rsidRDefault="008B1A15" w:rsidP="008B1A15">
      <w:pPr>
        <w:spacing w:after="160" w:line="240" w:lineRule="auto"/>
      </w:pPr>
      <w:r w:rsidRPr="001E7AA4">
        <w:t xml:space="preserve">Internationally, there are many good examples of structured PhD programs. These programs are designed to equip PhD candidates for careers outside </w:t>
      </w:r>
      <w:r w:rsidR="002349A2" w:rsidRPr="001E7AA4">
        <w:t xml:space="preserve">higher education </w:t>
      </w:r>
      <w:r w:rsidRPr="001E7AA4">
        <w:t xml:space="preserve">and could be adopted here. </w:t>
      </w:r>
    </w:p>
    <w:p w14:paraId="08051600" w14:textId="77777777" w:rsidR="005F5864" w:rsidRDefault="005F5864">
      <w:pPr>
        <w:spacing w:after="160"/>
      </w:pPr>
      <w:r>
        <w:br w:type="page"/>
      </w:r>
    </w:p>
    <w:tbl>
      <w:tblPr>
        <w:tblStyle w:val="CaseStudy0"/>
        <w:tblW w:w="0" w:type="auto"/>
        <w:tblLook w:val="04A0" w:firstRow="1" w:lastRow="0" w:firstColumn="1" w:lastColumn="0" w:noHBand="0" w:noVBand="1"/>
      </w:tblPr>
      <w:tblGrid>
        <w:gridCol w:w="9016"/>
      </w:tblGrid>
      <w:tr w:rsidR="005F5864" w14:paraId="653FF438" w14:textId="77777777" w:rsidTr="005F5864">
        <w:tc>
          <w:tcPr>
            <w:tcW w:w="9016" w:type="dxa"/>
          </w:tcPr>
          <w:p w14:paraId="179EBC7C" w14:textId="77777777" w:rsidR="005F5864" w:rsidRPr="005168F7" w:rsidRDefault="005F5864" w:rsidP="005F5864">
            <w:pPr>
              <w:pStyle w:val="CaseStudy-Heading"/>
              <w:rPr>
                <w:sz w:val="32"/>
              </w:rPr>
            </w:pPr>
            <w:r w:rsidRPr="005168F7">
              <w:lastRenderedPageBreak/>
              <w:t>Case study: The US National Institutes of Health (NIH) Broadening Experience in Scientific Training (BEST) program</w:t>
            </w:r>
          </w:p>
          <w:p w14:paraId="3FB1AD06" w14:textId="77777777" w:rsidR="005F5864" w:rsidRPr="001E7AA4" w:rsidRDefault="005F5864" w:rsidP="005F5864">
            <w:r w:rsidRPr="001E7AA4">
              <w:t>In 2013 and 2014 the NIH in the US developed a program to support training for doctoral candidates and post-doctoral researchers to equip them to address the greatest challenges and opportunities in biomedical research, recognising that traditional research-intensive positions are not the only means by which PhD graduates can meaningfully contribute to the biomedical research enterprise. The NIH provided support for training opportunities for early career scientists to prepare them for a variety of career options in the dynamic biomedical workforce landscape.</w:t>
            </w:r>
          </w:p>
          <w:p w14:paraId="631CDC65" w14:textId="399A4486" w:rsidR="005F5864" w:rsidRDefault="005F5864" w:rsidP="005F5864">
            <w:pPr>
              <w:spacing w:after="120"/>
            </w:pPr>
            <w:r w:rsidRPr="001E7AA4">
              <w:t>The BEST awards supported a variety of program</w:t>
            </w:r>
            <w:r>
              <w:t>s</w:t>
            </w:r>
            <w:r w:rsidRPr="001E7AA4">
              <w:t xml:space="preserve"> in US universities to offer broadened training programs that would provide skillsets that reflected the many careers outside academia or other public research organisations, such as entrepreneurial, leadership and other business and management skills. The programs supported “culture changes at academic institutions” to enhance how early career researchers approached their career options.</w:t>
            </w:r>
            <w:r w:rsidRPr="001E7AA4">
              <w:rPr>
                <w:rStyle w:val="FootnoteReference"/>
              </w:rPr>
              <w:footnoteReference w:id="144"/>
            </w:r>
          </w:p>
        </w:tc>
      </w:tr>
    </w:tbl>
    <w:p w14:paraId="1197B987" w14:textId="3A7B3683" w:rsidR="008B1A15" w:rsidRPr="001E7AA4" w:rsidRDefault="008B1A15" w:rsidP="00B65F5B">
      <w:pPr>
        <w:pStyle w:val="Heading6"/>
      </w:pPr>
      <w:bookmarkStart w:id="311" w:name="_Toc136169201"/>
      <w:r w:rsidRPr="001E7AA4">
        <w:t>2.7.</w:t>
      </w:r>
      <w:r w:rsidR="009638B3" w:rsidRPr="001E7AA4">
        <w:t>2.7</w:t>
      </w:r>
      <w:r w:rsidRPr="001E7AA4">
        <w:t xml:space="preserve"> </w:t>
      </w:r>
      <w:r w:rsidR="00687075">
        <w:t>P</w:t>
      </w:r>
      <w:r w:rsidRPr="001E7AA4">
        <w:t>roportion of PhD students from industry (pull mechanism)</w:t>
      </w:r>
      <w:bookmarkEnd w:id="311"/>
    </w:p>
    <w:p w14:paraId="568696B0" w14:textId="78C8E193" w:rsidR="00565BEE" w:rsidRPr="001E7AA4" w:rsidRDefault="00565BEE" w:rsidP="00565BEE">
      <w:pPr>
        <w:spacing w:line="240" w:lineRule="auto"/>
      </w:pPr>
      <w:r w:rsidRPr="001E7AA4">
        <w:t>Australia has recently commenced a formal scheme, referred to as the industry PhD, where PhD students work on problems nominated by industry. Other countries have taken this further and have firms assign employees to PhD programs where the PhD candidate typically works under joint university/industry supervision on problems nominated by the firm, often submitting a thesis that is a collection of published scientific papers on these problems. The advantage of this approach is that the candidate is working on issues directly of interest to their</w:t>
      </w:r>
      <w:r w:rsidR="00A356D9" w:rsidRPr="001E7AA4">
        <w:t xml:space="preserve"> </w:t>
      </w:r>
      <w:r w:rsidRPr="001E7AA4">
        <w:t>employer and is receiving their standard salary rather than subsisting on a PhD stipend. Australia could move to educating a significant proportion of its PhD students in this way.</w:t>
      </w:r>
    </w:p>
    <w:p w14:paraId="359EC5CA" w14:textId="0DF8A8F3" w:rsidR="008B1A15" w:rsidRPr="001E7AA4" w:rsidRDefault="00045EB9" w:rsidP="00B65F5B">
      <w:pPr>
        <w:pStyle w:val="Heading5"/>
      </w:pPr>
      <w:bookmarkStart w:id="312" w:name="_Toc139028911"/>
      <w:r w:rsidRPr="001E7AA4">
        <w:t>Considerations for change</w:t>
      </w:r>
      <w:bookmarkEnd w:id="312"/>
    </w:p>
    <w:p w14:paraId="2716A4C2" w14:textId="0CA39A12" w:rsidR="008B1A15" w:rsidRPr="001E7AA4" w:rsidRDefault="008B1A15" w:rsidP="00D94626">
      <w:pPr>
        <w:spacing w:after="160" w:line="240" w:lineRule="auto"/>
      </w:pPr>
      <w:r w:rsidRPr="001E7AA4">
        <w:t xml:space="preserve">To strengthen Australia’s capacity to produce high-quality and high-impact research, and encourage greater use of university research and research expertise by government, industry and the community, </w:t>
      </w:r>
      <w:r w:rsidR="00323686" w:rsidRPr="001E7AA4">
        <w:t>the Review will give</w:t>
      </w:r>
      <w:r w:rsidR="008646FB" w:rsidRPr="001E7AA4">
        <w:t xml:space="preserve"> further</w:t>
      </w:r>
      <w:r w:rsidR="00323686" w:rsidRPr="001E7AA4">
        <w:t xml:space="preserve"> consideration to</w:t>
      </w:r>
      <w:r w:rsidR="008646FB" w:rsidRPr="001E7AA4">
        <w:t xml:space="preserve"> the following principles</w:t>
      </w:r>
      <w:r w:rsidRPr="001E7AA4">
        <w:t>:</w:t>
      </w:r>
    </w:p>
    <w:p w14:paraId="2ABB802B" w14:textId="177B0940" w:rsidR="008B1A15" w:rsidRPr="001E7AA4" w:rsidRDefault="00557A3A" w:rsidP="00A025B1">
      <w:pPr>
        <w:pStyle w:val="ListParagraph"/>
        <w:numPr>
          <w:ilvl w:val="0"/>
          <w:numId w:val="14"/>
        </w:numPr>
        <w:spacing w:after="160" w:line="240" w:lineRule="auto"/>
      </w:pPr>
      <w:r w:rsidRPr="001E7AA4">
        <w:t xml:space="preserve">how </w:t>
      </w:r>
      <w:r w:rsidR="008B1A15" w:rsidRPr="001E7AA4">
        <w:t xml:space="preserve">the research strength of our universities </w:t>
      </w:r>
      <w:r w:rsidRPr="001E7AA4">
        <w:t xml:space="preserve">could </w:t>
      </w:r>
      <w:r w:rsidR="008B1A15" w:rsidRPr="001E7AA4">
        <w:t>be protected and increased (protecting the basics), given how much of Australia’s R&amp;D reputation depends on the university sector’s strong performance in R&amp;D and the need to ensure Australia has research capability in areas of sovereign risk</w:t>
      </w:r>
    </w:p>
    <w:p w14:paraId="0D9DC938" w14:textId="5435846E" w:rsidR="006F0F6B" w:rsidRDefault="008B1A15" w:rsidP="00A025B1">
      <w:pPr>
        <w:pStyle w:val="ListParagraph"/>
        <w:numPr>
          <w:ilvl w:val="0"/>
          <w:numId w:val="14"/>
        </w:numPr>
        <w:spacing w:after="160" w:line="240" w:lineRule="auto"/>
      </w:pPr>
      <w:r w:rsidRPr="001E7AA4">
        <w:t xml:space="preserve">mechanisms for </w:t>
      </w:r>
      <w:r w:rsidR="0E70C498" w:rsidRPr="001E7AA4">
        <w:t>sharing</w:t>
      </w:r>
      <w:r w:rsidRPr="001E7AA4">
        <w:t xml:space="preserve"> and translating university research should be improved significantly, starting with establishing a baseline and then continuing how to measure how useful university research actually is (sharing </w:t>
      </w:r>
      <w:r w:rsidR="006F0F6B" w:rsidRPr="001E7AA4">
        <w:t>and</w:t>
      </w:r>
      <w:r w:rsidRPr="001E7AA4">
        <w:t xml:space="preserve"> translating university research)</w:t>
      </w:r>
      <w:r w:rsidR="004C4D90" w:rsidRPr="001E7AA4">
        <w:t>.</w:t>
      </w:r>
    </w:p>
    <w:p w14:paraId="4DCAC660" w14:textId="77777777" w:rsidR="00F33E6F" w:rsidRPr="001E7AA4" w:rsidRDefault="00F33E6F" w:rsidP="00F33E6F">
      <w:pPr>
        <w:spacing w:after="0"/>
      </w:pPr>
      <w:r w:rsidRPr="001E7AA4">
        <w:rPr>
          <w:rFonts w:ascii="Calibri" w:eastAsia="Calibri" w:hAnsi="Calibri" w:cs="Calibri"/>
        </w:rPr>
        <w:t>To protect research basics, the Review is giving further consideration to the following policy areas:</w:t>
      </w:r>
    </w:p>
    <w:p w14:paraId="7729355A" w14:textId="77777777" w:rsidR="00F33E6F" w:rsidRPr="001E7AA4" w:rsidRDefault="00F33E6F" w:rsidP="00A025B1">
      <w:pPr>
        <w:pStyle w:val="ListParagraph"/>
        <w:numPr>
          <w:ilvl w:val="0"/>
          <w:numId w:val="57"/>
        </w:numPr>
        <w:spacing w:after="0" w:line="240" w:lineRule="auto"/>
      </w:pPr>
      <w:r w:rsidRPr="001E7AA4">
        <w:t>developing a funding mechanism that explicitly recognises the importance of research, innovation and scholarship</w:t>
      </w:r>
    </w:p>
    <w:p w14:paraId="02F0ADCB" w14:textId="77777777" w:rsidR="00F33E6F" w:rsidRPr="001E7AA4" w:rsidRDefault="00F33E6F" w:rsidP="00A025B1">
      <w:pPr>
        <w:pStyle w:val="ListParagraph"/>
        <w:numPr>
          <w:ilvl w:val="0"/>
          <w:numId w:val="57"/>
        </w:numPr>
        <w:spacing w:after="0" w:line="240" w:lineRule="auto"/>
      </w:pPr>
      <w:r w:rsidRPr="001E7AA4">
        <w:t xml:space="preserve">how best to ensure sufficient funding for the Australian university research sector to meet national research priorities </w:t>
      </w:r>
    </w:p>
    <w:p w14:paraId="6647EE08" w14:textId="77777777" w:rsidR="00F33E6F" w:rsidRPr="001E7AA4" w:rsidRDefault="00F33E6F" w:rsidP="00A025B1">
      <w:pPr>
        <w:pStyle w:val="ListParagraph"/>
        <w:numPr>
          <w:ilvl w:val="0"/>
          <w:numId w:val="57"/>
        </w:numPr>
        <w:spacing w:after="0" w:line="240" w:lineRule="auto"/>
      </w:pPr>
      <w:r w:rsidRPr="001E7AA4">
        <w:t>moving over time to ensure National Competitive Grants cover the full cost of undertaking research</w:t>
      </w:r>
    </w:p>
    <w:p w14:paraId="708385F8" w14:textId="77777777" w:rsidR="00F33E6F" w:rsidRPr="001E7AA4" w:rsidRDefault="00F33E6F" w:rsidP="00A025B1">
      <w:pPr>
        <w:pStyle w:val="ListParagraph"/>
        <w:numPr>
          <w:ilvl w:val="0"/>
          <w:numId w:val="57"/>
        </w:numPr>
        <w:spacing w:after="0" w:line="240" w:lineRule="auto"/>
      </w:pPr>
      <w:r w:rsidRPr="001E7AA4">
        <w:lastRenderedPageBreak/>
        <w:t>developing a national, holistic policy for research training</w:t>
      </w:r>
    </w:p>
    <w:p w14:paraId="00B75C81" w14:textId="77777777" w:rsidR="00F33E6F" w:rsidRPr="001E7AA4" w:rsidRDefault="00F33E6F" w:rsidP="00A025B1">
      <w:pPr>
        <w:pStyle w:val="ListParagraph"/>
        <w:numPr>
          <w:ilvl w:val="0"/>
          <w:numId w:val="57"/>
        </w:numPr>
        <w:spacing w:after="0" w:line="240" w:lineRule="auto"/>
      </w:pPr>
      <w:r w:rsidRPr="001E7AA4">
        <w:t>improving the measurement of the quality and impact of Australian research, including by deploying advances in data science to develop a ‘light touch’ automated metrics-based</w:t>
      </w:r>
      <w:r w:rsidRPr="001E7AA4" w:rsidDel="002E6B85">
        <w:t xml:space="preserve"> </w:t>
      </w:r>
      <w:r w:rsidRPr="001E7AA4">
        <w:t>research quality assessment system</w:t>
      </w:r>
    </w:p>
    <w:p w14:paraId="15647970" w14:textId="77777777" w:rsidR="00F33E6F" w:rsidRPr="001E7AA4" w:rsidRDefault="00F33E6F" w:rsidP="00A025B1">
      <w:pPr>
        <w:pStyle w:val="ListParagraph"/>
        <w:numPr>
          <w:ilvl w:val="0"/>
          <w:numId w:val="57"/>
        </w:numPr>
        <w:spacing w:after="0" w:line="240" w:lineRule="auto"/>
      </w:pPr>
      <w:r w:rsidRPr="001E7AA4">
        <w:t>making the cost of university R&amp;D, innovation and scholarship activities across all universities transparent</w:t>
      </w:r>
    </w:p>
    <w:p w14:paraId="4A93767C" w14:textId="77777777" w:rsidR="00F33E6F" w:rsidRDefault="00F33E6F" w:rsidP="00A025B1">
      <w:pPr>
        <w:pStyle w:val="ListParagraph"/>
        <w:numPr>
          <w:ilvl w:val="0"/>
          <w:numId w:val="57"/>
        </w:numPr>
        <w:spacing w:after="0" w:line="240" w:lineRule="auto"/>
      </w:pPr>
      <w:r w:rsidRPr="001E7AA4">
        <w:t>ensuring ongoing investment in critical research infrastructure and its maintenance.</w:t>
      </w:r>
    </w:p>
    <w:p w14:paraId="2CCCDC5E" w14:textId="77777777" w:rsidR="00F33E6F" w:rsidRDefault="00F33E6F" w:rsidP="00F33E6F">
      <w:pPr>
        <w:spacing w:after="0"/>
      </w:pPr>
    </w:p>
    <w:p w14:paraId="3A593507" w14:textId="77777777" w:rsidR="00F33E6F" w:rsidRPr="001E7AA4" w:rsidRDefault="00F33E6F" w:rsidP="00F33E6F">
      <w:pPr>
        <w:spacing w:after="0"/>
      </w:pPr>
      <w:r w:rsidRPr="001E7AA4">
        <w:rPr>
          <w:rFonts w:ascii="Calibri" w:eastAsia="Calibri" w:hAnsi="Calibri" w:cs="Calibri"/>
        </w:rPr>
        <w:t>To share and translate university research more effectively, the Review is giving further consideration to the following policy areas:</w:t>
      </w:r>
    </w:p>
    <w:p w14:paraId="0B541122" w14:textId="77777777" w:rsidR="00F33E6F" w:rsidRPr="001E7AA4" w:rsidRDefault="00F33E6F" w:rsidP="00A025B1">
      <w:pPr>
        <w:pStyle w:val="ListParagraph"/>
        <w:numPr>
          <w:ilvl w:val="0"/>
          <w:numId w:val="58"/>
        </w:numPr>
        <w:spacing w:after="0" w:line="240" w:lineRule="auto"/>
      </w:pPr>
      <w:r w:rsidRPr="001E7AA4">
        <w:t>developing metrics to understand industry/university and government/university research collaboration and translation</w:t>
      </w:r>
    </w:p>
    <w:p w14:paraId="3321F2AF" w14:textId="77777777" w:rsidR="00F33E6F" w:rsidRPr="001E7AA4" w:rsidRDefault="00F33E6F" w:rsidP="00A025B1">
      <w:pPr>
        <w:pStyle w:val="ListParagraph"/>
        <w:numPr>
          <w:ilvl w:val="0"/>
          <w:numId w:val="58"/>
        </w:numPr>
        <w:spacing w:after="0" w:line="240" w:lineRule="auto"/>
      </w:pPr>
      <w:r w:rsidRPr="001E7AA4">
        <w:t xml:space="preserve">encouraging government to become an exemplary user of university research, using it to address nationally significant complex problems and enhance sovereign capabilities and becoming an example to industry on how to use university research capability </w:t>
      </w:r>
    </w:p>
    <w:p w14:paraId="3867F94B" w14:textId="77777777" w:rsidR="00F33E6F" w:rsidRPr="001E7AA4" w:rsidRDefault="00F33E6F" w:rsidP="00A025B1">
      <w:pPr>
        <w:pStyle w:val="ListParagraph"/>
        <w:numPr>
          <w:ilvl w:val="0"/>
          <w:numId w:val="58"/>
        </w:numPr>
        <w:spacing w:after="0" w:line="240" w:lineRule="auto"/>
      </w:pPr>
      <w:r w:rsidRPr="001E7AA4">
        <w:t>exploring mechanisms that keep universities, industry and government informed of nationally significant research problems, and of nationally significant research capabilities in the higher education system</w:t>
      </w:r>
    </w:p>
    <w:p w14:paraId="07D3844C" w14:textId="77777777" w:rsidR="00F33E6F" w:rsidRPr="001E7AA4" w:rsidRDefault="00F33E6F" w:rsidP="00A025B1">
      <w:pPr>
        <w:pStyle w:val="ListParagraph"/>
        <w:numPr>
          <w:ilvl w:val="0"/>
          <w:numId w:val="58"/>
        </w:numPr>
        <w:spacing w:after="0" w:line="240" w:lineRule="auto"/>
      </w:pPr>
      <w:r w:rsidRPr="001E7AA4">
        <w:t>extending the use of research brokers and research challenge mechanisms and bodies</w:t>
      </w:r>
    </w:p>
    <w:p w14:paraId="5887071D" w14:textId="77777777" w:rsidR="00F33E6F" w:rsidRPr="001E7AA4" w:rsidRDefault="00F33E6F" w:rsidP="00A025B1">
      <w:pPr>
        <w:pStyle w:val="ListParagraph"/>
        <w:numPr>
          <w:ilvl w:val="0"/>
          <w:numId w:val="58"/>
        </w:numPr>
        <w:spacing w:after="0" w:line="240" w:lineRule="auto"/>
      </w:pPr>
      <w:r w:rsidRPr="001E7AA4">
        <w:t>encouraging academic consulting, and improving university capability to do such work</w:t>
      </w:r>
    </w:p>
    <w:p w14:paraId="4F28C385" w14:textId="231A8537" w:rsidR="005F5864" w:rsidRDefault="00F33E6F" w:rsidP="00A025B1">
      <w:pPr>
        <w:pStyle w:val="ListParagraph"/>
        <w:numPr>
          <w:ilvl w:val="0"/>
          <w:numId w:val="58"/>
        </w:numPr>
        <w:spacing w:after="0" w:line="240" w:lineRule="auto"/>
      </w:pPr>
      <w:r w:rsidRPr="001E7AA4">
        <w:t>establishing a target for the number of PhD candidates employed in industry undertaking a PhD relevant to their firm.</w:t>
      </w:r>
    </w:p>
    <w:p w14:paraId="4B754D3F" w14:textId="77777777" w:rsidR="005F5864" w:rsidRDefault="005F5864">
      <w:pPr>
        <w:spacing w:after="160"/>
      </w:pPr>
      <w:r>
        <w:br w:type="page"/>
      </w:r>
    </w:p>
    <w:p w14:paraId="503989D8" w14:textId="79AB1F28" w:rsidR="005168F7" w:rsidRPr="005F5864" w:rsidRDefault="005168F7" w:rsidP="005F5864">
      <w:pPr>
        <w:pStyle w:val="BlueShadedBox-Body"/>
        <w:rPr>
          <w:rStyle w:val="Strong"/>
        </w:rPr>
      </w:pPr>
      <w:r w:rsidRPr="005F5864">
        <w:rPr>
          <w:rStyle w:val="Strong"/>
        </w:rPr>
        <w:lastRenderedPageBreak/>
        <w:t xml:space="preserve">Potential proposals the Review may also consider for the Final Report, and that reflect the broad themes outlined above, include: </w:t>
      </w:r>
    </w:p>
    <w:p w14:paraId="4A6A0E17" w14:textId="77777777" w:rsidR="005168F7" w:rsidRDefault="005168F7" w:rsidP="00560132">
      <w:pPr>
        <w:pStyle w:val="BlueShadedBox-Body"/>
        <w:spacing w:after="120"/>
      </w:pPr>
      <w:r w:rsidRPr="00A83323">
        <w:t>Protecting the basics:</w:t>
      </w:r>
    </w:p>
    <w:p w14:paraId="61AB7466" w14:textId="77777777" w:rsidR="005168F7" w:rsidRPr="001E7AA4" w:rsidRDefault="005168F7" w:rsidP="00A025B1">
      <w:pPr>
        <w:pStyle w:val="BlueShadedBox-ListLetterstest"/>
        <w:numPr>
          <w:ilvl w:val="0"/>
          <w:numId w:val="36"/>
        </w:numPr>
        <w:ind w:left="570"/>
      </w:pPr>
      <w:r w:rsidRPr="001E7AA4">
        <w:t>significantly increasing immediate investment in the ARC</w:t>
      </w:r>
    </w:p>
    <w:p w14:paraId="099D6A6A" w14:textId="77777777" w:rsidR="005168F7" w:rsidRPr="001E7AA4" w:rsidRDefault="005168F7" w:rsidP="00A025B1">
      <w:pPr>
        <w:pStyle w:val="BlueShadedBox-ListLetterstest"/>
        <w:numPr>
          <w:ilvl w:val="0"/>
          <w:numId w:val="36"/>
        </w:numPr>
        <w:ind w:left="570"/>
      </w:pPr>
      <w:r w:rsidRPr="001E7AA4">
        <w:t>increasing funding for First Nations knowledges and for collaboration and partnerships between First Nations communities, governments, and universities</w:t>
      </w:r>
    </w:p>
    <w:p w14:paraId="7708138F" w14:textId="77777777" w:rsidR="005168F7" w:rsidRPr="001E7AA4" w:rsidRDefault="005168F7" w:rsidP="00A025B1">
      <w:pPr>
        <w:pStyle w:val="BlueShadedBox-ListLetterstest"/>
        <w:numPr>
          <w:ilvl w:val="0"/>
          <w:numId w:val="36"/>
        </w:numPr>
        <w:ind w:left="570"/>
      </w:pPr>
      <w:r w:rsidRPr="001E7AA4">
        <w:t>moving NCRIS to a future fund style of funding.</w:t>
      </w:r>
    </w:p>
    <w:p w14:paraId="0BE357DA" w14:textId="22A1DADF" w:rsidR="005168F7" w:rsidRDefault="005168F7" w:rsidP="00560132">
      <w:pPr>
        <w:pStyle w:val="BlueShadedBox-Body"/>
        <w:spacing w:after="120"/>
      </w:pPr>
      <w:r w:rsidRPr="00A83323">
        <w:t>Improving the research training system to support and attract students to research careers:</w:t>
      </w:r>
    </w:p>
    <w:p w14:paraId="2BAE0643" w14:textId="77777777" w:rsidR="005168F7" w:rsidRPr="001E7AA4" w:rsidRDefault="005168F7" w:rsidP="00A025B1">
      <w:pPr>
        <w:pStyle w:val="BlueShadedBox-ListLetterstest"/>
        <w:numPr>
          <w:ilvl w:val="0"/>
          <w:numId w:val="37"/>
        </w:numPr>
        <w:ind w:left="570"/>
      </w:pPr>
      <w:r w:rsidRPr="001E7AA4">
        <w:t>increasing PhD stipend rates</w:t>
      </w:r>
    </w:p>
    <w:p w14:paraId="4E32F76E" w14:textId="77777777" w:rsidR="005168F7" w:rsidRPr="001E7AA4" w:rsidRDefault="005168F7" w:rsidP="00A025B1">
      <w:pPr>
        <w:pStyle w:val="BlueShadedBox-ListLetterstest"/>
        <w:numPr>
          <w:ilvl w:val="0"/>
          <w:numId w:val="37"/>
        </w:numPr>
        <w:ind w:left="570"/>
      </w:pPr>
      <w:r w:rsidRPr="001E7AA4">
        <w:t>offering postgraduate and postdoctoral researchers extra skills-oriented training in parallel with PhD study or postdoctoral work</w:t>
      </w:r>
    </w:p>
    <w:p w14:paraId="144B0E8E" w14:textId="77777777" w:rsidR="005168F7" w:rsidRPr="001E7AA4" w:rsidRDefault="005168F7" w:rsidP="00A025B1">
      <w:pPr>
        <w:pStyle w:val="BlueShadedBox-ListLetterstest"/>
        <w:numPr>
          <w:ilvl w:val="0"/>
          <w:numId w:val="37"/>
        </w:numPr>
        <w:ind w:left="570"/>
      </w:pPr>
      <w:r w:rsidRPr="001E7AA4">
        <w:t>creating research training targets for equity groups</w:t>
      </w:r>
    </w:p>
    <w:p w14:paraId="1E7A1E07" w14:textId="77777777" w:rsidR="005168F7" w:rsidRPr="001E7AA4" w:rsidRDefault="005168F7" w:rsidP="00A025B1">
      <w:pPr>
        <w:pStyle w:val="BlueShadedBox-ListLetterstest"/>
        <w:numPr>
          <w:ilvl w:val="0"/>
          <w:numId w:val="37"/>
        </w:numPr>
        <w:ind w:left="570"/>
      </w:pPr>
      <w:r w:rsidRPr="001E7AA4">
        <w:t>encouraging taxation adjustments to make industry-linked and part-time research training scholarships tax free, in line with full-time scholarships</w:t>
      </w:r>
    </w:p>
    <w:p w14:paraId="4DDEAE1C" w14:textId="77777777" w:rsidR="005168F7" w:rsidRDefault="005168F7" w:rsidP="00A025B1">
      <w:pPr>
        <w:pStyle w:val="BlueShadedBox-ListLetterstest"/>
        <w:numPr>
          <w:ilvl w:val="0"/>
          <w:numId w:val="37"/>
        </w:numPr>
        <w:ind w:left="570"/>
      </w:pPr>
      <w:r w:rsidRPr="001E7AA4">
        <w:t>encouraging institutions to offer innovative PhD and professional doctorate models, including using portfolio, project, and multi-part dissertation formats and revitalising HDR coursework offerings.</w:t>
      </w:r>
    </w:p>
    <w:p w14:paraId="72CA5185" w14:textId="77777777" w:rsidR="005168F7" w:rsidRDefault="005168F7" w:rsidP="00560132">
      <w:pPr>
        <w:pStyle w:val="BlueShadedBox-Body"/>
        <w:spacing w:after="120"/>
      </w:pPr>
      <w:r w:rsidRPr="00A83323">
        <w:t>Better sharing and translating research:</w:t>
      </w:r>
    </w:p>
    <w:p w14:paraId="56A643FD" w14:textId="77777777" w:rsidR="005168F7" w:rsidRPr="001E7AA4" w:rsidRDefault="005168F7" w:rsidP="00A025B1">
      <w:pPr>
        <w:pStyle w:val="BlueShadedBox-ListLetterstest"/>
        <w:numPr>
          <w:ilvl w:val="0"/>
          <w:numId w:val="38"/>
        </w:numPr>
        <w:ind w:left="570"/>
      </w:pPr>
      <w:r w:rsidRPr="001E7AA4">
        <w:t>developing a mechanism that keeps universities, industry and government informed of research capabilities in the higher education system and research problems faced at a national level</w:t>
      </w:r>
    </w:p>
    <w:p w14:paraId="72090EFA" w14:textId="438B37AC" w:rsidR="005168F7" w:rsidRDefault="005168F7" w:rsidP="00A025B1">
      <w:pPr>
        <w:pStyle w:val="BlueShadedBox-ListLetterstest"/>
        <w:numPr>
          <w:ilvl w:val="0"/>
          <w:numId w:val="38"/>
        </w:numPr>
        <w:ind w:left="570"/>
      </w:pPr>
      <w:r w:rsidRPr="001E7AA4">
        <w:t>incentivising university/end-user collaboration programs, such as the ARC Linkage Grants, the Trailblazer Universities Program, Australia’s Economic Accelerator, the Cooperative Research Centres Program, National Reconstruction Fund and the R&amp;D Tax Incentive.</w:t>
      </w:r>
    </w:p>
    <w:p w14:paraId="29F7D55A" w14:textId="2469164D" w:rsidR="008B1A15" w:rsidRPr="001E7AA4" w:rsidRDefault="008B1A15" w:rsidP="00FC48E8">
      <w:pPr>
        <w:spacing w:line="240" w:lineRule="auto"/>
      </w:pPr>
      <w:bookmarkStart w:id="313" w:name="_Toc134812535"/>
      <w:bookmarkStart w:id="314" w:name="_Toc1633906682"/>
      <w:bookmarkStart w:id="315" w:name="_Toc1412293326"/>
      <w:bookmarkStart w:id="316" w:name="_Toc1691399678"/>
      <w:bookmarkStart w:id="317" w:name="_Toc751649569"/>
      <w:bookmarkStart w:id="318" w:name="_Toc464328721"/>
      <w:bookmarkStart w:id="319" w:name="_Toc1670161457"/>
      <w:bookmarkStart w:id="320" w:name="_Toc1273070874"/>
      <w:bookmarkStart w:id="321" w:name="_Toc4920041"/>
      <w:bookmarkStart w:id="322" w:name="_Toc135739812"/>
      <w:bookmarkStart w:id="323" w:name="_Toc135741131"/>
      <w:bookmarkStart w:id="324" w:name="_Toc136029922"/>
      <w:r w:rsidRPr="001E7AA4">
        <w:br w:type="page"/>
      </w:r>
    </w:p>
    <w:p w14:paraId="74228751" w14:textId="633BDD27" w:rsidR="008B1A15" w:rsidRPr="001E7AA4" w:rsidRDefault="5BAAEE5A" w:rsidP="002D7F91">
      <w:pPr>
        <w:pStyle w:val="Heading3"/>
        <w:spacing w:after="360"/>
      </w:pPr>
      <w:bookmarkStart w:id="325" w:name="_Toc137829580"/>
      <w:bookmarkStart w:id="326" w:name="_Toc81009712"/>
      <w:bookmarkStart w:id="327" w:name="_Toc139028912"/>
      <w:r w:rsidRPr="001E7AA4">
        <w:lastRenderedPageBreak/>
        <w:t>Chapter 3</w:t>
      </w:r>
      <w:r w:rsidR="004E32B3">
        <w:t xml:space="preserve"> –</w:t>
      </w:r>
      <w:r w:rsidRPr="001E7AA4">
        <w:t xml:space="preserve"> </w:t>
      </w:r>
      <w:bookmarkStart w:id="328" w:name="_Toc1100208554"/>
      <w:r w:rsidRPr="00F77051">
        <w:rPr>
          <w:b w:val="0"/>
          <w:bCs/>
        </w:rPr>
        <w:t>Foundations of a high functioning national system</w:t>
      </w:r>
      <w:bookmarkEnd w:id="313"/>
      <w:bookmarkEnd w:id="314"/>
      <w:bookmarkEnd w:id="315"/>
      <w:bookmarkEnd w:id="316"/>
      <w:bookmarkEnd w:id="317"/>
      <w:bookmarkEnd w:id="318"/>
      <w:bookmarkEnd w:id="319"/>
      <w:bookmarkEnd w:id="320"/>
      <w:bookmarkEnd w:id="321"/>
      <w:bookmarkEnd w:id="322"/>
      <w:bookmarkEnd w:id="323"/>
      <w:bookmarkEnd w:id="325"/>
      <w:bookmarkEnd w:id="326"/>
      <w:bookmarkEnd w:id="327"/>
      <w:bookmarkEnd w:id="328"/>
      <w:r w:rsidRPr="001E7AA4">
        <w:t xml:space="preserve"> </w:t>
      </w:r>
      <w:bookmarkEnd w:id="324"/>
    </w:p>
    <w:p w14:paraId="136DD1C1" w14:textId="77777777" w:rsidR="008B1A15" w:rsidRPr="002D7F91" w:rsidRDefault="008B1A15" w:rsidP="002D7F91">
      <w:r w:rsidRPr="002D7F91">
        <w:t>As Australia’s economy and society evolve rapidly, our higher education system must be capable of adapting to serve growing demand, expanding to deliver new knowledge and capability, and helping to address complex generational challenges. </w:t>
      </w:r>
    </w:p>
    <w:p w14:paraId="77149414" w14:textId="77777777" w:rsidR="008B1A15" w:rsidRPr="002D7F91" w:rsidRDefault="008B1A15" w:rsidP="002D7F91">
      <w:r w:rsidRPr="002D7F91">
        <w:t xml:space="preserve">The responsive and aligned system described in the Review’s vision requires deep renewal and widespread changes to the foundations that support Australia’s current higher education system. </w:t>
      </w:r>
    </w:p>
    <w:p w14:paraId="6B81C198" w14:textId="74798E36" w:rsidR="008B1A15" w:rsidRPr="002D7F91" w:rsidRDefault="008B1A15" w:rsidP="002D7F91">
      <w:r w:rsidRPr="002D7F91">
        <w:t xml:space="preserve">This </w:t>
      </w:r>
      <w:r w:rsidR="006F0F6B" w:rsidRPr="002D7F91">
        <w:t>c</w:t>
      </w:r>
      <w:r w:rsidRPr="002D7F91">
        <w:t>hapter explores these foundations, including current funding and governance and regulatory mechanisms, and identifies options for change to make these foundations agile, stronger and more fit for purpose. </w:t>
      </w:r>
    </w:p>
    <w:p w14:paraId="530E2564" w14:textId="7479C456" w:rsidR="007332E7" w:rsidRPr="001E7AA4" w:rsidRDefault="007332E7">
      <w:pPr>
        <w:spacing w:after="160"/>
        <w:rPr>
          <w:b/>
        </w:rPr>
      </w:pPr>
      <w:r w:rsidRPr="001E7AA4">
        <w:rPr>
          <w:b/>
        </w:rPr>
        <w:br w:type="page"/>
      </w:r>
    </w:p>
    <w:p w14:paraId="230FA1D6" w14:textId="073CC50C" w:rsidR="00841573" w:rsidRPr="001E7AA4" w:rsidRDefault="352625F3" w:rsidP="00B65F5B">
      <w:pPr>
        <w:pStyle w:val="Heading4"/>
      </w:pPr>
      <w:bookmarkStart w:id="329" w:name="_Toc136259242"/>
      <w:bookmarkStart w:id="330" w:name="_Toc137829581"/>
      <w:bookmarkStart w:id="331" w:name="_Toc1025408922"/>
      <w:bookmarkStart w:id="332" w:name="_Toc139028913"/>
      <w:r w:rsidRPr="001E7AA4">
        <w:lastRenderedPageBreak/>
        <w:t>3.1: National governance: towards a coherent tertiary system</w:t>
      </w:r>
      <w:bookmarkEnd w:id="329"/>
      <w:bookmarkEnd w:id="330"/>
      <w:bookmarkEnd w:id="331"/>
      <w:bookmarkEnd w:id="332"/>
      <w:r w:rsidRPr="001E7AA4">
        <w:t xml:space="preserve"> </w:t>
      </w:r>
    </w:p>
    <w:p w14:paraId="5148BE0A" w14:textId="14552D44" w:rsidR="00841573" w:rsidRPr="001E7AA4" w:rsidRDefault="00841573" w:rsidP="0086208B">
      <w:pPr>
        <w:pStyle w:val="Quote"/>
      </w:pPr>
      <w:r w:rsidRPr="001E7AA4">
        <w:t xml:space="preserve"> “There is</w:t>
      </w:r>
      <w:r w:rsidR="00A356D9">
        <w:t>…</w:t>
      </w:r>
      <w:r w:rsidRPr="001E7AA4">
        <w:t xml:space="preserve"> a critical need for the sector to be supported in offering a diversity of educational experiences, including through support and frameworks for shorter forms of learning and by facilitating greater mobility between school, TAFE and university. </w:t>
      </w:r>
      <w:r w:rsidR="0086208B" w:rsidRPr="001E7AA4">
        <w:t>UTS supports the need for recognising and enabling greater diversification and recommends this be achieved by allowing diversity to flourish through the design of the system and funding drivers. Institutional autonomy, supported by sound governance frameworks that allow the deployment of resources towards each university’s mission and purpose, should be protected</w:t>
      </w:r>
      <w:r w:rsidR="00FF47FE" w:rsidRPr="001E7AA4">
        <w:t>.</w:t>
      </w:r>
      <w:r w:rsidRPr="001E7AA4">
        <w:t xml:space="preserve">” </w:t>
      </w:r>
      <w:r w:rsidR="00A356D9">
        <w:br/>
      </w:r>
      <w:r w:rsidR="009862F1" w:rsidRPr="001E7AA4">
        <w:t>–</w:t>
      </w:r>
      <w:r w:rsidRPr="001E7AA4">
        <w:t xml:space="preserve">  The University of Technology Sydney</w:t>
      </w:r>
    </w:p>
    <w:p w14:paraId="6EAF61A4" w14:textId="77777777" w:rsidR="00841573" w:rsidRPr="001E7AA4" w:rsidRDefault="352625F3" w:rsidP="00B65F5B">
      <w:pPr>
        <w:pStyle w:val="Heading5"/>
      </w:pPr>
      <w:bookmarkStart w:id="333" w:name="_Toc137829582"/>
      <w:bookmarkStart w:id="334" w:name="_Toc2067612653"/>
      <w:bookmarkStart w:id="335" w:name="_Toc139028914"/>
      <w:r w:rsidRPr="001E7AA4">
        <w:t>Issues</w:t>
      </w:r>
      <w:bookmarkEnd w:id="333"/>
      <w:bookmarkEnd w:id="334"/>
      <w:bookmarkEnd w:id="335"/>
    </w:p>
    <w:p w14:paraId="5941D2E1" w14:textId="1E8B2CC2" w:rsidR="00841573" w:rsidRPr="001E7AA4" w:rsidRDefault="4F11A5BE" w:rsidP="00841573">
      <w:r w:rsidRPr="001E7AA4">
        <w:rPr>
          <w:rFonts w:ascii="Calibri" w:eastAsia="Calibri" w:hAnsi="Calibri" w:cs="Calibri"/>
        </w:rPr>
        <w:t xml:space="preserve">Higher education is likely to need stronger planning and analytical capability, and more collaborative mechanisms to build complementary and differentiated institutions that, when combined, better meet </w:t>
      </w:r>
      <w:r w:rsidR="00A853F7" w:rsidRPr="001E7AA4">
        <w:rPr>
          <w:rFonts w:ascii="Calibri" w:eastAsia="Calibri" w:hAnsi="Calibri" w:cs="Calibri"/>
        </w:rPr>
        <w:t>the</w:t>
      </w:r>
      <w:r w:rsidRPr="001E7AA4">
        <w:rPr>
          <w:rFonts w:ascii="Calibri" w:eastAsia="Calibri" w:hAnsi="Calibri" w:cs="Calibri"/>
        </w:rPr>
        <w:t xml:space="preserve"> needs of Australian communities and the nation overall.</w:t>
      </w:r>
      <w:r w:rsidRPr="001E7AA4">
        <w:t xml:space="preserve"> </w:t>
      </w:r>
    </w:p>
    <w:p w14:paraId="4D43D6C8" w14:textId="6FA8BBAE" w:rsidR="00841573" w:rsidRPr="001E7AA4" w:rsidRDefault="00841573" w:rsidP="00841573">
      <w:r w:rsidRPr="001E7AA4">
        <w:t xml:space="preserve">Currently, Australia’s policy, funding, regulation and use of evidence to guide the evolution of tertiary education is beset by fragmentation, under-investment and competing interests between different institutions and agencies. The system has grown </w:t>
      </w:r>
      <w:r w:rsidR="00492B12" w:rsidRPr="001E7AA4">
        <w:t xml:space="preserve">in recent years </w:t>
      </w:r>
      <w:r w:rsidRPr="001E7AA4">
        <w:t xml:space="preserve">without regard to how or where institutions operate. In addition, the current system does not have the settings to facilitate alignment between VET and higher education. </w:t>
      </w:r>
    </w:p>
    <w:p w14:paraId="3E9396B7" w14:textId="3F9EEE4C" w:rsidR="00841573" w:rsidRPr="001E7AA4" w:rsidDel="008300DF" w:rsidRDefault="4FD3FE98" w:rsidP="00841573">
      <w:r w:rsidRPr="001E7AA4">
        <w:t xml:space="preserve">This </w:t>
      </w:r>
      <w:r w:rsidR="00492B12" w:rsidRPr="001E7AA4">
        <w:t xml:space="preserve">section </w:t>
      </w:r>
      <w:r w:rsidRPr="001E7AA4">
        <w:t>discusses</w:t>
      </w:r>
      <w:r w:rsidR="17B8ACEA" w:rsidRPr="001E7AA4">
        <w:rPr>
          <w:rFonts w:ascii="Calibri" w:eastAsia="Calibri" w:hAnsi="Calibri" w:cs="Calibri"/>
        </w:rPr>
        <w:t xml:space="preserve"> </w:t>
      </w:r>
      <w:r w:rsidR="78BFC5AC" w:rsidRPr="001E7AA4">
        <w:rPr>
          <w:rFonts w:ascii="Calibri" w:eastAsia="Calibri" w:hAnsi="Calibri" w:cs="Calibri"/>
        </w:rPr>
        <w:t>options to deliver</w:t>
      </w:r>
      <w:r w:rsidR="17B8ACEA" w:rsidRPr="001E7AA4">
        <w:rPr>
          <w:rFonts w:ascii="Calibri" w:eastAsia="Calibri" w:hAnsi="Calibri" w:cs="Calibri"/>
        </w:rPr>
        <w:t xml:space="preserve"> stronger, </w:t>
      </w:r>
      <w:r w:rsidR="7D3DF187" w:rsidRPr="001E7AA4">
        <w:rPr>
          <w:rFonts w:ascii="Calibri" w:eastAsia="Calibri" w:hAnsi="Calibri" w:cs="Calibri"/>
        </w:rPr>
        <w:t>more</w:t>
      </w:r>
      <w:r w:rsidR="17B8ACEA" w:rsidRPr="001E7AA4">
        <w:rPr>
          <w:rFonts w:ascii="Calibri" w:eastAsia="Calibri" w:hAnsi="Calibri" w:cs="Calibri"/>
        </w:rPr>
        <w:t xml:space="preserve"> adaptable and </w:t>
      </w:r>
      <w:r w:rsidR="008B30FB" w:rsidRPr="001E7AA4">
        <w:rPr>
          <w:rFonts w:ascii="Calibri" w:eastAsia="Calibri" w:hAnsi="Calibri" w:cs="Calibri"/>
        </w:rPr>
        <w:t xml:space="preserve">more </w:t>
      </w:r>
      <w:r w:rsidR="17B8ACEA" w:rsidRPr="001E7AA4">
        <w:rPr>
          <w:rFonts w:ascii="Calibri" w:eastAsia="Calibri" w:hAnsi="Calibri" w:cs="Calibri"/>
        </w:rPr>
        <w:t>responsive governance and structures to build a coherent national tertiary system</w:t>
      </w:r>
      <w:r w:rsidR="17B8ACEA" w:rsidRPr="001E7AA4">
        <w:t>.</w:t>
      </w:r>
      <w:r w:rsidR="00841573" w:rsidRPr="001E7AA4">
        <w:t xml:space="preserve"> It explores the concept of new public institutions, and ways to drive a greater level of alignment across the tertiary education system. It considers how the regulatory frameworks and role of the regulators could </w:t>
      </w:r>
      <w:r w:rsidR="37379E9A" w:rsidRPr="001E7AA4">
        <w:t xml:space="preserve">potentially </w:t>
      </w:r>
      <w:r w:rsidR="00841573" w:rsidRPr="001E7AA4">
        <w:t xml:space="preserve">operate </w:t>
      </w:r>
      <w:r w:rsidR="003E4789" w:rsidRPr="001E7AA4">
        <w:t xml:space="preserve">with </w:t>
      </w:r>
      <w:r w:rsidR="00841573" w:rsidRPr="001E7AA4">
        <w:t xml:space="preserve">a new governing body. One of the major concepts </w:t>
      </w:r>
      <w:r w:rsidR="00A37D86" w:rsidRPr="001E7AA4">
        <w:t xml:space="preserve">the Review is </w:t>
      </w:r>
      <w:r w:rsidR="00841573" w:rsidRPr="001E7AA4">
        <w:t>consider</w:t>
      </w:r>
      <w:r w:rsidR="00A37D86" w:rsidRPr="001E7AA4">
        <w:t xml:space="preserve">ing </w:t>
      </w:r>
      <w:r w:rsidR="00841573" w:rsidRPr="001E7AA4">
        <w:t>for a future system is a new system of national governance, through a proposed Tertiary Education Commission.</w:t>
      </w:r>
    </w:p>
    <w:p w14:paraId="3F09BF13" w14:textId="3316F631" w:rsidR="00841573" w:rsidRPr="001E7AA4" w:rsidRDefault="352625F3" w:rsidP="00B65F5B">
      <w:pPr>
        <w:pStyle w:val="Heading5"/>
      </w:pPr>
      <w:bookmarkStart w:id="336" w:name="_Toc136259245"/>
      <w:bookmarkStart w:id="337" w:name="_Toc137829583"/>
      <w:bookmarkStart w:id="338" w:name="_Toc134617584"/>
      <w:bookmarkStart w:id="339" w:name="_Toc139028915"/>
      <w:r w:rsidRPr="001E7AA4">
        <w:t>3.1.1 Dynamic and responsive institutions</w:t>
      </w:r>
      <w:bookmarkEnd w:id="336"/>
      <w:bookmarkEnd w:id="337"/>
      <w:bookmarkEnd w:id="338"/>
      <w:bookmarkEnd w:id="339"/>
    </w:p>
    <w:p w14:paraId="73F41883" w14:textId="70789E15" w:rsidR="00841573" w:rsidRPr="001E7AA4" w:rsidRDefault="00841573" w:rsidP="00841573">
      <w:r w:rsidRPr="001E7AA4">
        <w:t>As explored in previous chapters, more learners will need to participate in the tertiary education system over the course of their lives to obtain the blend of skills, capabilities and knowledge that will help them prosper and contribute to work and life. At the same time, institutions need to support an increasingly diverse cohort of learners and take a leading role solving our nation’s biggest challenges. No single institution or single part of our tertiary system can meet all these objectives on its own. Only the collective action and contributions of the higher education and VET sectors can ensure we meet these.</w:t>
      </w:r>
    </w:p>
    <w:p w14:paraId="765D46E8" w14:textId="5CD7D0A9" w:rsidR="00841573" w:rsidRPr="001E7AA4" w:rsidRDefault="00841573" w:rsidP="00B65F5B">
      <w:pPr>
        <w:pStyle w:val="Heading6"/>
      </w:pPr>
      <w:r w:rsidRPr="001E7AA4">
        <w:t>3.1.1.1 The current structure of the higher education sector</w:t>
      </w:r>
    </w:p>
    <w:p w14:paraId="73763315" w14:textId="3A528F2A" w:rsidR="00841573" w:rsidRPr="001E7AA4" w:rsidRDefault="00841573" w:rsidP="00841573">
      <w:r w:rsidRPr="001E7AA4">
        <w:t xml:space="preserve">Australia’s higher education system has grown over the last 30 years to reflect a range of institutional types and delivery arrangements. However, the sector’s basic structure and direction has not significantly changed since the 1980’s Dawkins reforms. The system has been left to grow without a clear plan from governments on what the system should look like, or whether this growth is a good thing. </w:t>
      </w:r>
      <w:r w:rsidR="45D304F6" w:rsidRPr="001E7AA4">
        <w:t>The</w:t>
      </w:r>
      <w:r w:rsidR="3665468E" w:rsidRPr="001E7AA4">
        <w:t xml:space="preserve"> Review is considering how to establish</w:t>
      </w:r>
      <w:r w:rsidRPr="001E7AA4">
        <w:t xml:space="preserve"> a stronger process of planning for growth, including to avoid ‘university deserts’, particularly where there may be high population growth but poor access to institutions.</w:t>
      </w:r>
    </w:p>
    <w:p w14:paraId="18928FC3" w14:textId="6E4D8964" w:rsidR="00841573" w:rsidRPr="001E7AA4" w:rsidRDefault="00841573" w:rsidP="00841573">
      <w:r w:rsidRPr="001E7AA4">
        <w:lastRenderedPageBreak/>
        <w:t xml:space="preserve">Our universities are </w:t>
      </w:r>
      <w:r w:rsidR="297AFBE5" w:rsidRPr="001E7AA4">
        <w:t xml:space="preserve">large and </w:t>
      </w:r>
      <w:r w:rsidRPr="001E7AA4">
        <w:t>comprehensive, with some approaching student numbers that will see them among the biggest in the world. While specific missions and contexts differ, many universities pursue teaching and research activity in relatively similar fields. This ensures students can access a range of courses regardless of the university they choose and is a strength of the sector, but also entrenches a degree of homogeneity that may drive undesired outcomes.</w:t>
      </w:r>
    </w:p>
    <w:p w14:paraId="49A1EB4E" w14:textId="523A7D19" w:rsidR="00841573" w:rsidRPr="001E7AA4" w:rsidRDefault="00841573" w:rsidP="00841573">
      <w:pPr>
        <w:pStyle w:val="Quote"/>
        <w:rPr>
          <w:i/>
        </w:rPr>
      </w:pPr>
      <w:r w:rsidRPr="001E7AA4">
        <w:t>“[T]here is less diversity in Australia than other OECD countries in terms of specialisation e.g. undergraduate-focussed universities</w:t>
      </w:r>
      <w:r w:rsidR="006F0F6B" w:rsidRPr="001E7AA4">
        <w:t>,</w:t>
      </w:r>
      <w:r w:rsidRPr="001E7AA4">
        <w:t xml:space="preserve"> graduate universities</w:t>
      </w:r>
      <w:r w:rsidR="006F0F6B" w:rsidRPr="001E7AA4">
        <w:t>,</w:t>
      </w:r>
      <w:r w:rsidRPr="001E7AA4">
        <w:t xml:space="preserve"> research-intensive universities</w:t>
      </w:r>
      <w:r w:rsidR="006F0F6B" w:rsidRPr="001E7AA4">
        <w:t>,</w:t>
      </w:r>
      <w:r w:rsidRPr="001E7AA4">
        <w:t xml:space="preserve"> or functionally specialised, as well as no systemic frameworks that exist</w:t>
      </w:r>
      <w:r w:rsidR="006F0F6B" w:rsidRPr="001E7AA4">
        <w:t>.</w:t>
      </w:r>
      <w:r w:rsidRPr="001E7AA4">
        <w:t xml:space="preserve">” </w:t>
      </w:r>
      <w:r w:rsidR="00A356D9">
        <w:br/>
      </w:r>
      <w:r w:rsidRPr="001E7AA4">
        <w:t xml:space="preserve">– University of Western Australia </w:t>
      </w:r>
    </w:p>
    <w:p w14:paraId="63CCE367" w14:textId="13BB6031" w:rsidR="00841573" w:rsidRPr="001E7AA4" w:rsidRDefault="00841573" w:rsidP="00841573">
      <w:r w:rsidRPr="001E7AA4">
        <w:t xml:space="preserve">Diversity in non-university institutions is higher, with clear examples of specialised focus and unique delivery, such as music, performing arts </w:t>
      </w:r>
      <w:r w:rsidR="00FD4333" w:rsidRPr="001E7AA4">
        <w:t>and theology</w:t>
      </w:r>
      <w:r w:rsidRPr="001E7AA4">
        <w:t>. But these institutions operate on a different basis from public universities, with limited or no access to Commonwealth funding and in compliance with additional regulation and financial requirements. While non-university providers may benefit from specialised funding opportunities or pursue very distinct missions related to specific community needs, they may also lack the scale</w:t>
      </w:r>
      <w:r w:rsidR="00687075">
        <w:t xml:space="preserve"> to</w:t>
      </w:r>
      <w:r w:rsidRPr="001E7AA4">
        <w:t xml:space="preserve"> compete </w:t>
      </w:r>
      <w:r w:rsidR="00687075">
        <w:t xml:space="preserve">genuinely </w:t>
      </w:r>
      <w:r w:rsidRPr="001E7AA4">
        <w:t xml:space="preserve">against larger universities or </w:t>
      </w:r>
      <w:r w:rsidR="001E54A3" w:rsidRPr="001E7AA4">
        <w:t xml:space="preserve">to </w:t>
      </w:r>
      <w:r w:rsidRPr="001E7AA4">
        <w:t>access some of the opportunities arising from demographic and economic change, despite many delivering high</w:t>
      </w:r>
      <w:r w:rsidR="51C67FAE" w:rsidRPr="001E7AA4">
        <w:t>-</w:t>
      </w:r>
      <w:r w:rsidRPr="001E7AA4">
        <w:t>quality outcomes for students and industry.</w:t>
      </w:r>
    </w:p>
    <w:p w14:paraId="463CDEFA" w14:textId="5E6CB8A9" w:rsidR="00841573" w:rsidRPr="001E7AA4" w:rsidRDefault="00841573" w:rsidP="00B65F5B">
      <w:pPr>
        <w:pStyle w:val="Heading6"/>
      </w:pPr>
      <w:r w:rsidRPr="001E7AA4">
        <w:t xml:space="preserve">3.1.1.2 How strong are our current </w:t>
      </w:r>
      <w:r w:rsidR="00086ACD" w:rsidRPr="001E7AA4">
        <w:t>providers</w:t>
      </w:r>
      <w:r w:rsidRPr="001E7AA4">
        <w:t>?</w:t>
      </w:r>
    </w:p>
    <w:p w14:paraId="284300A0" w14:textId="3738B39D" w:rsidR="00841573" w:rsidRPr="001E7AA4" w:rsidRDefault="00841573" w:rsidP="00841573">
      <w:r w:rsidRPr="001E7AA4">
        <w:t xml:space="preserve">The health and performance of the </w:t>
      </w:r>
      <w:r w:rsidR="00086ACD" w:rsidRPr="001E7AA4">
        <w:t xml:space="preserve">higher education </w:t>
      </w:r>
      <w:r w:rsidRPr="001E7AA4">
        <w:t xml:space="preserve">sector is mixed. The </w:t>
      </w:r>
      <w:r w:rsidR="00426C19" w:rsidRPr="001E7AA4">
        <w:t>COVID</w:t>
      </w:r>
      <w:r w:rsidRPr="001E7AA4">
        <w:t xml:space="preserve">-19 pandemic forced institutions to adapt models of curriculum, pedagogies and education management, and to reconsider the use of online learning platforms to provide </w:t>
      </w:r>
      <w:r w:rsidR="005D7EEA" w:rsidRPr="001E7AA4">
        <w:t>engaging</w:t>
      </w:r>
      <w:r w:rsidRPr="001E7AA4">
        <w:t xml:space="preserve"> learning </w:t>
      </w:r>
      <w:r w:rsidR="00331F12" w:rsidRPr="001E7AA4">
        <w:t>experience during lockdown</w:t>
      </w:r>
      <w:r w:rsidRPr="001E7AA4">
        <w:t>. Digital disruption continues, along with increasing expectations of students and industry of the quality and cost of the education learners are receiving.</w:t>
      </w:r>
    </w:p>
    <w:p w14:paraId="2D7BD1DE" w14:textId="499442B2" w:rsidR="00841573" w:rsidRPr="001E7AA4" w:rsidRDefault="00841573" w:rsidP="00841573">
      <w:r w:rsidRPr="001E7AA4">
        <w:t xml:space="preserve">While overall performance is strong and many </w:t>
      </w:r>
      <w:r w:rsidR="00F662BF" w:rsidRPr="001E7AA4">
        <w:t xml:space="preserve">universities </w:t>
      </w:r>
      <w:r w:rsidRPr="001E7AA4">
        <w:t>show excellent quality and leadership, this is highly variable at an individual institutional level. Business and organisational models for some providers may not be sustainable over the next decade, requiring careful consideration about how to adapt and renew them.</w:t>
      </w:r>
    </w:p>
    <w:p w14:paraId="022F0007" w14:textId="154F6448" w:rsidR="00841573" w:rsidRPr="001E7AA4" w:rsidRDefault="00841573" w:rsidP="00841573">
      <w:r w:rsidRPr="001E7AA4">
        <w:t>The current funding system is also inhibiting universities from specialisin</w:t>
      </w:r>
      <w:r w:rsidR="006F0F6B" w:rsidRPr="001E7AA4">
        <w:t>g</w:t>
      </w:r>
      <w:r w:rsidR="1D645A23" w:rsidRPr="001E7AA4">
        <w:t xml:space="preserve">, </w:t>
      </w:r>
      <w:r w:rsidR="13A1E6D8" w:rsidRPr="001E7AA4">
        <w:t>notably</w:t>
      </w:r>
      <w:r w:rsidRPr="001E7AA4">
        <w:t xml:space="preserve"> in high</w:t>
      </w:r>
      <w:r w:rsidR="006F0F6B" w:rsidRPr="001E7AA4">
        <w:t>er</w:t>
      </w:r>
      <w:r w:rsidRPr="001E7AA4">
        <w:t xml:space="preserve">-cost fields of education and research. </w:t>
      </w:r>
      <w:r w:rsidR="001D4A2C" w:rsidRPr="001E7AA4">
        <w:t xml:space="preserve">While universities are inclined to pursue their mission, the uniformity of their core business models </w:t>
      </w:r>
      <w:r w:rsidR="00B631D4" w:rsidRPr="001E7AA4">
        <w:t xml:space="preserve">and funding </w:t>
      </w:r>
      <w:r w:rsidR="001D4A2C" w:rsidRPr="001E7AA4">
        <w:t xml:space="preserve">pulls them back to the norm. </w:t>
      </w:r>
      <w:r w:rsidRPr="001E7AA4">
        <w:t xml:space="preserve">This is exacerbated by the JRG changes, which reduced overall and per student place resourcing, and by the effects of funding caps and lower student contributions in some fields. The issues created by cross-subsidisation can drive complexity, opaqueness and perverse outcomes, which further inhibit the overall diversity of the system and its responsiveness to changing need. These funding issues are discussed further in </w:t>
      </w:r>
      <w:r w:rsidR="00296A55" w:rsidRPr="001E7AA4">
        <w:t>Section</w:t>
      </w:r>
      <w:r w:rsidRPr="001E7AA4">
        <w:t xml:space="preserve"> 3.3.</w:t>
      </w:r>
    </w:p>
    <w:p w14:paraId="6020BFDE" w14:textId="0BF5205C" w:rsidR="00841573" w:rsidRPr="001E7AA4" w:rsidRDefault="00841573" w:rsidP="00B65F5B">
      <w:pPr>
        <w:pStyle w:val="Heading6"/>
      </w:pPr>
      <w:r w:rsidRPr="001E7AA4">
        <w:t>3.1.1.3 Planning for a new system, and the possibility of new institutions</w:t>
      </w:r>
    </w:p>
    <w:p w14:paraId="6CF7DBD1" w14:textId="77777777" w:rsidR="002B525D" w:rsidRDefault="00841573" w:rsidP="00841573">
      <w:r w:rsidRPr="001E7AA4">
        <w:t xml:space="preserve">All institutions will need to evolve over the </w:t>
      </w:r>
      <w:r w:rsidR="005B0CE2" w:rsidRPr="001E7AA4">
        <w:t xml:space="preserve">coming </w:t>
      </w:r>
      <w:r w:rsidRPr="001E7AA4">
        <w:t>decades; some through rapid innovation and growth, while others may do so at a more measured pace</w:t>
      </w:r>
      <w:r w:rsidR="00EC6A90" w:rsidRPr="001E7AA4">
        <w:t>, and some may even reduce in scale to some extent</w:t>
      </w:r>
      <w:r w:rsidRPr="001E7AA4" w:rsidDel="00EC6A90">
        <w:t>.</w:t>
      </w:r>
    </w:p>
    <w:p w14:paraId="4A4906FD" w14:textId="2510491D" w:rsidR="005168F7" w:rsidRDefault="005168F7" w:rsidP="005168F7">
      <w:pPr>
        <w:pStyle w:val="Pulloutboxes"/>
      </w:pPr>
      <w:r w:rsidRPr="005E5697">
        <w:lastRenderedPageBreak/>
        <w:t>This might require more specialist institutions, or it might see the emergence of clusters of universities working as systems, as organisations respond to changing needs.</w:t>
      </w:r>
    </w:p>
    <w:p w14:paraId="636D91BF" w14:textId="7A99CDF2" w:rsidR="00841573" w:rsidRPr="001E7AA4" w:rsidRDefault="00841573" w:rsidP="00841573">
      <w:r w:rsidRPr="001E7AA4">
        <w:t>Over time this could lead to a more differentiated system, with changes to funding, regulation, governance and planning that can support a more dynamic and relevant mix of institutional provision.</w:t>
      </w:r>
    </w:p>
    <w:p w14:paraId="7D7D4505" w14:textId="3B56FB73" w:rsidR="00841573" w:rsidRPr="001E7AA4" w:rsidRDefault="00841573" w:rsidP="00841573">
      <w:pPr>
        <w:pStyle w:val="Quote"/>
      </w:pPr>
      <w:r w:rsidRPr="001E7AA4">
        <w:t xml:space="preserve">“The Accord must embrace the importance of a differentiated system that allows each university to meet the learning and teaching and research needs of their local community.” </w:t>
      </w:r>
      <w:r w:rsidR="00A356D9">
        <w:br/>
      </w:r>
      <w:r w:rsidRPr="001E7AA4">
        <w:t xml:space="preserve">– University of Notre Dame </w:t>
      </w:r>
    </w:p>
    <w:p w14:paraId="49CDBB97" w14:textId="57916679" w:rsidR="00841573" w:rsidRPr="001E7AA4" w:rsidRDefault="00841573" w:rsidP="00841573">
      <w:r w:rsidRPr="001E7AA4">
        <w:t>The move to a future system should be carefully managed, with considered planning on where and how institutions are growing, changing and emerging. Governments should have a considered view on how the overall system is operating and whether the location, design and operation are meeting community needs. As a first step this could involve more targeted discussions of the missions of institutions, and considering whether the funding and regulatory frameworks are enabling the missions. It may also involve working closely with</w:t>
      </w:r>
      <w:r w:rsidR="006C14BF" w:rsidRPr="001E7AA4">
        <w:t xml:space="preserve"> the</w:t>
      </w:r>
      <w:r w:rsidRPr="001E7AA4">
        <w:t xml:space="preserve"> </w:t>
      </w:r>
      <w:r w:rsidR="00D409D8" w:rsidRPr="001E7AA4">
        <w:t>s</w:t>
      </w:r>
      <w:r w:rsidRPr="001E7AA4">
        <w:t xml:space="preserve">tates and </w:t>
      </w:r>
      <w:r w:rsidR="00D409D8" w:rsidRPr="001E7AA4">
        <w:t>t</w:t>
      </w:r>
      <w:r w:rsidRPr="001E7AA4">
        <w:t xml:space="preserve">erritories to identify areas where new public institutions should be </w:t>
      </w:r>
      <w:r w:rsidR="00C37B09" w:rsidRPr="001E7AA4">
        <w:t>created or</w:t>
      </w:r>
      <w:r w:rsidRPr="001E7AA4">
        <w:t xml:space="preserve"> looking to new models (such as the RUCs and outer metro</w:t>
      </w:r>
      <w:r w:rsidR="00491E25" w:rsidRPr="001E7AA4">
        <w:t>politan</w:t>
      </w:r>
      <w:r w:rsidRPr="001E7AA4">
        <w:t xml:space="preserve"> hubs proposed in </w:t>
      </w:r>
      <w:r w:rsidR="00296A55" w:rsidRPr="001E7AA4">
        <w:t>Section</w:t>
      </w:r>
      <w:r w:rsidRPr="001E7AA4">
        <w:t xml:space="preserve"> </w:t>
      </w:r>
      <w:r w:rsidR="001F6D00" w:rsidRPr="001E7AA4">
        <w:t>2</w:t>
      </w:r>
      <w:r w:rsidRPr="001E7AA4">
        <w:t>.</w:t>
      </w:r>
      <w:r w:rsidR="008074BF" w:rsidRPr="001E7AA4">
        <w:t>3</w:t>
      </w:r>
      <w:r w:rsidRPr="001E7AA4">
        <w:t>).</w:t>
      </w:r>
    </w:p>
    <w:p w14:paraId="74A2638C" w14:textId="61073EF3" w:rsidR="00841573" w:rsidRPr="001E7AA4" w:rsidRDefault="00841573" w:rsidP="00841573">
      <w:r w:rsidRPr="001E7AA4">
        <w:t xml:space="preserve">The current exploration of mergers of universities in both South Australia and Western Australia are interesting opportunities, partly driven by objectives of </w:t>
      </w:r>
      <w:r w:rsidR="006F0F6B" w:rsidRPr="001E7AA4">
        <w:t>s</w:t>
      </w:r>
      <w:r w:rsidRPr="001E7AA4">
        <w:t xml:space="preserve">tate </w:t>
      </w:r>
      <w:r w:rsidR="006F0F6B" w:rsidRPr="001E7AA4">
        <w:t>g</w:t>
      </w:r>
      <w:r w:rsidRPr="001E7AA4">
        <w:t>overnments to capitalise on scale to deliver better outcomes for their jurisdictions. While the outcomes of these process</w:t>
      </w:r>
      <w:r w:rsidR="00E27CD6" w:rsidRPr="001E7AA4">
        <w:t>es</w:t>
      </w:r>
      <w:r w:rsidRPr="001E7AA4">
        <w:t xml:space="preserve"> are still to be finalised</w:t>
      </w:r>
      <w:r w:rsidR="00687075">
        <w:t xml:space="preserve"> at the time of writing</w:t>
      </w:r>
      <w:r w:rsidRPr="001E7AA4">
        <w:t>, it has reignited important debate that could lead to stronger state and national system outcomes.</w:t>
      </w:r>
    </w:p>
    <w:p w14:paraId="14D1EDF2" w14:textId="55E731A7" w:rsidR="00841573" w:rsidRPr="001E7AA4" w:rsidRDefault="00841573" w:rsidP="00B65F5B">
      <w:pPr>
        <w:pStyle w:val="Heading6"/>
      </w:pPr>
      <w:r w:rsidRPr="001E7AA4">
        <w:t xml:space="preserve">3.1.1.4 New </w:t>
      </w:r>
      <w:r w:rsidR="25C4297C" w:rsidRPr="001E7AA4">
        <w:t>p</w:t>
      </w:r>
      <w:r w:rsidRPr="001E7AA4">
        <w:t xml:space="preserve">rovider </w:t>
      </w:r>
      <w:r w:rsidR="7C547363" w:rsidRPr="001E7AA4">
        <w:t>c</w:t>
      </w:r>
      <w:r w:rsidRPr="001E7AA4">
        <w:t>ategories</w:t>
      </w:r>
    </w:p>
    <w:p w14:paraId="54A20899" w14:textId="51A7CA3C" w:rsidR="00841573" w:rsidRPr="001E7AA4" w:rsidRDefault="00841573" w:rsidP="00841573">
      <w:pPr>
        <w:spacing w:after="0" w:line="240" w:lineRule="auto"/>
      </w:pPr>
      <w:r w:rsidRPr="001E7AA4">
        <w:t>The 2019 changes to the Provider Category Standards (PCS) established clearer categorisation of institutions, creating a new University College category to reflect the specialist and high-quality contributions of these institutions, as well as new research requirements for universities. Research rules require that a university, within ten years of entering the ‘Australian University’ category, must undertake research at or above benchmark standards in at least three (or 50%) of the fields of education in which it delivers courses.</w:t>
      </w:r>
      <w:r w:rsidRPr="001E7AA4">
        <w:rPr>
          <w:rStyle w:val="FootnoteReference"/>
        </w:rPr>
        <w:footnoteReference w:id="145"/>
      </w:r>
      <w:r w:rsidRPr="001E7AA4">
        <w:t xml:space="preserve"> </w:t>
      </w:r>
    </w:p>
    <w:p w14:paraId="6730AB73" w14:textId="77777777" w:rsidR="00841573" w:rsidRPr="001E7AA4" w:rsidRDefault="00841573" w:rsidP="00841573">
      <w:pPr>
        <w:spacing w:after="0" w:line="240" w:lineRule="auto"/>
        <w:rPr>
          <w:rFonts w:eastAsia="Times New Roman"/>
          <w:color w:val="000000" w:themeColor="text1"/>
          <w:lang w:eastAsia="en-AU"/>
        </w:rPr>
      </w:pPr>
    </w:p>
    <w:p w14:paraId="512E3AC2" w14:textId="67E90FEF" w:rsidR="00841573" w:rsidRPr="001E7AA4" w:rsidRDefault="00841573" w:rsidP="00841573">
      <w:r w:rsidRPr="001E7AA4">
        <w:t>The Review considers that the requirements of the PCS may be preventing institutions from developing stronger identities and diversity. The current research requirements of the University category will be challenging for some to continue to maintain. Additionally, categories may not reflect the aspiration of some universities which may want to build</w:t>
      </w:r>
      <w:r w:rsidR="00DC2CFC" w:rsidRPr="001E7AA4">
        <w:t xml:space="preserve"> an</w:t>
      </w:r>
      <w:r w:rsidRPr="001E7AA4">
        <w:t xml:space="preserve"> identi</w:t>
      </w:r>
      <w:r w:rsidR="00DC2CFC" w:rsidRPr="001E7AA4">
        <w:t>t</w:t>
      </w:r>
      <w:r w:rsidRPr="001E7AA4">
        <w:t>y and advantage as teaching-intensive, research-intensive, or education for the professions</w:t>
      </w:r>
      <w:r w:rsidR="001C1D6B" w:rsidRPr="001E7AA4">
        <w:t>-</w:t>
      </w:r>
      <w:r w:rsidRPr="001E7AA4">
        <w:t>focused. As Australia contemplates an evolving tertiary education system, serving a growing number of people, there is opportunity to consider these definitions and current activity requirements to reflect a wider mix of institutions.</w:t>
      </w:r>
    </w:p>
    <w:p w14:paraId="75911876" w14:textId="2168B168" w:rsidR="00841573" w:rsidRPr="001E7AA4" w:rsidRDefault="00841573" w:rsidP="00B65F5B">
      <w:pPr>
        <w:pStyle w:val="Heading6"/>
      </w:pPr>
      <w:r w:rsidRPr="001E7AA4">
        <w:lastRenderedPageBreak/>
        <w:t>3.1.1.5 Collaborative delivery arrangements</w:t>
      </w:r>
    </w:p>
    <w:p w14:paraId="5A646DF6" w14:textId="77777777" w:rsidR="00841573" w:rsidRPr="001E7AA4" w:rsidRDefault="00841573" w:rsidP="00841573">
      <w:r w:rsidRPr="001E7AA4">
        <w:t>Innovation can also come through collaboration and partnering between institutions, across sectors and with industry to provide locally relevant pathways that equip students to succeed in their own communities and in specific industry ecosystems. Various examples of new delivery models exist across the tertiary education system, with the opportunity for experimentation and collaboration to create success at scale.</w:t>
      </w:r>
    </w:p>
    <w:p w14:paraId="59DB6363" w14:textId="40FAB63B" w:rsidR="00841573" w:rsidRPr="001E7AA4" w:rsidRDefault="00841573" w:rsidP="00841573">
      <w:r w:rsidRPr="001E7AA4">
        <w:t>These include universities jointly offering subjects which would not be viable based on student numbers at individual institutions, for example in languages other than English or allied health fields. They also include dual sector universities</w:t>
      </w:r>
      <w:r w:rsidR="00EC6A90" w:rsidRPr="001E7AA4">
        <w:t>, other universities</w:t>
      </w:r>
      <w:r w:rsidRPr="001E7AA4">
        <w:t xml:space="preserve"> and TAFE </w:t>
      </w:r>
      <w:r w:rsidR="006152A2" w:rsidRPr="001E7AA4">
        <w:t>i</w:t>
      </w:r>
      <w:r w:rsidRPr="001E7AA4">
        <w:t xml:space="preserve">nstitutes working together with industry, unions and other service providers to offer </w:t>
      </w:r>
      <w:r w:rsidR="00EC6A90" w:rsidRPr="001E7AA4">
        <w:t xml:space="preserve">more integrated </w:t>
      </w:r>
      <w:r w:rsidRPr="001E7AA4">
        <w:t xml:space="preserve">qualifications and pathways to meet fast-growing areas of skills demand. </w:t>
      </w:r>
      <w:r w:rsidR="004E3FBC" w:rsidRPr="001E7AA4">
        <w:t>Section</w:t>
      </w:r>
      <w:r w:rsidRPr="001E7AA4">
        <w:t xml:space="preserve"> 2.4 discusses how innovative models of delivery could be supported and shared across the sector assisted by a new office for quality teaching.</w:t>
      </w:r>
    </w:p>
    <w:p w14:paraId="061595D5" w14:textId="514D40CA" w:rsidR="007A7C33" w:rsidRPr="001E7AA4" w:rsidRDefault="007A7C33" w:rsidP="00841573">
      <w:r w:rsidRPr="001E7AA4">
        <w:t>Universities are already effective research collaborators especially when brought together through government programs such as the ARC Centres of Excellence which foster collaboration for high research impact.</w:t>
      </w:r>
      <w:r w:rsidR="00792465" w:rsidRPr="001E7AA4">
        <w:t xml:space="preserve"> Buil</w:t>
      </w:r>
      <w:r w:rsidR="00645291" w:rsidRPr="001E7AA4">
        <w:t>d</w:t>
      </w:r>
      <w:r w:rsidR="00792465" w:rsidRPr="001E7AA4">
        <w:t>ing on this collaborative success should be considered.</w:t>
      </w:r>
    </w:p>
    <w:p w14:paraId="5080B1D1" w14:textId="486A9F2C" w:rsidR="00841573" w:rsidRPr="001E7AA4" w:rsidRDefault="00841573" w:rsidP="00B65F5B">
      <w:pPr>
        <w:pStyle w:val="Heading6"/>
      </w:pPr>
      <w:r w:rsidRPr="001E7AA4">
        <w:t>3.1.1.6 A new National Regional University</w:t>
      </w:r>
    </w:p>
    <w:p w14:paraId="74328B7E" w14:textId="4DD366E7" w:rsidR="00841573" w:rsidRPr="001E7AA4" w:rsidRDefault="00841573" w:rsidP="00841573">
      <w:r w:rsidRPr="001E7AA4">
        <w:t xml:space="preserve">The Review </w:t>
      </w:r>
      <w:r w:rsidR="3A76560C" w:rsidRPr="001E7AA4">
        <w:t>is considering</w:t>
      </w:r>
      <w:r w:rsidRPr="001E7AA4">
        <w:t xml:space="preserve"> new approaches </w:t>
      </w:r>
      <w:r w:rsidR="7D34DF9D" w:rsidRPr="001E7AA4">
        <w:rPr>
          <w:rFonts w:ascii="Calibri" w:eastAsia="Calibri" w:hAnsi="Calibri" w:cs="Calibri"/>
        </w:rPr>
        <w:t>to ensure</w:t>
      </w:r>
      <w:r w:rsidRPr="001E7AA4">
        <w:rPr>
          <w:rFonts w:ascii="Calibri" w:eastAsia="Calibri" w:hAnsi="Calibri" w:cs="Calibri"/>
        </w:rPr>
        <w:t xml:space="preserve"> </w:t>
      </w:r>
      <w:r w:rsidRPr="001E7AA4">
        <w:rPr>
          <w:rFonts w:ascii="Calibri" w:eastAsia="Calibri" w:hAnsi="Calibri" w:cs="Calibri"/>
          <w:color w:val="000000" w:themeColor="text1"/>
        </w:rPr>
        <w:t>the sustainable, effective delivery of higher education in regional, rural and remote Australia</w:t>
      </w:r>
      <w:r w:rsidRPr="001E7AA4">
        <w:t>. Many challenges regarding the ongoing sustainability of regional universities have been raised with the Review by those universities, including operating in thin markets, ensuring a range of comprehensive offerings and the important role they play in their communities.</w:t>
      </w:r>
    </w:p>
    <w:p w14:paraId="521E688B" w14:textId="6D2DD56A" w:rsidR="00841573" w:rsidRDefault="00841573" w:rsidP="00841573">
      <w:r w:rsidRPr="001E7AA4">
        <w:t>The concept of a single national regional university was explored in the Bradley Review, including recommendations for Government to undertake a feasibility study to assess the merits of such an institution. If implemented, the regional university considered by the Bradley review would have been tasked with delivering accessible, high-quality education to the regions and be a hub for best practice provision of higher education for other institutions teaching in the regions.</w:t>
      </w:r>
      <w:r w:rsidRPr="001E7AA4">
        <w:rPr>
          <w:rStyle w:val="FootnoteReference"/>
        </w:rPr>
        <w:footnoteReference w:id="146"/>
      </w:r>
      <w:r w:rsidRPr="001E7AA4">
        <w:t xml:space="preserve"> To date</w:t>
      </w:r>
      <w:r w:rsidR="00183A60" w:rsidRPr="001E7AA4">
        <w:t>,</w:t>
      </w:r>
      <w:r w:rsidRPr="001E7AA4">
        <w:t xml:space="preserve"> no study has been conducted to investigate the appropriateness of a single university model for regional areas.</w:t>
      </w:r>
      <w:r w:rsidR="2D893E4B" w:rsidRPr="001E7AA4">
        <w:t xml:space="preserve"> The Review considers there is merit taking this work forward, with the potential to establish a new National Regional University (NRU) which could have regional universities opt in to become part of the NRU.</w:t>
      </w:r>
    </w:p>
    <w:p w14:paraId="0E6656DC" w14:textId="4AC67ACA" w:rsidR="005168F7" w:rsidRDefault="005168F7" w:rsidP="005168F7">
      <w:pPr>
        <w:pStyle w:val="Pulloutboxes"/>
      </w:pPr>
      <w:r w:rsidRPr="00D71585">
        <w:t>The Review is considering the merits of a establishing a National Regional University as a second national university for Australia.</w:t>
      </w:r>
    </w:p>
    <w:p w14:paraId="739D7B6D" w14:textId="5DD074A4" w:rsidR="00841573" w:rsidRPr="001E7AA4" w:rsidRDefault="3B2930E6" w:rsidP="00841573">
      <w:r w:rsidRPr="001E7AA4">
        <w:rPr>
          <w:rFonts w:ascii="Calibri" w:eastAsia="Calibri" w:hAnsi="Calibri" w:cs="Calibri"/>
        </w:rPr>
        <w:t>The Review is considering the views of stakeholders</w:t>
      </w:r>
      <w:r w:rsidR="00D13E95" w:rsidRPr="001E7AA4">
        <w:rPr>
          <w:rFonts w:ascii="Calibri" w:eastAsia="Calibri" w:hAnsi="Calibri" w:cs="Calibri"/>
        </w:rPr>
        <w:t xml:space="preserve"> who</w:t>
      </w:r>
      <w:r w:rsidR="00F56352" w:rsidRPr="001E7AA4">
        <w:rPr>
          <w:rFonts w:ascii="Calibri" w:eastAsia="Calibri" w:hAnsi="Calibri" w:cs="Calibri"/>
        </w:rPr>
        <w:t xml:space="preserve"> </w:t>
      </w:r>
      <w:r w:rsidRPr="001E7AA4">
        <w:rPr>
          <w:rFonts w:ascii="Calibri" w:eastAsia="Calibri" w:hAnsi="Calibri" w:cs="Calibri"/>
        </w:rPr>
        <w:t xml:space="preserve">believe that </w:t>
      </w:r>
      <w:r w:rsidR="7A141031" w:rsidRPr="001E7AA4">
        <w:t>e</w:t>
      </w:r>
      <w:r w:rsidR="32FB5DE9" w:rsidRPr="001E7AA4">
        <w:t>stablishing</w:t>
      </w:r>
      <w:r w:rsidR="00841573" w:rsidRPr="001E7AA4">
        <w:t xml:space="preserve"> a NRU as a second national university, with a distinctive institutional and educational model shaped by Australian </w:t>
      </w:r>
      <w:r w:rsidR="00BF1D5F" w:rsidRPr="001E7AA4">
        <w:t>geography</w:t>
      </w:r>
      <w:r w:rsidR="006F0F6B" w:rsidRPr="001E7AA4">
        <w:t>,</w:t>
      </w:r>
      <w:r w:rsidR="00BF1D5F" w:rsidRPr="001E7AA4">
        <w:t xml:space="preserve"> would</w:t>
      </w:r>
      <w:r w:rsidR="00841573" w:rsidRPr="001E7AA4">
        <w:t xml:space="preserve"> be an important opportunity to create a planned approach to</w:t>
      </w:r>
      <w:r w:rsidR="00BF1D5F" w:rsidRPr="001E7AA4">
        <w:t xml:space="preserve"> our national</w:t>
      </w:r>
      <w:r w:rsidR="006F0F6B" w:rsidRPr="001E7AA4">
        <w:t>-</w:t>
      </w:r>
      <w:r w:rsidR="00841573" w:rsidRPr="001E7AA4">
        <w:t>regional education footprint. It could support high</w:t>
      </w:r>
      <w:r w:rsidR="788F7A6B" w:rsidRPr="001E7AA4">
        <w:t>-</w:t>
      </w:r>
      <w:r w:rsidR="00841573" w:rsidRPr="001E7AA4">
        <w:t xml:space="preserve">quality regional education, offer a growing range of opportunities to students from regional communities, and deliver excellence in regional research. </w:t>
      </w:r>
      <w:r w:rsidR="00841573" w:rsidRPr="001E7AA4">
        <w:lastRenderedPageBreak/>
        <w:t>It would have a strong regional voice and through its campuses would retain its important local community identity.</w:t>
      </w:r>
      <w:r w:rsidR="002F112E" w:rsidRPr="001E7AA4">
        <w:t xml:space="preserve"> </w:t>
      </w:r>
    </w:p>
    <w:p w14:paraId="7B950A1E" w14:textId="38A60C7C" w:rsidR="00841573" w:rsidRPr="001E7AA4" w:rsidRDefault="00841573" w:rsidP="00841573">
      <w:r w:rsidRPr="001E7AA4">
        <w:t>The NRU would provide substantial and lasting support for underrepresented cohorts and deliver for skill</w:t>
      </w:r>
      <w:r w:rsidR="0043315F" w:rsidRPr="001E7AA4">
        <w:t>s</w:t>
      </w:r>
      <w:r w:rsidRPr="001E7AA4">
        <w:t xml:space="preserve"> needs in the regions. In addition, </w:t>
      </w:r>
      <w:r w:rsidR="0043315F" w:rsidRPr="001E7AA4">
        <w:t xml:space="preserve">an </w:t>
      </w:r>
      <w:r w:rsidRPr="001E7AA4">
        <w:t>NRU</w:t>
      </w:r>
      <w:r w:rsidR="32FB5DE9" w:rsidRPr="001E7AA4">
        <w:t xml:space="preserve"> </w:t>
      </w:r>
      <w:r w:rsidR="406C3BDC" w:rsidRPr="001E7AA4">
        <w:t>may also</w:t>
      </w:r>
      <w:r w:rsidRPr="001E7AA4">
        <w:t xml:space="preserve"> represent an opportunity to find academic synergies and operational efficiencies across existing institutions and to better attract international students, combining education and research excellence associated with Australian higher education with a uniquely Australian regional experience.</w:t>
      </w:r>
    </w:p>
    <w:p w14:paraId="1FB2151D" w14:textId="5539B06F" w:rsidR="00841573" w:rsidRPr="001E7AA4" w:rsidRDefault="00841573" w:rsidP="00841573">
      <w:pPr>
        <w:rPr>
          <w:rFonts w:ascii="Calibri" w:eastAsia="Calibri" w:hAnsi="Calibri" w:cs="Calibri"/>
        </w:rPr>
      </w:pPr>
      <w:r w:rsidRPr="001E7AA4">
        <w:t>The concept and design of a new national university would need to be worked through in close consultation with the Commonwealth,</w:t>
      </w:r>
      <w:r w:rsidR="00AC4888" w:rsidRPr="001E7AA4">
        <w:t xml:space="preserve"> </w:t>
      </w:r>
      <w:r w:rsidR="00044486" w:rsidRPr="001E7AA4">
        <w:t>states and territories</w:t>
      </w:r>
      <w:r w:rsidRPr="001E7AA4">
        <w:t>, regional universities, local communities and many other stakeholders.</w:t>
      </w:r>
      <w:r w:rsidRPr="001E7AA4">
        <w:rPr>
          <w:rFonts w:ascii="Calibri" w:eastAsia="Calibri" w:hAnsi="Calibri" w:cs="Calibri"/>
        </w:rPr>
        <w:t xml:space="preserve"> International models for such a system exist. One is the University of California system which operates as a state-wide institution with central governance accountable to the state government, but includes ten campuses </w:t>
      </w:r>
      <w:r w:rsidR="000B7616" w:rsidRPr="001E7AA4">
        <w:rPr>
          <w:rFonts w:ascii="Calibri" w:eastAsia="Calibri" w:hAnsi="Calibri" w:cs="Calibri"/>
        </w:rPr>
        <w:t>each</w:t>
      </w:r>
      <w:r w:rsidRPr="001E7AA4">
        <w:rPr>
          <w:rFonts w:ascii="Calibri" w:eastAsia="Calibri" w:hAnsi="Calibri" w:cs="Calibri"/>
        </w:rPr>
        <w:t xml:space="preserve"> with their own local identity and leadership with a degree of autonomy (</w:t>
      </w:r>
      <w:r w:rsidR="003A691D" w:rsidRPr="001E7AA4">
        <w:rPr>
          <w:rFonts w:ascii="Calibri" w:eastAsia="Calibri" w:hAnsi="Calibri" w:cs="Calibri"/>
        </w:rPr>
        <w:t>e.g.</w:t>
      </w:r>
      <w:r w:rsidR="00C222E6" w:rsidRPr="001E7AA4">
        <w:rPr>
          <w:rFonts w:ascii="Calibri" w:eastAsia="Calibri" w:hAnsi="Calibri" w:cs="Calibri"/>
        </w:rPr>
        <w:t>,</w:t>
      </w:r>
      <w:r w:rsidRPr="001E7AA4">
        <w:rPr>
          <w:rFonts w:ascii="Calibri" w:eastAsia="Calibri" w:hAnsi="Calibri" w:cs="Calibri"/>
        </w:rPr>
        <w:t xml:space="preserve"> UC Berkeley</w:t>
      </w:r>
      <w:r w:rsidR="00591B1A" w:rsidRPr="001E7AA4">
        <w:rPr>
          <w:rFonts w:ascii="Calibri" w:eastAsia="Calibri" w:hAnsi="Calibri" w:cs="Calibri"/>
        </w:rPr>
        <w:t>,</w:t>
      </w:r>
      <w:r w:rsidRPr="001E7AA4">
        <w:rPr>
          <w:rFonts w:ascii="Calibri" w:eastAsia="Calibri" w:hAnsi="Calibri" w:cs="Calibri"/>
        </w:rPr>
        <w:t xml:space="preserve"> UC Los Angeles</w:t>
      </w:r>
      <w:r w:rsidR="003A691D" w:rsidRPr="001E7AA4">
        <w:rPr>
          <w:rFonts w:ascii="Calibri" w:eastAsia="Calibri" w:hAnsi="Calibri" w:cs="Calibri"/>
        </w:rPr>
        <w:t>, UC Davis</w:t>
      </w:r>
      <w:r w:rsidRPr="001E7AA4">
        <w:rPr>
          <w:rFonts w:ascii="Calibri" w:eastAsia="Calibri" w:hAnsi="Calibri" w:cs="Calibri"/>
        </w:rPr>
        <w:t>).</w:t>
      </w:r>
    </w:p>
    <w:p w14:paraId="77E4E7BA" w14:textId="213285CA" w:rsidR="007B3F0D" w:rsidRPr="001E7AA4" w:rsidRDefault="007B3F0D" w:rsidP="00841573">
      <w:pPr>
        <w:rPr>
          <w:rFonts w:ascii="Calibri" w:eastAsia="Calibri" w:hAnsi="Calibri" w:cs="Calibri"/>
        </w:rPr>
      </w:pPr>
      <w:r w:rsidRPr="001E7AA4">
        <w:rPr>
          <w:rFonts w:ascii="Calibri" w:eastAsia="Calibri" w:hAnsi="Calibri" w:cs="Calibri"/>
        </w:rPr>
        <w:t xml:space="preserve">The Review has also heard from some stakeholders that creating </w:t>
      </w:r>
      <w:r w:rsidR="007B1E85" w:rsidRPr="001E7AA4">
        <w:rPr>
          <w:rFonts w:ascii="Calibri" w:eastAsia="Calibri" w:hAnsi="Calibri" w:cs="Calibri"/>
        </w:rPr>
        <w:t xml:space="preserve">an </w:t>
      </w:r>
      <w:r w:rsidRPr="001E7AA4">
        <w:rPr>
          <w:rFonts w:ascii="Calibri" w:eastAsia="Calibri" w:hAnsi="Calibri" w:cs="Calibri"/>
        </w:rPr>
        <w:t>NRU may not be the best option to advance the provision of higher education in regional areas. Stakeholders have note</w:t>
      </w:r>
      <w:r w:rsidR="00DE333E" w:rsidRPr="001E7AA4">
        <w:rPr>
          <w:rFonts w:ascii="Calibri" w:eastAsia="Calibri" w:hAnsi="Calibri" w:cs="Calibri"/>
        </w:rPr>
        <w:t>d</w:t>
      </w:r>
      <w:r w:rsidRPr="001E7AA4">
        <w:rPr>
          <w:rFonts w:ascii="Calibri" w:eastAsia="Calibri" w:hAnsi="Calibri" w:cs="Calibri"/>
        </w:rPr>
        <w:t xml:space="preserve"> the deep connections forged between the existing regional universities and their local communities, and that students may prefer a choice of different universities within the regional footprint.</w:t>
      </w:r>
    </w:p>
    <w:p w14:paraId="0DE0C8E3" w14:textId="3D694442" w:rsidR="00841573" w:rsidRPr="001E7AA4" w:rsidRDefault="352625F3" w:rsidP="00B65F5B">
      <w:pPr>
        <w:pStyle w:val="Heading5"/>
      </w:pPr>
      <w:bookmarkStart w:id="340" w:name="_Toc136259246"/>
      <w:bookmarkStart w:id="341" w:name="_Toc137829584"/>
      <w:bookmarkStart w:id="342" w:name="_Toc1051122049"/>
      <w:bookmarkStart w:id="343" w:name="_Toc139028916"/>
      <w:r w:rsidRPr="001E7AA4">
        <w:t>3.1.2 An aligned tertiary system</w:t>
      </w:r>
      <w:bookmarkEnd w:id="340"/>
      <w:bookmarkEnd w:id="341"/>
      <w:bookmarkEnd w:id="342"/>
      <w:bookmarkEnd w:id="343"/>
    </w:p>
    <w:p w14:paraId="03876DA8" w14:textId="2A436CB4" w:rsidR="00841573" w:rsidRPr="001E7AA4" w:rsidRDefault="32FB5DE9" w:rsidP="00841573">
      <w:r w:rsidRPr="001E7AA4">
        <w:t>There is an opportunity</w:t>
      </w:r>
      <w:r w:rsidR="43DE649B" w:rsidRPr="001E7AA4">
        <w:t xml:space="preserve"> to explore bring</w:t>
      </w:r>
      <w:r w:rsidR="0063022E" w:rsidRPr="001E7AA4">
        <w:t>ing</w:t>
      </w:r>
      <w:r w:rsidR="43DE649B" w:rsidRPr="001E7AA4">
        <w:t xml:space="preserve"> together the tertiary education system as a coherent whole, rather than thinking of higher education and VET as two separate and siloed areas</w:t>
      </w:r>
      <w:r w:rsidR="0388D5E1" w:rsidRPr="001E7AA4">
        <w:t xml:space="preserve">, and </w:t>
      </w:r>
      <w:r w:rsidR="00841573" w:rsidRPr="001E7AA4">
        <w:t xml:space="preserve">for new and evolving institutions to be shaped by the strongest features of both the higher education and VET sectors. These systems both provide essential skills and knowledge in their own right and </w:t>
      </w:r>
      <w:r w:rsidR="02BC46C9" w:rsidRPr="001E7AA4">
        <w:t xml:space="preserve">the Review is exploring whether these systems </w:t>
      </w:r>
      <w:r w:rsidR="022B687F" w:rsidRPr="001E7AA4">
        <w:t xml:space="preserve">should be </w:t>
      </w:r>
      <w:r w:rsidR="00841573" w:rsidRPr="001E7AA4">
        <w:t xml:space="preserve">equally valued in funding, regulatory and policy settings. </w:t>
      </w:r>
      <w:r w:rsidR="34C458DC" w:rsidRPr="001E7AA4">
        <w:t>In doing so, t</w:t>
      </w:r>
      <w:r w:rsidR="00841573" w:rsidRPr="001E7AA4">
        <w:t xml:space="preserve">here are good examples of the benefits that are realised when institutions collaborate and can operate in both systems. </w:t>
      </w:r>
    </w:p>
    <w:p w14:paraId="7D867A8D" w14:textId="07A811A3" w:rsidR="00841573" w:rsidRPr="001E7AA4" w:rsidRDefault="00841573" w:rsidP="00841573">
      <w:r w:rsidRPr="001E7AA4">
        <w:t xml:space="preserve">While efforts over the last decade have sought to drive new partnerships between sectors and improve the overall status and perceptions of VET, various cross-sectoral barriers remain, and there is still a lack of shared purpose and direction. </w:t>
      </w:r>
      <w:r w:rsidR="007B1E85" w:rsidRPr="001E7AA4">
        <w:t xml:space="preserve">Sections </w:t>
      </w:r>
      <w:r w:rsidR="00F61823" w:rsidRPr="001E7AA4">
        <w:t>2.2</w:t>
      </w:r>
      <w:r w:rsidRPr="001E7AA4">
        <w:t xml:space="preserve"> and </w:t>
      </w:r>
      <w:r w:rsidR="00FD33EE" w:rsidRPr="001E7AA4">
        <w:t>2.3</w:t>
      </w:r>
      <w:r w:rsidRPr="001E7AA4">
        <w:t xml:space="preserve"> </w:t>
      </w:r>
      <w:r w:rsidR="4A49532D" w:rsidRPr="001E7AA4">
        <w:t xml:space="preserve">discuss </w:t>
      </w:r>
      <w:r w:rsidRPr="001E7AA4">
        <w:t xml:space="preserve">pathways between higher education and VET </w:t>
      </w:r>
      <w:r w:rsidR="22209664" w:rsidRPr="001E7AA4">
        <w:t>and the role they could play in</w:t>
      </w:r>
      <w:r w:rsidRPr="001E7AA4">
        <w:t xml:space="preserve"> meeting Australia’s diverse skills needs, improving access and delivering greater opportunity.</w:t>
      </w:r>
    </w:p>
    <w:p w14:paraId="2B188017" w14:textId="4175FB3F" w:rsidR="00841573" w:rsidRPr="001E7AA4" w:rsidRDefault="00841573" w:rsidP="00B65F5B">
      <w:pPr>
        <w:pStyle w:val="Heading6"/>
      </w:pPr>
      <w:r w:rsidRPr="001E7AA4">
        <w:t>3.1.2.1 A collaborative approach to tertiary education</w:t>
      </w:r>
    </w:p>
    <w:p w14:paraId="65F6B869" w14:textId="55B940F4" w:rsidR="00841573" w:rsidRPr="001E7AA4" w:rsidRDefault="00841573" w:rsidP="00841573">
      <w:r w:rsidRPr="001E7AA4">
        <w:t xml:space="preserve">An aligned tertiary system can only be achieved through collaborative reform across governments, regulators, employer groups, unions, student groups and education institutions. Reform </w:t>
      </w:r>
      <w:r w:rsidR="43AEE366" w:rsidRPr="001E7AA4">
        <w:t>could</w:t>
      </w:r>
      <w:r w:rsidRPr="001E7AA4">
        <w:t xml:space="preserve"> focus on how to meet future need, and must address the separate and inconsistent policy, regulatory and financial arrangements that drive cultural differences between sectors and restrict institutional collaboration and innovation. </w:t>
      </w:r>
    </w:p>
    <w:p w14:paraId="317B75F7" w14:textId="5433A89F" w:rsidR="00254835" w:rsidRDefault="00841573" w:rsidP="00254835">
      <w:pPr>
        <w:pStyle w:val="Quote"/>
      </w:pPr>
      <w:r w:rsidRPr="001E7AA4">
        <w:t xml:space="preserve">“The </w:t>
      </w:r>
      <w:r w:rsidR="00254835">
        <w:t xml:space="preserve">concept of lifelong learning means that pathways are not always linear. There are significant numbers of higher education graduates who take up a practical skills-based qualification post attaining their degree. To enhance this model, innovation is needed so that students can select from both sectors simultaneously. Currently, funding, policy and regulation do not make this easy. </w:t>
      </w:r>
      <w:r w:rsidR="00254835">
        <w:lastRenderedPageBreak/>
        <w:t>The discussion on</w:t>
      </w:r>
      <w:r w:rsidR="00A356D9">
        <w:t xml:space="preserve"> </w:t>
      </w:r>
      <w:r w:rsidR="00254835">
        <w:t xml:space="preserve">connecting the VET and higher education sectors needs to go beyond pathways and look at the creation of both new qualifications. Incentives for universities to partner with TAFEs on dual credentials should be encouraged." </w:t>
      </w:r>
      <w:r w:rsidR="00A356D9">
        <w:br/>
      </w:r>
      <w:r w:rsidR="00254835">
        <w:t>- TAFE Directors Australia</w:t>
      </w:r>
    </w:p>
    <w:p w14:paraId="340C96FF" w14:textId="6BB3C596" w:rsidR="00841573" w:rsidRPr="001E7AA4" w:rsidRDefault="00841573" w:rsidP="00841573">
      <w:pPr>
        <w:rPr>
          <w:color w:val="000000" w:themeColor="text1"/>
          <w:lang w:val="en-GB"/>
        </w:rPr>
      </w:pPr>
      <w:r w:rsidRPr="001E7AA4">
        <w:t xml:space="preserve">Achieving this ambition will likely require greater </w:t>
      </w:r>
      <w:r w:rsidRPr="001E7AA4">
        <w:rPr>
          <w:color w:val="000000" w:themeColor="text1"/>
          <w:lang w:val="en-GB"/>
        </w:rPr>
        <w:t>systemic investment and new whole-of-system governance. There are good steps in the right direction already, including work across the Commonwealth and</w:t>
      </w:r>
      <w:r w:rsidR="00AC4888" w:rsidRPr="001E7AA4">
        <w:rPr>
          <w:color w:val="000000" w:themeColor="text1"/>
          <w:lang w:val="en-GB"/>
        </w:rPr>
        <w:t xml:space="preserve"> </w:t>
      </w:r>
      <w:r w:rsidR="00044486" w:rsidRPr="001E7AA4">
        <w:rPr>
          <w:color w:val="000000" w:themeColor="text1"/>
          <w:lang w:val="en-GB"/>
        </w:rPr>
        <w:t>states and territories</w:t>
      </w:r>
      <w:r w:rsidRPr="001E7AA4">
        <w:rPr>
          <w:color w:val="000000" w:themeColor="text1"/>
          <w:lang w:val="en-GB"/>
        </w:rPr>
        <w:t xml:space="preserve"> to establish a new National Skills Agreement.</w:t>
      </w:r>
    </w:p>
    <w:p w14:paraId="6209930B" w14:textId="0EE3EECC" w:rsidR="00841573" w:rsidRPr="001E7AA4" w:rsidRDefault="00841573" w:rsidP="00841573">
      <w:r w:rsidRPr="001E7AA4">
        <w:t xml:space="preserve">In facilitating a high performing tertiary education sector, the two sectors need to operate on equal footing as part of a whole of tertiary system. The Review recognises there are significant structural settings that would need to be adjusted to achieve this. Current frameworks that govern skills and the arrangements for funding and pricing can create the impression that vocational education is the ‘lesser sibling’ to higher education, despite the fact that it contributes to skills that are equally important for society. </w:t>
      </w:r>
    </w:p>
    <w:p w14:paraId="245B081B" w14:textId="77777777" w:rsidR="00841573" w:rsidRPr="001E7AA4" w:rsidRDefault="00841573" w:rsidP="00841573">
      <w:pPr>
        <w:rPr>
          <w:kern w:val="2"/>
          <w14:ligatures w14:val="standardContextual"/>
        </w:rPr>
      </w:pPr>
      <w:r w:rsidRPr="001E7AA4">
        <w:rPr>
          <w:kern w:val="2"/>
          <w14:ligatures w14:val="standardContextual"/>
        </w:rPr>
        <w:t>Initially, a</w:t>
      </w:r>
      <w:r w:rsidRPr="001E7AA4">
        <w:rPr>
          <w:rFonts w:eastAsiaTheme="minorEastAsia"/>
        </w:rPr>
        <w:t xml:space="preserve"> more aligned system could involve f</w:t>
      </w:r>
      <w:r w:rsidRPr="001E7AA4">
        <w:rPr>
          <w:rFonts w:eastAsiaTheme="minorEastAsia"/>
          <w:kern w:val="2"/>
          <w14:ligatures w14:val="standardContextual"/>
        </w:rPr>
        <w:t>ocussing policy efforts on occupations that span both higher education and VET qualifications.</w:t>
      </w:r>
      <w:r w:rsidRPr="001E7AA4">
        <w:t xml:space="preserve"> Similarly, barriers to recognition between the sectors and a lack of information to help students make good decisions could be addressed through expanding current digital platforms to include both higher </w:t>
      </w:r>
      <w:r w:rsidRPr="001E7AA4">
        <w:rPr>
          <w:kern w:val="2"/>
          <w14:ligatures w14:val="standardContextual"/>
        </w:rPr>
        <w:t>education and VET, including building a centralised tertiary digital solution, such as a national skills passport, to support learners to build, maintain and share their credentials.</w:t>
      </w:r>
    </w:p>
    <w:p w14:paraId="5352B7FE" w14:textId="4B525108" w:rsidR="00841573" w:rsidRPr="001E7AA4" w:rsidRDefault="00155935" w:rsidP="00841573">
      <w:pPr>
        <w:rPr>
          <w:rFonts w:eastAsiaTheme="minorEastAsia"/>
          <w:kern w:val="2"/>
          <w14:ligatures w14:val="standardContextual"/>
        </w:rPr>
      </w:pPr>
      <w:r w:rsidRPr="001E7AA4">
        <w:rPr>
          <w:kern w:val="2"/>
          <w14:ligatures w14:val="standardContextual"/>
        </w:rPr>
        <w:t>There is an opportunity to d</w:t>
      </w:r>
      <w:r w:rsidR="00841573" w:rsidRPr="001E7AA4">
        <w:rPr>
          <w:kern w:val="2"/>
          <w14:ligatures w14:val="standardContextual"/>
        </w:rPr>
        <w:t>eepen and leverag</w:t>
      </w:r>
      <w:r w:rsidRPr="001E7AA4">
        <w:rPr>
          <w:kern w:val="2"/>
          <w14:ligatures w14:val="standardContextual"/>
        </w:rPr>
        <w:t>e</w:t>
      </w:r>
      <w:r w:rsidR="00841573" w:rsidRPr="001E7AA4">
        <w:rPr>
          <w:kern w:val="2"/>
          <w14:ligatures w14:val="standardContextual"/>
        </w:rPr>
        <w:t xml:space="preserve"> the capability of JSA and the Jobs and Skills Councils to support a more systematic approach to industry engagement across the tertiary education sector</w:t>
      </w:r>
      <w:r w:rsidR="00776DEE" w:rsidRPr="001E7AA4">
        <w:rPr>
          <w:kern w:val="2"/>
          <w14:ligatures w14:val="standardContextual"/>
        </w:rPr>
        <w:t>,</w:t>
      </w:r>
      <w:r w:rsidR="00841573" w:rsidRPr="001E7AA4">
        <w:rPr>
          <w:kern w:val="2"/>
          <w14:ligatures w14:val="standardContextual"/>
        </w:rPr>
        <w:t xml:space="preserve"> and </w:t>
      </w:r>
      <w:r w:rsidR="00776DEE" w:rsidRPr="001E7AA4">
        <w:rPr>
          <w:kern w:val="2"/>
          <w14:ligatures w14:val="standardContextual"/>
        </w:rPr>
        <w:t>to</w:t>
      </w:r>
      <w:r w:rsidRPr="001E7AA4">
        <w:rPr>
          <w:kern w:val="2"/>
          <w14:ligatures w14:val="standardContextual"/>
        </w:rPr>
        <w:t xml:space="preserve"> </w:t>
      </w:r>
      <w:r w:rsidR="00841573" w:rsidRPr="001E7AA4">
        <w:rPr>
          <w:kern w:val="2"/>
          <w14:ligatures w14:val="standardContextual"/>
        </w:rPr>
        <w:t xml:space="preserve">identify areas of critical skills need </w:t>
      </w:r>
      <w:r w:rsidR="00D760CB" w:rsidRPr="001E7AA4">
        <w:rPr>
          <w:kern w:val="2"/>
          <w14:ligatures w14:val="standardContextual"/>
        </w:rPr>
        <w:t>to support</w:t>
      </w:r>
      <w:r w:rsidR="00841573" w:rsidRPr="001E7AA4">
        <w:rPr>
          <w:kern w:val="2"/>
          <w14:ligatures w14:val="standardContextual"/>
        </w:rPr>
        <w:t xml:space="preserve"> innovative delivery through dual or cross sector models.</w:t>
      </w:r>
    </w:p>
    <w:p w14:paraId="2769705B" w14:textId="6B8F08AB" w:rsidR="00841573" w:rsidRPr="001E7AA4" w:rsidRDefault="00841573" w:rsidP="00841573">
      <w:pPr>
        <w:pStyle w:val="Quote"/>
      </w:pPr>
      <w:r w:rsidRPr="001E7AA4">
        <w:t>“</w:t>
      </w:r>
      <w:r w:rsidR="001F72E3" w:rsidRPr="001E7AA4">
        <w:t>It is a truism that lifelong learning is essential for the people of an innovative country. Lifelong learning does not necessarily comprise a multi-year plan of continuous and linked courses. Programs of short courses and micro-credentialling, whether through universities or TAFE, can be extremely valuable</w:t>
      </w:r>
      <w:r w:rsidR="00CA67FB" w:rsidRPr="001E7AA4">
        <w:t>.</w:t>
      </w:r>
      <w:r w:rsidRPr="001E7AA4">
        <w:t xml:space="preserve">” </w:t>
      </w:r>
      <w:r w:rsidR="00A356D9">
        <w:br/>
      </w:r>
      <w:r w:rsidR="00CA67FB" w:rsidRPr="001E7AA4">
        <w:t>–</w:t>
      </w:r>
      <w:r w:rsidR="00D46DDE" w:rsidRPr="001E7AA4">
        <w:t xml:space="preserve"> </w:t>
      </w:r>
      <w:r w:rsidR="001F72E3" w:rsidRPr="001E7AA4">
        <w:t>Graduate Women NSW</w:t>
      </w:r>
    </w:p>
    <w:p w14:paraId="130807D0" w14:textId="66347D18" w:rsidR="00841573" w:rsidRPr="001E7AA4" w:rsidRDefault="00841573" w:rsidP="00B65F5B">
      <w:pPr>
        <w:pStyle w:val="Heading6"/>
      </w:pPr>
      <w:r w:rsidRPr="001E7AA4">
        <w:t>3.1.2.</w:t>
      </w:r>
      <w:r w:rsidR="004B3679" w:rsidRPr="001E7AA4">
        <w:t>2</w:t>
      </w:r>
      <w:r w:rsidRPr="001E7AA4">
        <w:t xml:space="preserve"> The Australian Qualifications Framework </w:t>
      </w:r>
    </w:p>
    <w:p w14:paraId="3620653E" w14:textId="2FFB6F2F" w:rsidR="00841573" w:rsidRPr="001E7AA4" w:rsidRDefault="00841573" w:rsidP="00841573">
      <w:r w:rsidRPr="001E7AA4">
        <w:t xml:space="preserve">As highlighted in </w:t>
      </w:r>
      <w:r w:rsidR="00792465" w:rsidRPr="001E7AA4">
        <w:t xml:space="preserve">Section </w:t>
      </w:r>
      <w:r w:rsidR="00943C25" w:rsidRPr="001E7AA4">
        <w:t>2.2</w:t>
      </w:r>
      <w:r w:rsidRPr="001E7AA4">
        <w:t xml:space="preserve">, AQF reform </w:t>
      </w:r>
      <w:r w:rsidR="41F5E67C" w:rsidRPr="001E7AA4">
        <w:t>could be</w:t>
      </w:r>
      <w:r w:rsidRPr="001E7AA4">
        <w:t xml:space="preserve"> a critical element of a new tertiary education system. The 2019 AQF Review, chaired by the late </w:t>
      </w:r>
      <w:r w:rsidR="3BA07329" w:rsidRPr="001E7AA4">
        <w:t xml:space="preserve">Professor </w:t>
      </w:r>
      <w:r w:rsidRPr="001E7AA4">
        <w:t xml:space="preserve">Peter Noonan, aimed to give greater recognition to skills alongside knowledge, establish clear and rigorous standards for qualification levels and enable the higher education and VET sectors to design fit-for-purpose qualifications. These reforms, particularly those to improve the recognition of skills in the AQF architecture and taxonomy, would ensure that both higher education and VET are equally recognised and valued, and that providers are supported in creating innovative and integrated qualifications. </w:t>
      </w:r>
    </w:p>
    <w:p w14:paraId="13D8DB96" w14:textId="7EE1D440" w:rsidR="00841573" w:rsidRPr="001E7AA4" w:rsidRDefault="00340D1C" w:rsidP="00841573">
      <w:pPr>
        <w:rPr>
          <w:rStyle w:val="normaltextrun"/>
        </w:rPr>
      </w:pPr>
      <w:r w:rsidRPr="001E7AA4">
        <w:t>W</w:t>
      </w:r>
      <w:r w:rsidR="00841573" w:rsidRPr="001E7AA4">
        <w:t xml:space="preserve">ork is ongoing to support the </w:t>
      </w:r>
      <w:r w:rsidR="00841573" w:rsidRPr="001E7AA4">
        <w:rPr>
          <w:rStyle w:val="normaltextrun"/>
          <w:rFonts w:ascii="Calibri" w:hAnsi="Calibri" w:cs="Calibri"/>
        </w:rPr>
        <w:t xml:space="preserve">consideration of recommendations, including engaging with stakeholders </w:t>
      </w:r>
      <w:r w:rsidR="00C7439F" w:rsidRPr="001E7AA4">
        <w:rPr>
          <w:rStyle w:val="normaltextrun"/>
          <w:rFonts w:ascii="Calibri" w:hAnsi="Calibri" w:cs="Calibri"/>
        </w:rPr>
        <w:t>to establish agreement</w:t>
      </w:r>
      <w:r w:rsidR="00841573" w:rsidRPr="001E7AA4">
        <w:rPr>
          <w:rStyle w:val="normaltextrun"/>
          <w:rFonts w:ascii="Calibri" w:hAnsi="Calibri" w:cs="Calibri"/>
        </w:rPr>
        <w:t xml:space="preserve"> on more complex recommendations</w:t>
      </w:r>
      <w:r w:rsidR="002D7C2C" w:rsidRPr="001E7AA4">
        <w:rPr>
          <w:rStyle w:val="normaltextrun"/>
          <w:rFonts w:ascii="Calibri" w:hAnsi="Calibri" w:cs="Calibri"/>
        </w:rPr>
        <w:t>,</w:t>
      </w:r>
      <w:r w:rsidR="00841573" w:rsidRPr="001E7AA4">
        <w:rPr>
          <w:rStyle w:val="normaltextrun"/>
          <w:rFonts w:ascii="Calibri" w:hAnsi="Calibri" w:cs="Calibri"/>
        </w:rPr>
        <w:t xml:space="preserve"> that could impact international or industrial settings. </w:t>
      </w:r>
    </w:p>
    <w:p w14:paraId="016CB7BA" w14:textId="414BCF74" w:rsidR="00841573" w:rsidRPr="001574DA" w:rsidRDefault="00841573" w:rsidP="001574DA">
      <w:pPr>
        <w:pStyle w:val="Heading6"/>
      </w:pPr>
      <w:r w:rsidRPr="001574DA">
        <w:lastRenderedPageBreak/>
        <w:t>3.1.2.</w:t>
      </w:r>
      <w:r w:rsidR="004B3679" w:rsidRPr="001574DA">
        <w:t>3</w:t>
      </w:r>
      <w:r w:rsidRPr="001574DA">
        <w:t xml:space="preserve"> Aligning funding settings across the tertiary system</w:t>
      </w:r>
    </w:p>
    <w:p w14:paraId="697F0F3F" w14:textId="5367EDAD" w:rsidR="00841573" w:rsidRPr="001E7AA4" w:rsidRDefault="00841573" w:rsidP="00841573">
      <w:r w:rsidRPr="001E7AA4">
        <w:t>Funding settings across higher education and VET do not currently enable fair and consistent pricing. There are funding inconsistencies across sectors and jurisdictions that create unequal opportunities and continue to reduce the status of VET. In many cases, VET students have to meet the full costs of their education and training upfront, unless governments subsidise delivery, for instance through the Fee-Free TAFE and vocational education places. The Productivity Commission</w:t>
      </w:r>
      <w:r w:rsidRPr="001E7AA4">
        <w:rPr>
          <w:i/>
          <w:iCs/>
        </w:rPr>
        <w:t xml:space="preserve"> </w:t>
      </w:r>
      <w:r w:rsidRPr="001E7AA4">
        <w:t>has suggested that funding disparities push students to choose a sector less suited to them and reinforce perceptions of VET as a lesser educational pathway</w:t>
      </w:r>
      <w:r w:rsidR="6FFCEB12" w:rsidRPr="001E7AA4">
        <w:t>.</w:t>
      </w:r>
      <w:r w:rsidR="00F020A5" w:rsidRPr="001E7AA4">
        <w:rPr>
          <w:rStyle w:val="FootnoteReference"/>
        </w:rPr>
        <w:footnoteReference w:id="147"/>
      </w:r>
    </w:p>
    <w:p w14:paraId="4A78C9B7" w14:textId="06B0006D" w:rsidR="00841573" w:rsidRPr="001E7AA4" w:rsidRDefault="352625F3" w:rsidP="00B65F5B">
      <w:pPr>
        <w:pStyle w:val="Heading5"/>
      </w:pPr>
      <w:bookmarkStart w:id="344" w:name="_Toc137829585"/>
      <w:bookmarkStart w:id="345" w:name="_Toc1821636781"/>
      <w:bookmarkStart w:id="346" w:name="_Toc139028917"/>
      <w:r w:rsidRPr="001E7AA4">
        <w:t>3.1.3 A modern approach to regulation</w:t>
      </w:r>
      <w:bookmarkEnd w:id="344"/>
      <w:bookmarkEnd w:id="345"/>
      <w:bookmarkEnd w:id="346"/>
      <w:r w:rsidRPr="001E7AA4">
        <w:t xml:space="preserve"> </w:t>
      </w:r>
    </w:p>
    <w:p w14:paraId="16DF458E" w14:textId="5515F4E4" w:rsidR="00841573" w:rsidRPr="001E7AA4" w:rsidRDefault="00841573" w:rsidP="00841573">
      <w:r w:rsidRPr="001E7AA4">
        <w:t>Improving the autonomy, flexibility and innovation of institutions can only be achieved by a modern regulatory architecture focused on excellence, quality and outcomes. This architecture needs to align across sectors better to reduce unnecessary duplication and burden and to ensure that performance issues do not slip through the various boundaries of responsibility. Currently, providers across different parts of the tertiary education sector face multiple and differing regulatory requirements and obligations. Dual</w:t>
      </w:r>
      <w:r w:rsidR="1047F93C" w:rsidRPr="001E7AA4">
        <w:t>-</w:t>
      </w:r>
      <w:r w:rsidRPr="001E7AA4">
        <w:t xml:space="preserve">sector providers in particular are subject to both TEQSA and </w:t>
      </w:r>
      <w:r w:rsidR="00781855" w:rsidRPr="001E7AA4">
        <w:t xml:space="preserve">the </w:t>
      </w:r>
      <w:r w:rsidR="00D24560" w:rsidRPr="001E7AA4">
        <w:rPr>
          <w:rStyle w:val="normaltextrun"/>
          <w:rFonts w:ascii="Calibri" w:hAnsi="Calibri" w:cs="Calibri"/>
        </w:rPr>
        <w:t>Australian Skills Quality Authority (</w:t>
      </w:r>
      <w:r w:rsidRPr="001E7AA4">
        <w:t>ASQA</w:t>
      </w:r>
      <w:r w:rsidR="00D24560" w:rsidRPr="001E7AA4">
        <w:t>)</w:t>
      </w:r>
      <w:r w:rsidRPr="001E7AA4">
        <w:t xml:space="preserve"> regulations (or state-based regulations if based in Western Australia and Victoria). </w:t>
      </w:r>
    </w:p>
    <w:p w14:paraId="0E7C046C" w14:textId="39075051" w:rsidR="00841573" w:rsidRPr="00B65F5B" w:rsidRDefault="00841573" w:rsidP="00A356D9">
      <w:pPr>
        <w:pStyle w:val="Quote"/>
      </w:pPr>
      <w:r w:rsidRPr="00B65F5B">
        <w:t xml:space="preserve"> “The fragmentation, complexity and sluggishness of the wider systems of accreditation, funding and regulation </w:t>
      </w:r>
      <w:r w:rsidRPr="00A356D9">
        <w:t>currently</w:t>
      </w:r>
      <w:r w:rsidRPr="00B65F5B">
        <w:t xml:space="preserve"> stand in the way of developing more innovative, relevant and cost-effective tertiary education activities” </w:t>
      </w:r>
      <w:r w:rsidR="00A356D9" w:rsidRPr="00B65F5B">
        <w:br/>
      </w:r>
      <w:r w:rsidRPr="00B65F5B">
        <w:t xml:space="preserve">– Australia’s Dual Sector Universities </w:t>
      </w:r>
    </w:p>
    <w:p w14:paraId="46C260AD" w14:textId="6B03AA49" w:rsidR="00841573" w:rsidRPr="001E7AA4" w:rsidRDefault="00841573" w:rsidP="00A356D9">
      <w:pPr>
        <w:pStyle w:val="Heading6"/>
      </w:pPr>
      <w:r w:rsidRPr="001E7AA4">
        <w:t>3.1.3.1 The Tertiary Education Quality and Standards Agency</w:t>
      </w:r>
    </w:p>
    <w:p w14:paraId="2A03A497" w14:textId="577F0A89" w:rsidR="00841573" w:rsidRPr="001E7AA4" w:rsidRDefault="00841573" w:rsidP="00841573">
      <w:pPr>
        <w:rPr>
          <w:rStyle w:val="normaltextrun"/>
          <w:rFonts w:ascii="Calibri" w:hAnsi="Calibri" w:cs="Calibri"/>
          <w:color w:val="000000"/>
        </w:rPr>
      </w:pPr>
      <w:r w:rsidRPr="001E7AA4">
        <w:rPr>
          <w:rStyle w:val="normaltextrun"/>
          <w:rFonts w:ascii="Calibri" w:hAnsi="Calibri" w:cs="Calibri"/>
          <w:color w:val="000000"/>
        </w:rPr>
        <w:t>The establishment of TEQSA has been a significant achievement in Australian higher education. It, along with ASQA, plays a critical quality assurance role to maintain the quality and international standing of Australia’s tertiary education system.</w:t>
      </w:r>
    </w:p>
    <w:p w14:paraId="68CE033A" w14:textId="3FC4160B" w:rsidR="00841573" w:rsidRPr="001E7AA4" w:rsidRDefault="00841573" w:rsidP="00841573">
      <w:pPr>
        <w:rPr>
          <w:rStyle w:val="eop"/>
          <w:rFonts w:ascii="Calibri" w:hAnsi="Calibri" w:cs="Calibri"/>
          <w:color w:val="000000" w:themeColor="text1"/>
        </w:rPr>
      </w:pPr>
      <w:r w:rsidRPr="001E7AA4">
        <w:rPr>
          <w:rStyle w:val="normaltextrun"/>
          <w:rFonts w:ascii="Calibri" w:hAnsi="Calibri" w:cs="Calibri"/>
          <w:color w:val="000000" w:themeColor="text1"/>
        </w:rPr>
        <w:t>The Review has heard concerns that TEQSA’s current compliance-based approach could better reflect its legislative principles of regulation of necessity, risk and proportionality.</w:t>
      </w:r>
      <w:r w:rsidRPr="001E7AA4">
        <w:rPr>
          <w:rStyle w:val="eop"/>
          <w:rFonts w:ascii="Calibri" w:hAnsi="Calibri" w:cs="Calibri"/>
          <w:color w:val="000000" w:themeColor="text1"/>
        </w:rPr>
        <w:t xml:space="preserve"> Current requirements around registration and accreditation processes risk slowing responsiveness of institutions, particularly non-self-accrediting institutions wh</w:t>
      </w:r>
      <w:r w:rsidR="006D0BD9" w:rsidRPr="001E7AA4">
        <w:rPr>
          <w:rStyle w:val="eop"/>
          <w:rFonts w:ascii="Calibri" w:hAnsi="Calibri" w:cs="Calibri"/>
          <w:color w:val="000000" w:themeColor="text1"/>
        </w:rPr>
        <w:t>ich</w:t>
      </w:r>
      <w:r w:rsidRPr="001E7AA4">
        <w:rPr>
          <w:rStyle w:val="eop"/>
          <w:rFonts w:ascii="Calibri" w:hAnsi="Calibri" w:cs="Calibri"/>
          <w:color w:val="000000" w:themeColor="text1"/>
        </w:rPr>
        <w:t xml:space="preserve"> are subjected to increased regulation. </w:t>
      </w:r>
    </w:p>
    <w:p w14:paraId="425EC81F" w14:textId="77777777" w:rsidR="00841573" w:rsidRPr="001E7AA4" w:rsidRDefault="00841573" w:rsidP="00841573">
      <w:pPr>
        <w:rPr>
          <w:rStyle w:val="normaltextrun"/>
          <w:rFonts w:ascii="Calibri" w:hAnsi="Calibri" w:cs="Calibri"/>
        </w:rPr>
      </w:pPr>
      <w:r w:rsidRPr="001E7AA4">
        <w:rPr>
          <w:rStyle w:val="normaltextrun"/>
          <w:rFonts w:ascii="Calibri" w:hAnsi="Calibri" w:cs="Calibri"/>
          <w:color w:val="000000" w:themeColor="text1"/>
        </w:rPr>
        <w:t xml:space="preserve">The Review is aware TEQSA is currently moving towards a prudential regulatory approach, to tier its assurance and reporting requirements according to provider risk. This will better differentiate the regulatory intensity required for different providers and in some cases reduce the regulatory burden. </w:t>
      </w:r>
      <w:r w:rsidRPr="001E7AA4">
        <w:rPr>
          <w:rStyle w:val="normaltextrun"/>
          <w:rFonts w:ascii="Calibri" w:hAnsi="Calibri" w:cs="Calibri"/>
        </w:rPr>
        <w:t>It may also lead to a shift from a focus on meeting threshold standards to exceeding standards for excellence.</w:t>
      </w:r>
    </w:p>
    <w:p w14:paraId="59C8A60D" w14:textId="06A8ABC2" w:rsidR="00841573" w:rsidRPr="001E7AA4" w:rsidRDefault="00841573" w:rsidP="00A52C56">
      <w:pPr>
        <w:pStyle w:val="Heading6"/>
      </w:pPr>
      <w:r w:rsidRPr="001E7AA4">
        <w:t>3.1.3.2 Towards a new regulatory environment</w:t>
      </w:r>
    </w:p>
    <w:p w14:paraId="01973491" w14:textId="17170016" w:rsidR="00841573" w:rsidRPr="001E7AA4" w:rsidRDefault="00841573" w:rsidP="30B8EBF7">
      <w:pPr>
        <w:spacing w:after="120"/>
        <w:textAlignment w:val="baseline"/>
        <w:rPr>
          <w:rStyle w:val="normaltextrun"/>
          <w:rFonts w:ascii="Calibri" w:hAnsi="Calibri" w:cs="Calibri"/>
        </w:rPr>
      </w:pPr>
      <w:r w:rsidRPr="001E7AA4">
        <w:rPr>
          <w:rStyle w:val="normaltextrun"/>
          <w:rFonts w:ascii="Calibri" w:hAnsi="Calibri" w:cs="Calibri"/>
        </w:rPr>
        <w:t>Institutions face multiple and differing regulatory requirements, including from TEQSA, ASQA, professional accreditation bodies and government agencies. The intersection between TEQSA and AQSA is critical, and many submissions called for greater convergence between agencies.</w:t>
      </w:r>
    </w:p>
    <w:p w14:paraId="20C84B1C" w14:textId="044A5BE0" w:rsidR="00841573" w:rsidRPr="00972803" w:rsidRDefault="00841573" w:rsidP="00972803">
      <w:pPr>
        <w:pStyle w:val="Quote"/>
      </w:pPr>
      <w:r w:rsidRPr="00972803">
        <w:lastRenderedPageBreak/>
        <w:t xml:space="preserve">“While the delivery and assessment of qualifications differ between higher education and skills training, there remain common governance and administrative obligations that both agencies seek to regulate. The result is a duplication of regulatory processes and a red tape burden for dual sector providers.” </w:t>
      </w:r>
      <w:r w:rsidR="00972803">
        <w:br/>
      </w:r>
      <w:r w:rsidRPr="00972803">
        <w:t xml:space="preserve">– Independent Tertiary Education Council of Australia </w:t>
      </w:r>
    </w:p>
    <w:p w14:paraId="3EF63FFF" w14:textId="3C6A98F1" w:rsidR="00841573" w:rsidRPr="001E7AA4" w:rsidRDefault="00841573" w:rsidP="00841573">
      <w:pPr>
        <w:rPr>
          <w:rStyle w:val="normaltextrun"/>
          <w:rFonts w:ascii="Calibri" w:hAnsi="Calibri" w:cs="Calibri"/>
        </w:rPr>
      </w:pPr>
      <w:r w:rsidRPr="001E7AA4">
        <w:rPr>
          <w:rStyle w:val="normaltextrun"/>
          <w:rFonts w:ascii="Calibri" w:hAnsi="Calibri" w:cs="Calibri"/>
        </w:rPr>
        <w:t>There are multiple areas of duplication in regulatory and reporting requirements, including financial management, student information and grievance complaints.</w:t>
      </w:r>
      <w:r w:rsidRPr="001E7AA4">
        <w:rPr>
          <w:rStyle w:val="FootnoteReference"/>
          <w:rFonts w:ascii="Calibri" w:hAnsi="Calibri" w:cs="Calibri"/>
        </w:rPr>
        <w:footnoteReference w:id="148"/>
      </w:r>
      <w:r w:rsidRPr="001E7AA4">
        <w:rPr>
          <w:rStyle w:val="normaltextrun"/>
          <w:rFonts w:ascii="Calibri" w:hAnsi="Calibri" w:cs="Calibri"/>
        </w:rPr>
        <w:t xml:space="preserve"> This administrative burden may have contributed to the decline in dual sector providers across the last 10 years.</w:t>
      </w:r>
    </w:p>
    <w:p w14:paraId="08020247" w14:textId="77777777" w:rsidR="00841573" w:rsidRPr="001E7AA4" w:rsidRDefault="00841573" w:rsidP="00841573">
      <w:pPr>
        <w:rPr>
          <w:rStyle w:val="normaltextrun"/>
          <w:rFonts w:ascii="Calibri" w:hAnsi="Calibri" w:cs="Calibri"/>
        </w:rPr>
      </w:pPr>
      <w:r w:rsidRPr="001E7AA4">
        <w:rPr>
          <w:rStyle w:val="normaltextrun"/>
          <w:rFonts w:ascii="Calibri" w:hAnsi="Calibri" w:cs="Calibri"/>
        </w:rPr>
        <w:t>Under a new vision of the tertiary education system, the roles of TEQSA and ASQA as parallel regulators could be reassessed. Shorter term actions to alleviate this burden may include aligning reporting in areas such as corporate governance and accountability, facilities and infrastructure, student complaints, staffing and student information. More fundamental changes to regulatory structures could be considered in the longer term.</w:t>
      </w:r>
    </w:p>
    <w:p w14:paraId="501E177D" w14:textId="2FDD90CC" w:rsidR="00841573" w:rsidRPr="001E7AA4" w:rsidRDefault="00841573" w:rsidP="00841573">
      <w:pPr>
        <w:rPr>
          <w:rStyle w:val="normaltextrun"/>
          <w:rFonts w:ascii="Calibri" w:hAnsi="Calibri" w:cs="Calibri"/>
        </w:rPr>
      </w:pPr>
      <w:r w:rsidRPr="001E7AA4">
        <w:rPr>
          <w:rStyle w:val="normaltextrun"/>
          <w:rFonts w:ascii="Calibri" w:hAnsi="Calibri" w:cs="Calibri"/>
        </w:rPr>
        <w:t>There are a range of considerations to this, however</w:t>
      </w:r>
      <w:r w:rsidR="00577ABF" w:rsidRPr="001E7AA4">
        <w:rPr>
          <w:rStyle w:val="normaltextrun"/>
          <w:rFonts w:ascii="Calibri" w:hAnsi="Calibri" w:cs="Calibri"/>
        </w:rPr>
        <w:t>.</w:t>
      </w:r>
      <w:r w:rsidRPr="001E7AA4">
        <w:rPr>
          <w:rStyle w:val="normaltextrun"/>
          <w:rFonts w:ascii="Calibri" w:hAnsi="Calibri" w:cs="Calibri"/>
        </w:rPr>
        <w:t xml:space="preserve"> </w:t>
      </w:r>
      <w:r w:rsidR="00577ABF" w:rsidRPr="001E7AA4">
        <w:rPr>
          <w:rStyle w:val="normaltextrun"/>
          <w:rFonts w:ascii="Calibri" w:hAnsi="Calibri" w:cs="Calibri"/>
        </w:rPr>
        <w:t>T</w:t>
      </w:r>
      <w:r w:rsidRPr="001E7AA4">
        <w:rPr>
          <w:rStyle w:val="normaltextrun"/>
          <w:rFonts w:ascii="Calibri" w:hAnsi="Calibri" w:cs="Calibri"/>
        </w:rPr>
        <w:t xml:space="preserve">he Review notes opportunities to trial streamlined arrangements for </w:t>
      </w:r>
      <w:r w:rsidR="003525F9" w:rsidRPr="001E7AA4">
        <w:rPr>
          <w:rStyle w:val="normaltextrun"/>
          <w:rFonts w:ascii="Calibri" w:hAnsi="Calibri" w:cs="Calibri"/>
        </w:rPr>
        <w:t>dual sector</w:t>
      </w:r>
      <w:r w:rsidRPr="001E7AA4">
        <w:rPr>
          <w:rStyle w:val="normaltextrun"/>
          <w:rFonts w:ascii="Calibri" w:hAnsi="Calibri" w:cs="Calibri"/>
        </w:rPr>
        <w:t xml:space="preserve"> higher education providers</w:t>
      </w:r>
      <w:r w:rsidR="00130A5F" w:rsidRPr="001E7AA4">
        <w:rPr>
          <w:rStyle w:val="normaltextrun"/>
          <w:rFonts w:ascii="Calibri" w:hAnsi="Calibri" w:cs="Calibri"/>
        </w:rPr>
        <w:t xml:space="preserve"> and</w:t>
      </w:r>
      <w:r w:rsidR="001D1E8B" w:rsidRPr="001E7AA4">
        <w:t xml:space="preserve"> selected</w:t>
      </w:r>
      <w:r w:rsidR="00130A5F" w:rsidRPr="001E7AA4">
        <w:t xml:space="preserve"> TAFEs</w:t>
      </w:r>
      <w:r w:rsidR="001D1E8B" w:rsidRPr="001E7AA4">
        <w:t xml:space="preserve"> wh</w:t>
      </w:r>
      <w:r w:rsidR="000C4018" w:rsidRPr="001E7AA4">
        <w:t>ich</w:t>
      </w:r>
      <w:r w:rsidR="001D1E8B" w:rsidRPr="001E7AA4">
        <w:t xml:space="preserve"> meet minimum thresholds, in their VET operations</w:t>
      </w:r>
      <w:r w:rsidRPr="001E7AA4">
        <w:rPr>
          <w:rStyle w:val="normaltextrun"/>
          <w:rFonts w:ascii="Calibri" w:hAnsi="Calibri" w:cs="Calibri"/>
        </w:rPr>
        <w:t>. This could mean dual sector providers need only be registered with only one regulatory agency, or for a system of automatic reciprocal registration. It could also mean moving towards self-accreditation for VET curriculum, possibly beginning with a trial of</w:t>
      </w:r>
      <w:r w:rsidR="004332D2" w:rsidRPr="001E7AA4">
        <w:rPr>
          <w:rStyle w:val="normaltextrun"/>
          <w:rFonts w:ascii="Calibri" w:hAnsi="Calibri" w:cs="Calibri"/>
        </w:rPr>
        <w:t xml:space="preserve"> dual-sector</w:t>
      </w:r>
      <w:r w:rsidRPr="001E7AA4">
        <w:rPr>
          <w:rStyle w:val="normaltextrun"/>
          <w:rFonts w:ascii="Calibri" w:hAnsi="Calibri" w:cs="Calibri"/>
        </w:rPr>
        <w:t xml:space="preserve"> universities wh</w:t>
      </w:r>
      <w:r w:rsidR="00577ABF" w:rsidRPr="001E7AA4">
        <w:rPr>
          <w:rStyle w:val="normaltextrun"/>
          <w:rFonts w:ascii="Calibri" w:hAnsi="Calibri" w:cs="Calibri"/>
        </w:rPr>
        <w:t>ich</w:t>
      </w:r>
      <w:r w:rsidRPr="001E7AA4">
        <w:rPr>
          <w:rStyle w:val="normaltextrun"/>
          <w:rFonts w:ascii="Calibri" w:hAnsi="Calibri" w:cs="Calibri"/>
        </w:rPr>
        <w:t xml:space="preserve"> already self-accredit their course content for higher education. Substantive reforms are likely to require changes to the threshold standards and legislation.</w:t>
      </w:r>
    </w:p>
    <w:p w14:paraId="2D77EB01" w14:textId="160F7B48" w:rsidR="00841573" w:rsidRPr="00E61ECB" w:rsidRDefault="00841573" w:rsidP="00E61ECB">
      <w:pPr>
        <w:pStyle w:val="Quote"/>
      </w:pPr>
      <w:r w:rsidRPr="00E61ECB">
        <w:t xml:space="preserve">“Having to deal with two separate regulators with separate compliance requirements, rules, processes and auditing approaches means the goal of a more integrated system is unnecessarily complicated and impeded.” </w:t>
      </w:r>
      <w:r w:rsidR="00E61ECB" w:rsidRPr="00E61ECB">
        <w:br/>
      </w:r>
      <w:r w:rsidRPr="00E61ECB">
        <w:t>– Central Queensland University</w:t>
      </w:r>
    </w:p>
    <w:p w14:paraId="6C7F61F9" w14:textId="0FD1E10F" w:rsidR="00841573" w:rsidRPr="001E7AA4" w:rsidRDefault="352625F3" w:rsidP="00972803">
      <w:pPr>
        <w:pStyle w:val="Heading5"/>
      </w:pPr>
      <w:bookmarkStart w:id="347" w:name="_Toc136259248"/>
      <w:bookmarkStart w:id="348" w:name="_Toc137829586"/>
      <w:bookmarkStart w:id="349" w:name="_Toc1687254227"/>
      <w:bookmarkStart w:id="350" w:name="_Toc139028918"/>
      <w:r w:rsidRPr="001E7AA4">
        <w:t xml:space="preserve">3.1.4 </w:t>
      </w:r>
      <w:bookmarkEnd w:id="347"/>
      <w:r w:rsidRPr="001E7AA4">
        <w:t>National leadership for a new system</w:t>
      </w:r>
      <w:bookmarkEnd w:id="348"/>
      <w:bookmarkEnd w:id="349"/>
      <w:bookmarkEnd w:id="350"/>
    </w:p>
    <w:p w14:paraId="37952214" w14:textId="77777777" w:rsidR="002B525D" w:rsidRDefault="00841573" w:rsidP="00841573">
      <w:r w:rsidRPr="001E7AA4">
        <w:t>Australia needs new leadership for the national tertiary education system as an interconnected whole.</w:t>
      </w:r>
    </w:p>
    <w:p w14:paraId="01D92EBB" w14:textId="03E27149" w:rsidR="005168F7" w:rsidRDefault="005168F7" w:rsidP="005168F7">
      <w:pPr>
        <w:pStyle w:val="Pulloutboxes"/>
      </w:pPr>
      <w:r w:rsidRPr="00D71585">
        <w:t>The Review is considering the benefits of the establishment of a Tertiary Education Commission, charged with overseeing the development of a fit-for-purpose tertiary system and operating with a degree of independence from Government.</w:t>
      </w:r>
    </w:p>
    <w:p w14:paraId="6DDE7AC6" w14:textId="6E9F605B" w:rsidR="005F5864" w:rsidRDefault="00841573" w:rsidP="00841573">
      <w:r w:rsidRPr="001E7AA4">
        <w:t>A national body purposefully convened for sector oversight would possess the expertise and authority to drive the strategic direction of tertiary education, guiding institutions as they navigate the complex and evolving education landscape.</w:t>
      </w:r>
    </w:p>
    <w:p w14:paraId="73407266" w14:textId="77777777" w:rsidR="005F5864" w:rsidRDefault="005F5864">
      <w:pPr>
        <w:spacing w:after="160"/>
      </w:pPr>
      <w:r>
        <w:br w:type="page"/>
      </w:r>
    </w:p>
    <w:p w14:paraId="0B18FEBC" w14:textId="77777777" w:rsidR="00841573" w:rsidRDefault="00841573" w:rsidP="00841573">
      <w:r w:rsidRPr="001E7AA4">
        <w:lastRenderedPageBreak/>
        <w:t>Similar models have successfully shaped periods of change in the sector in the past, including the Universities Commission which was central to delivering the post war reconstruction agenda in the 1940s and 1950s, and its successor body, the Commonwealth Tertiary Education Commission of the 1970s and 1980s.</w:t>
      </w:r>
      <w:r w:rsidRPr="001E7AA4">
        <w:rPr>
          <w:rStyle w:val="FootnoteReference"/>
        </w:rPr>
        <w:footnoteReference w:id="149"/>
      </w:r>
    </w:p>
    <w:tbl>
      <w:tblPr>
        <w:tblStyle w:val="CaseStudy0"/>
        <w:tblW w:w="0" w:type="auto"/>
        <w:tblLook w:val="04A0" w:firstRow="1" w:lastRow="0" w:firstColumn="1" w:lastColumn="0" w:noHBand="0" w:noVBand="1"/>
      </w:tblPr>
      <w:tblGrid>
        <w:gridCol w:w="9016"/>
      </w:tblGrid>
      <w:tr w:rsidR="005F5864" w14:paraId="68880640" w14:textId="77777777" w:rsidTr="005F5864">
        <w:tc>
          <w:tcPr>
            <w:tcW w:w="9016" w:type="dxa"/>
          </w:tcPr>
          <w:p w14:paraId="051E4F03" w14:textId="77777777" w:rsidR="000F2103" w:rsidRPr="005168F7" w:rsidRDefault="000F2103" w:rsidP="000F2103">
            <w:pPr>
              <w:pStyle w:val="CaseStudy-Heading"/>
            </w:pPr>
            <w:r w:rsidRPr="005168F7">
              <w:t>Case study: The former Commonwealth Tertiary Education Commission (CTEC)</w:t>
            </w:r>
          </w:p>
          <w:p w14:paraId="76C9D358" w14:textId="77777777" w:rsidR="000F2103" w:rsidRPr="001E7AA4" w:rsidRDefault="000F2103" w:rsidP="000F2103">
            <w:r w:rsidRPr="001E7AA4">
              <w:t>Following a period of strong sector growth in the late 1960s and early 1970s, in 1977 the Australian Universities Commission and the Australian Commission on Advanced Education were replaced with the Tertiary Education Commission, later becoming the CTEC. CTEC was internal to government, yet partly independent of the minister of the day. It both provided advice to the minister and undertook some administrative functions directly.</w:t>
            </w:r>
          </w:p>
          <w:p w14:paraId="37BDCC15" w14:textId="77777777" w:rsidR="000F2103" w:rsidRPr="001E7AA4" w:rsidRDefault="000F2103" w:rsidP="000F2103">
            <w:pPr>
              <w:spacing w:after="120"/>
            </w:pPr>
            <w:r w:rsidRPr="001E7AA4">
              <w:t>The objects of CTEC were to promote:</w:t>
            </w:r>
          </w:p>
          <w:p w14:paraId="074B17E0" w14:textId="77777777" w:rsidR="000F2103" w:rsidRPr="001E7AA4" w:rsidRDefault="000F2103" w:rsidP="000F2103">
            <w:pPr>
              <w:pStyle w:val="ListBullet"/>
            </w:pPr>
            <w:r w:rsidRPr="001E7AA4">
              <w:t>the balanced and coordinated development of tertiary education in Australia</w:t>
            </w:r>
          </w:p>
          <w:p w14:paraId="66DFA279" w14:textId="77777777" w:rsidR="000F2103" w:rsidRPr="001E7AA4" w:rsidRDefault="000F2103" w:rsidP="000F2103">
            <w:pPr>
              <w:pStyle w:val="ListBullet"/>
            </w:pPr>
            <w:r w:rsidRPr="001E7AA4">
              <w:t>the diversifying of opportunities for tertiary education</w:t>
            </w:r>
          </w:p>
          <w:p w14:paraId="2C68DB58" w14:textId="77777777" w:rsidR="000F2103" w:rsidRPr="001E7AA4" w:rsidRDefault="000F2103" w:rsidP="000F2103">
            <w:pPr>
              <w:pStyle w:val="ListBullet"/>
            </w:pPr>
            <w:r w:rsidRPr="001E7AA4">
              <w:t>closer cooperation and association between the various kinds of tertiary institution.</w:t>
            </w:r>
          </w:p>
          <w:p w14:paraId="56E9F5D0" w14:textId="5673F797" w:rsidR="005F5864" w:rsidRDefault="000F2103" w:rsidP="000F2103">
            <w:pPr>
              <w:spacing w:after="120"/>
            </w:pPr>
            <w:r w:rsidRPr="001E7AA4">
              <w:t>TAFEs were included in the merged body allowing one organisation to coordinate funding for all post school education, prevent duplication and improve consultation with the states. CTEC aimed to promote the balanced development of the whole sector and better consider the interactions between the sub-sectors.</w:t>
            </w:r>
            <w:r w:rsidRPr="001E7AA4">
              <w:rPr>
                <w:rStyle w:val="FootnoteReference"/>
              </w:rPr>
              <w:footnoteReference w:id="150"/>
            </w:r>
          </w:p>
        </w:tc>
      </w:tr>
    </w:tbl>
    <w:p w14:paraId="41B43515" w14:textId="53BC383E" w:rsidR="00841573" w:rsidRPr="001E7AA4" w:rsidRDefault="00841573" w:rsidP="00972803">
      <w:pPr>
        <w:pStyle w:val="Heading6"/>
      </w:pPr>
      <w:r w:rsidRPr="001E7AA4">
        <w:t>3.1.4.</w:t>
      </w:r>
      <w:r w:rsidR="004B3679" w:rsidRPr="001E7AA4">
        <w:t>1</w:t>
      </w:r>
      <w:r w:rsidRPr="001E7AA4">
        <w:t xml:space="preserve"> What would a new body achieve?</w:t>
      </w:r>
    </w:p>
    <w:p w14:paraId="396538AD" w14:textId="34228CF4" w:rsidR="00841573" w:rsidRPr="001E7AA4" w:rsidRDefault="00841573" w:rsidP="00841573">
      <w:pPr>
        <w:rPr>
          <w:rStyle w:val="normaltextrun"/>
          <w:rFonts w:ascii="Calibri" w:hAnsi="Calibri" w:cs="Calibri"/>
        </w:rPr>
      </w:pPr>
      <w:r w:rsidRPr="001E7AA4">
        <w:t>The core function of the</w:t>
      </w:r>
      <w:r w:rsidR="0078403E" w:rsidRPr="001E7AA4">
        <w:t xml:space="preserve"> </w:t>
      </w:r>
      <w:r w:rsidRPr="001E7AA4">
        <w:t>T</w:t>
      </w:r>
      <w:r w:rsidR="00046F73" w:rsidRPr="001E7AA4">
        <w:t xml:space="preserve">ertiary Education Commission </w:t>
      </w:r>
      <w:r w:rsidRPr="001E7AA4">
        <w:t xml:space="preserve">would be to promote long-term strategic thinking across the tertiary education sector. This would include </w:t>
      </w:r>
      <w:r w:rsidRPr="001E7AA4">
        <w:rPr>
          <w:rStyle w:val="normaltextrun"/>
          <w:rFonts w:ascii="Calibri" w:hAnsi="Calibri" w:cs="Calibri"/>
        </w:rPr>
        <w:t xml:space="preserve">advising </w:t>
      </w:r>
      <w:r w:rsidR="626E9403" w:rsidRPr="001E7AA4">
        <w:rPr>
          <w:rStyle w:val="normaltextrun"/>
          <w:rFonts w:ascii="Calibri" w:hAnsi="Calibri" w:cs="Calibri"/>
        </w:rPr>
        <w:t>G</w:t>
      </w:r>
      <w:r w:rsidRPr="001E7AA4">
        <w:rPr>
          <w:rStyle w:val="normaltextrun"/>
          <w:rFonts w:ascii="Calibri" w:hAnsi="Calibri" w:cs="Calibri"/>
        </w:rPr>
        <w:t xml:space="preserve">overnment on policy reform and implementation, coordinating and negotiating activities with institutions in line with </w:t>
      </w:r>
      <w:r w:rsidR="111D530F" w:rsidRPr="001E7AA4">
        <w:rPr>
          <w:rStyle w:val="normaltextrun"/>
          <w:rFonts w:ascii="Calibri" w:hAnsi="Calibri" w:cs="Calibri"/>
        </w:rPr>
        <w:t xml:space="preserve">national </w:t>
      </w:r>
      <w:r w:rsidRPr="001E7AA4">
        <w:rPr>
          <w:rStyle w:val="normaltextrun"/>
          <w:rFonts w:ascii="Calibri" w:hAnsi="Calibri" w:cs="Calibri"/>
        </w:rPr>
        <w:t>priorities</w:t>
      </w:r>
      <w:r w:rsidR="00EB12A9" w:rsidRPr="001E7AA4">
        <w:rPr>
          <w:rStyle w:val="normaltextrun"/>
          <w:rFonts w:ascii="Calibri" w:hAnsi="Calibri" w:cs="Calibri"/>
        </w:rPr>
        <w:t>,</w:t>
      </w:r>
      <w:r w:rsidRPr="001E7AA4">
        <w:rPr>
          <w:rStyle w:val="normaltextrun"/>
          <w:rFonts w:ascii="Calibri" w:hAnsi="Calibri" w:cs="Calibri"/>
        </w:rPr>
        <w:t xml:space="preserve"> and tracking domestic and international trends.</w:t>
      </w:r>
    </w:p>
    <w:p w14:paraId="7B3C1AB6" w14:textId="10B5D24D" w:rsidR="00841573" w:rsidRPr="00972803" w:rsidRDefault="00841573" w:rsidP="00972803">
      <w:pPr>
        <w:pStyle w:val="Quote"/>
      </w:pPr>
      <w:r w:rsidRPr="00972803">
        <w:t xml:space="preserve">“The role of the Commission, in general terms, would be to provide long term, coordinated, and expert advice to government on higher education policy matters. This would ensure that the tertiary education sector is established and maintained as a seamless sector, responsive to the changing needs of the Australian community and economy and with a continuity of approach across electoral cycles.” </w:t>
      </w:r>
      <w:r w:rsidR="00972803" w:rsidRPr="00972803">
        <w:br/>
      </w:r>
      <w:r w:rsidRPr="00972803">
        <w:t xml:space="preserve">– The Group of Eight </w:t>
      </w:r>
    </w:p>
    <w:p w14:paraId="4BD9BE77" w14:textId="2C86456F" w:rsidR="00841573" w:rsidRPr="001E7AA4" w:rsidRDefault="4D21372E" w:rsidP="00841573">
      <w:pPr>
        <w:rPr>
          <w:rStyle w:val="ui-provider"/>
        </w:rPr>
      </w:pPr>
      <w:r w:rsidRPr="001E7AA4">
        <w:rPr>
          <w:rStyle w:val="ui-provider"/>
        </w:rPr>
        <w:t>A</w:t>
      </w:r>
      <w:r w:rsidR="5EC6FB66" w:rsidRPr="001E7AA4">
        <w:rPr>
          <w:rStyle w:val="ui-provider"/>
        </w:rPr>
        <w:t>nother</w:t>
      </w:r>
      <w:r w:rsidR="00841573" w:rsidRPr="001E7AA4">
        <w:rPr>
          <w:rStyle w:val="ui-provider"/>
        </w:rPr>
        <w:t xml:space="preserve"> key role for the </w:t>
      </w:r>
      <w:r w:rsidR="00046F73" w:rsidRPr="001E7AA4">
        <w:t>Tertiary Education Commission</w:t>
      </w:r>
      <w:r w:rsidR="00841573" w:rsidRPr="001E7AA4">
        <w:rPr>
          <w:rStyle w:val="ui-provider"/>
        </w:rPr>
        <w:t xml:space="preserve"> </w:t>
      </w:r>
      <w:r w:rsidR="351C06DC" w:rsidRPr="001E7AA4">
        <w:rPr>
          <w:rStyle w:val="ui-provider"/>
        </w:rPr>
        <w:t>c</w:t>
      </w:r>
      <w:r w:rsidR="00841573" w:rsidRPr="001E7AA4">
        <w:rPr>
          <w:rStyle w:val="ui-provider"/>
        </w:rPr>
        <w:t>ould be</w:t>
      </w:r>
      <w:r w:rsidRPr="001E7AA4">
        <w:rPr>
          <w:rStyle w:val="ui-provider"/>
        </w:rPr>
        <w:t xml:space="preserve"> </w:t>
      </w:r>
      <w:r w:rsidR="4B13FD22" w:rsidRPr="001E7AA4">
        <w:rPr>
          <w:rStyle w:val="ui-provider"/>
        </w:rPr>
        <w:t>to</w:t>
      </w:r>
      <w:r w:rsidR="00841573" w:rsidRPr="001E7AA4">
        <w:rPr>
          <w:rStyle w:val="ui-provider"/>
        </w:rPr>
        <w:t xml:space="preserve"> </w:t>
      </w:r>
      <w:r w:rsidR="00C85432" w:rsidRPr="001E7AA4">
        <w:rPr>
          <w:rStyle w:val="ui-provider"/>
        </w:rPr>
        <w:t>support the</w:t>
      </w:r>
      <w:r w:rsidR="00841573" w:rsidRPr="001E7AA4">
        <w:rPr>
          <w:rStyle w:val="ui-provider"/>
        </w:rPr>
        <w:t xml:space="preserve"> Accord. The ongoing and multidecadal nature of </w:t>
      </w:r>
      <w:r w:rsidR="008E4876" w:rsidRPr="001E7AA4">
        <w:rPr>
          <w:rStyle w:val="ui-provider"/>
        </w:rPr>
        <w:t>the</w:t>
      </w:r>
      <w:r w:rsidR="00841573" w:rsidRPr="001E7AA4">
        <w:rPr>
          <w:rStyle w:val="ui-provider"/>
        </w:rPr>
        <w:t xml:space="preserve"> Accord </w:t>
      </w:r>
      <w:r w:rsidR="0078403E" w:rsidRPr="001E7AA4">
        <w:rPr>
          <w:rStyle w:val="ui-provider"/>
        </w:rPr>
        <w:t xml:space="preserve">is </w:t>
      </w:r>
      <w:r w:rsidR="00432322" w:rsidRPr="001E7AA4">
        <w:rPr>
          <w:rStyle w:val="ui-provider"/>
        </w:rPr>
        <w:t>likely</w:t>
      </w:r>
      <w:r w:rsidR="0078403E" w:rsidRPr="001E7AA4">
        <w:rPr>
          <w:rStyle w:val="ui-provider"/>
        </w:rPr>
        <w:t xml:space="preserve"> to </w:t>
      </w:r>
      <w:r w:rsidR="00841573" w:rsidRPr="001E7AA4">
        <w:rPr>
          <w:rStyle w:val="ui-provider"/>
        </w:rPr>
        <w:t>require a body with a mandate of stability and longevity, and the capacity to undertake expert analysis on the changing needs of the sector and society. This includes independently monitoring progress against mutually agreed upon deliverables such as attainment targets and progress towards a more equitable system.</w:t>
      </w:r>
    </w:p>
    <w:p w14:paraId="7B6CA8EE" w14:textId="6235E7FA" w:rsidR="00841573" w:rsidRPr="001E7AA4" w:rsidRDefault="00841573" w:rsidP="00841573">
      <w:pPr>
        <w:rPr>
          <w:rStyle w:val="normaltextrun"/>
          <w:rFonts w:ascii="Calibri" w:hAnsi="Calibri" w:cs="Calibri"/>
        </w:rPr>
      </w:pPr>
      <w:r w:rsidRPr="001E7AA4">
        <w:rPr>
          <w:rStyle w:val="ui-provider"/>
        </w:rPr>
        <w:lastRenderedPageBreak/>
        <w:t xml:space="preserve">By drawing together higher education policy experts and sectoral representatives, the </w:t>
      </w:r>
      <w:r w:rsidR="00046F73" w:rsidRPr="001E7AA4">
        <w:t>Tertiary Education Commission</w:t>
      </w:r>
      <w:r w:rsidRPr="001E7AA4">
        <w:rPr>
          <w:rStyle w:val="ui-provider"/>
        </w:rPr>
        <w:t xml:space="preserve"> could establish buy-in to the Accord’s reforms among the m</w:t>
      </w:r>
      <w:r w:rsidRPr="001E7AA4">
        <w:rPr>
          <w:rStyle w:val="normaltextrun"/>
          <w:rFonts w:ascii="Calibri" w:hAnsi="Calibri" w:cs="Calibri"/>
        </w:rPr>
        <w:t xml:space="preserve">any different types of institutions and diverse stakeholders, leveraging the collective resources of the sector to drive better outcomes. The </w:t>
      </w:r>
      <w:r w:rsidR="00046F73" w:rsidRPr="001E7AA4">
        <w:t>Tertiary Education Commission</w:t>
      </w:r>
      <w:r w:rsidRPr="001E7AA4">
        <w:rPr>
          <w:rStyle w:val="normaltextrun"/>
          <w:rFonts w:ascii="Calibri" w:hAnsi="Calibri" w:cs="Calibri"/>
        </w:rPr>
        <w:t xml:space="preserve"> would also need to work closely with, among others, </w:t>
      </w:r>
      <w:r w:rsidR="006F0F6B" w:rsidRPr="001E7AA4">
        <w:rPr>
          <w:rStyle w:val="normaltextrun"/>
          <w:rFonts w:ascii="Calibri" w:hAnsi="Calibri" w:cs="Calibri"/>
        </w:rPr>
        <w:t>s</w:t>
      </w:r>
      <w:r w:rsidRPr="001E7AA4">
        <w:rPr>
          <w:rStyle w:val="normaltextrun"/>
          <w:rFonts w:ascii="Calibri" w:hAnsi="Calibri" w:cs="Calibri"/>
        </w:rPr>
        <w:t xml:space="preserve">tate education </w:t>
      </w:r>
      <w:r w:rsidR="00F53AED" w:rsidRPr="001E7AA4">
        <w:rPr>
          <w:rStyle w:val="normaltextrun"/>
          <w:rFonts w:ascii="Calibri" w:hAnsi="Calibri" w:cs="Calibri"/>
        </w:rPr>
        <w:t xml:space="preserve">and training </w:t>
      </w:r>
      <w:r w:rsidRPr="001E7AA4">
        <w:rPr>
          <w:rStyle w:val="normaltextrun"/>
          <w:rFonts w:ascii="Calibri" w:hAnsi="Calibri" w:cs="Calibri"/>
        </w:rPr>
        <w:t xml:space="preserve">departments, JSA, TEQSA, ASQA, professional accreditation and industry bodies, </w:t>
      </w:r>
      <w:r w:rsidR="00F53AED" w:rsidRPr="001E7AA4">
        <w:rPr>
          <w:rStyle w:val="normaltextrun"/>
          <w:rFonts w:ascii="Calibri" w:hAnsi="Calibri" w:cs="Calibri"/>
        </w:rPr>
        <w:t xml:space="preserve">and various </w:t>
      </w:r>
      <w:r w:rsidRPr="001E7AA4">
        <w:rPr>
          <w:rStyle w:val="normaltextrun"/>
          <w:rFonts w:ascii="Calibri" w:hAnsi="Calibri" w:cs="Calibri"/>
        </w:rPr>
        <w:t xml:space="preserve">funding bodies </w:t>
      </w:r>
      <w:r w:rsidR="00F53AED" w:rsidRPr="001E7AA4">
        <w:rPr>
          <w:rStyle w:val="normaltextrun"/>
          <w:rFonts w:ascii="Calibri" w:hAnsi="Calibri" w:cs="Calibri"/>
        </w:rPr>
        <w:t xml:space="preserve">and </w:t>
      </w:r>
      <w:r w:rsidRPr="001E7AA4">
        <w:rPr>
          <w:rStyle w:val="normaltextrun"/>
          <w:rFonts w:ascii="Calibri" w:hAnsi="Calibri" w:cs="Calibri"/>
        </w:rPr>
        <w:t>government departments.</w:t>
      </w:r>
    </w:p>
    <w:p w14:paraId="12999A2A" w14:textId="38638EF3" w:rsidR="00841573" w:rsidRPr="001E7AA4" w:rsidRDefault="00841573" w:rsidP="00841573">
      <w:pPr>
        <w:rPr>
          <w:rStyle w:val="normaltextrun"/>
          <w:rFonts w:ascii="Calibri" w:hAnsi="Calibri" w:cs="Calibri"/>
        </w:rPr>
      </w:pPr>
      <w:r w:rsidRPr="001E7AA4">
        <w:rPr>
          <w:rStyle w:val="normaltextrun"/>
          <w:rFonts w:ascii="Calibri" w:hAnsi="Calibri" w:cs="Calibri"/>
        </w:rPr>
        <w:t xml:space="preserve">Additional responsibilities of the </w:t>
      </w:r>
      <w:r w:rsidR="00046F73" w:rsidRPr="001E7AA4">
        <w:t>Tertiary Education Commission</w:t>
      </w:r>
      <w:r w:rsidRPr="001E7AA4">
        <w:rPr>
          <w:rStyle w:val="normaltextrun"/>
          <w:rFonts w:ascii="Calibri" w:hAnsi="Calibri" w:cs="Calibri"/>
        </w:rPr>
        <w:t xml:space="preserve"> could include determining funding allocations, including through the negotiation of mission-based compacts with universities. In doing so, the </w:t>
      </w:r>
      <w:r w:rsidR="00046F73" w:rsidRPr="001E7AA4">
        <w:t xml:space="preserve">Tertiary Education Commission </w:t>
      </w:r>
      <w:r w:rsidRPr="001E7AA4">
        <w:rPr>
          <w:rStyle w:val="normaltextrun"/>
          <w:rFonts w:ascii="Calibri" w:hAnsi="Calibri" w:cs="Calibri"/>
        </w:rPr>
        <w:t>would be uniquely placed to consider the role which each institution can play within the national system.</w:t>
      </w:r>
      <w:r w:rsidR="00D3513E" w:rsidRPr="001E7AA4">
        <w:rPr>
          <w:rStyle w:val="normaltextrun"/>
          <w:rFonts w:ascii="Calibri" w:hAnsi="Calibri" w:cs="Calibri"/>
        </w:rPr>
        <w:t xml:space="preserve"> </w:t>
      </w:r>
    </w:p>
    <w:p w14:paraId="29BBFFB9" w14:textId="0445E2B7" w:rsidR="00841573" w:rsidRPr="00972803" w:rsidRDefault="00841573" w:rsidP="00972803">
      <w:pPr>
        <w:pStyle w:val="Quote"/>
      </w:pPr>
      <w:r w:rsidRPr="00972803">
        <w:t>“</w:t>
      </w:r>
      <w:r w:rsidR="004A45B9" w:rsidRPr="00972803">
        <w:t xml:space="preserve">[The </w:t>
      </w:r>
      <w:r w:rsidR="00046F73" w:rsidRPr="00972803">
        <w:t>Tertiary Education Commission</w:t>
      </w:r>
      <w:r w:rsidR="004A45B9" w:rsidRPr="00972803">
        <w:t>] should facilitate better coordination and consistency across the system at the same time as ensuring universities and other higher education providers maintain autonomy over their operations, as this underpins their capacity to deliver quality teaching and research</w:t>
      </w:r>
      <w:r w:rsidRPr="00972803">
        <w:t xml:space="preserve">.” </w:t>
      </w:r>
      <w:r w:rsidR="00972803" w:rsidRPr="00972803">
        <w:br/>
      </w:r>
      <w:r w:rsidRPr="00972803">
        <w:t xml:space="preserve">– </w:t>
      </w:r>
      <w:r w:rsidR="00EE61D4" w:rsidRPr="00972803">
        <w:t xml:space="preserve">Associate Professor </w:t>
      </w:r>
      <w:r w:rsidR="00DE4BAB" w:rsidRPr="00972803">
        <w:t xml:space="preserve">Gwilym Croucher and </w:t>
      </w:r>
      <w:r w:rsidR="00EE61D4" w:rsidRPr="00972803">
        <w:t xml:space="preserve">Professor </w:t>
      </w:r>
      <w:r w:rsidR="00DE4BAB" w:rsidRPr="00972803">
        <w:t>Vin Massaro</w:t>
      </w:r>
      <w:r w:rsidR="00EE61D4" w:rsidRPr="00972803">
        <w:t>, Melbourne Centre for the Study of Higher Education</w:t>
      </w:r>
    </w:p>
    <w:p w14:paraId="2C4E141B" w14:textId="46587592" w:rsidR="00841573" w:rsidRPr="001E7AA4" w:rsidRDefault="7FCC82FC" w:rsidP="30B8EBF7">
      <w:pPr>
        <w:rPr>
          <w:rStyle w:val="ui-provider"/>
        </w:rPr>
      </w:pPr>
      <w:r w:rsidRPr="001E7AA4">
        <w:rPr>
          <w:rStyle w:val="ui-provider"/>
        </w:rPr>
        <w:t>T</w:t>
      </w:r>
      <w:r w:rsidR="00841573" w:rsidRPr="001E7AA4">
        <w:rPr>
          <w:rStyle w:val="ui-provider"/>
        </w:rPr>
        <w:t>here are regulatory, financial, structural and historic reasons for the shape of Australia’s higher education sector. Greater diversity and innovation in institutions is unlikely to emerge without proactive government intervention. The</w:t>
      </w:r>
      <w:r w:rsidR="29834F60" w:rsidRPr="001E7AA4">
        <w:rPr>
          <w:rStyle w:val="ui-provider"/>
        </w:rPr>
        <w:t xml:space="preserve"> </w:t>
      </w:r>
      <w:r w:rsidR="2D8975E2" w:rsidRPr="001E7AA4">
        <w:t>Tertiary Education Commission</w:t>
      </w:r>
      <w:r w:rsidR="00841573" w:rsidRPr="001E7AA4">
        <w:t xml:space="preserve"> </w:t>
      </w:r>
      <w:r w:rsidR="00841573" w:rsidRPr="001E7AA4">
        <w:rPr>
          <w:rStyle w:val="ui-provider"/>
        </w:rPr>
        <w:t>could provide the strategic leadership and coordination needed to develop a more dynamic and responsive system.</w:t>
      </w:r>
    </w:p>
    <w:p w14:paraId="78337A05" w14:textId="7FC2ABD7" w:rsidR="005127E5" w:rsidRPr="001E7AA4" w:rsidRDefault="005127E5" w:rsidP="00F84822">
      <w:r w:rsidRPr="001E7AA4">
        <w:t>A new governing body could fulfil a number of critical functions, many</w:t>
      </w:r>
      <w:r w:rsidR="00C74F10">
        <w:t xml:space="preserve"> of</w:t>
      </w:r>
      <w:r w:rsidRPr="001E7AA4">
        <w:t xml:space="preserve"> which are not part of the current system, in particular focusing on the operation of the system, assessing its ability to meet new targets and priorities and planning for how the structure of the sector should be evolving and changing (including where new institutions may be needed). </w:t>
      </w:r>
    </w:p>
    <w:p w14:paraId="5054C283" w14:textId="4AA34E9C" w:rsidR="000D210A" w:rsidRPr="001E7AA4" w:rsidRDefault="00726921" w:rsidP="000D210A">
      <w:pPr>
        <w:rPr>
          <w:rStyle w:val="normaltextrun"/>
          <w:rFonts w:ascii="Calibri" w:hAnsi="Calibri" w:cs="Calibri"/>
        </w:rPr>
      </w:pPr>
      <w:r w:rsidRPr="001E7AA4">
        <w:rPr>
          <w:rStyle w:val="normaltextrun"/>
          <w:rFonts w:ascii="Calibri" w:hAnsi="Calibri" w:cs="Calibri"/>
        </w:rPr>
        <w:t>Under the aegis of</w:t>
      </w:r>
      <w:r w:rsidR="00841573" w:rsidRPr="001E7AA4">
        <w:rPr>
          <w:rStyle w:val="normaltextrun"/>
          <w:rFonts w:ascii="Calibri" w:hAnsi="Calibri" w:cs="Calibri"/>
        </w:rPr>
        <w:t xml:space="preserve"> the </w:t>
      </w:r>
      <w:r w:rsidR="00046F73" w:rsidRPr="001E7AA4">
        <w:t>Tertiary Education Commission</w:t>
      </w:r>
      <w:r w:rsidR="00841573" w:rsidRPr="001E7AA4">
        <w:t xml:space="preserve"> </w:t>
      </w:r>
      <w:r w:rsidR="00841573" w:rsidRPr="001E7AA4">
        <w:rPr>
          <w:rStyle w:val="normaltextrun"/>
          <w:rFonts w:ascii="Calibri" w:hAnsi="Calibri" w:cs="Calibri"/>
        </w:rPr>
        <w:t>a new First Nations Higher Education Council could give voice to the needs, aspirations and know-how of community and lead a self-determined approach to funding and policy</w:t>
      </w:r>
      <w:r w:rsidR="00D736F3" w:rsidRPr="001E7AA4">
        <w:rPr>
          <w:rStyle w:val="normaltextrun"/>
          <w:rFonts w:ascii="Calibri" w:hAnsi="Calibri" w:cs="Calibri"/>
        </w:rPr>
        <w:t xml:space="preserve"> </w:t>
      </w:r>
      <w:r w:rsidR="00841573" w:rsidRPr="001E7AA4">
        <w:rPr>
          <w:rStyle w:val="normaltextrun"/>
          <w:rFonts w:ascii="Calibri" w:hAnsi="Calibri" w:cs="Calibri"/>
        </w:rPr>
        <w:t>settings in relation to First Nations students, employment, teaching, research and engagement.</w:t>
      </w:r>
      <w:r w:rsidR="000D210A" w:rsidRPr="001E7AA4">
        <w:rPr>
          <w:rStyle w:val="normaltextrun"/>
          <w:rFonts w:ascii="Calibri" w:hAnsi="Calibri" w:cs="Calibri"/>
        </w:rPr>
        <w:t xml:space="preserve"> This approach, mirrored within individual universities, would allow funding and policy settings relating to First Nations students and research to be led by First Nations staff and communities, as is the case in some institutions today, and see that each institution engages with First Nations communities in their local area. </w:t>
      </w:r>
    </w:p>
    <w:p w14:paraId="4A66169E" w14:textId="6E7A5739" w:rsidR="00841573" w:rsidRPr="001E7AA4" w:rsidRDefault="000D210A" w:rsidP="00841573">
      <w:pPr>
        <w:rPr>
          <w:rStyle w:val="ui-provider"/>
        </w:rPr>
      </w:pPr>
      <w:r w:rsidRPr="001E7AA4">
        <w:rPr>
          <w:rStyle w:val="normaltextrun"/>
          <w:rFonts w:ascii="Calibri" w:hAnsi="Calibri" w:cs="Calibri"/>
        </w:rPr>
        <w:t>This Council would oversee a First Nations-led review of access, participation and outcomes for First Nations students and Frist Nations staff, research, teaching, use of First Nations knowledges, and First Nations governance and leadership within universities.</w:t>
      </w:r>
    </w:p>
    <w:p w14:paraId="25D70FB8" w14:textId="760B9813" w:rsidR="005127E5" w:rsidRPr="001E7AA4" w:rsidRDefault="00841573" w:rsidP="005127E5">
      <w:pPr>
        <w:spacing w:after="0" w:line="240" w:lineRule="auto"/>
      </w:pPr>
      <w:r w:rsidRPr="001E7AA4">
        <w:rPr>
          <w:rStyle w:val="normaltextrun"/>
          <w:rFonts w:ascii="Calibri" w:hAnsi="Calibri" w:cs="Calibri"/>
        </w:rPr>
        <w:t xml:space="preserve">Leadership structures could include specific roles such as an equity commissioner and a regional commissioner to share best practice and focus institutional efforts. </w:t>
      </w:r>
      <w:r w:rsidR="008902CA" w:rsidRPr="001E7AA4">
        <w:rPr>
          <w:rStyle w:val="normaltextrun"/>
          <w:rFonts w:ascii="Calibri" w:hAnsi="Calibri" w:cs="Calibri"/>
        </w:rPr>
        <w:t xml:space="preserve">Consideration of the relationship with the ARC would also be needed. </w:t>
      </w:r>
      <w:r w:rsidRPr="001E7AA4">
        <w:rPr>
          <w:rStyle w:val="normaltextrun"/>
          <w:rFonts w:ascii="Calibri" w:hAnsi="Calibri" w:cs="Calibri"/>
        </w:rPr>
        <w:t xml:space="preserve">The </w:t>
      </w:r>
      <w:r w:rsidR="002E2961" w:rsidRPr="001E7AA4">
        <w:rPr>
          <w:rStyle w:val="normaltextrun"/>
          <w:rFonts w:ascii="Calibri" w:hAnsi="Calibri" w:cs="Calibri"/>
        </w:rPr>
        <w:t xml:space="preserve">Review </w:t>
      </w:r>
      <w:r w:rsidRPr="001E7AA4">
        <w:rPr>
          <w:rStyle w:val="normaltextrun"/>
          <w:rFonts w:ascii="Calibri" w:hAnsi="Calibri" w:cs="Calibri"/>
        </w:rPr>
        <w:t xml:space="preserve">notes a </w:t>
      </w:r>
      <w:r w:rsidR="00046F73" w:rsidRPr="001E7AA4">
        <w:t xml:space="preserve">Tertiary Education Commission </w:t>
      </w:r>
      <w:r w:rsidRPr="001E7AA4">
        <w:rPr>
          <w:rStyle w:val="normaltextrun"/>
          <w:rFonts w:ascii="Calibri" w:hAnsi="Calibri" w:cs="Calibri"/>
        </w:rPr>
        <w:t>would require sufficient resources to deliver on its responsibilities and operate effectively in conjunction with government and responsible ministers.</w:t>
      </w:r>
      <w:r w:rsidR="005127E5" w:rsidRPr="001E7AA4">
        <w:t xml:space="preserve"> </w:t>
      </w:r>
    </w:p>
    <w:p w14:paraId="60B97C5A" w14:textId="6F770E95" w:rsidR="00841573" w:rsidRPr="001E7AA4" w:rsidRDefault="00045EB9" w:rsidP="00972803">
      <w:pPr>
        <w:pStyle w:val="Heading5"/>
      </w:pPr>
      <w:bookmarkStart w:id="351" w:name="_Toc139028919"/>
      <w:r w:rsidRPr="001E7AA4">
        <w:lastRenderedPageBreak/>
        <w:t>Considerations for change</w:t>
      </w:r>
      <w:bookmarkEnd w:id="351"/>
    </w:p>
    <w:p w14:paraId="46E46861" w14:textId="44E5E5FD" w:rsidR="00841573" w:rsidRPr="001E7AA4" w:rsidRDefault="00841573" w:rsidP="00841573">
      <w:pPr>
        <w:spacing w:line="240" w:lineRule="auto"/>
      </w:pPr>
      <w:r w:rsidRPr="001E7AA4">
        <w:t xml:space="preserve">To create an adaptable and responsive higher education system that is increasingly aligned and connected in a broader tertiary system, and which meets the evolving needs of students, industry and the nation, </w:t>
      </w:r>
      <w:r w:rsidR="00220B5B" w:rsidRPr="001E7AA4">
        <w:t>the Review will continue to give consideration to</w:t>
      </w:r>
      <w:r w:rsidR="00F35837" w:rsidRPr="001E7AA4">
        <w:t xml:space="preserve"> the following policy areas</w:t>
      </w:r>
      <w:r w:rsidRPr="001E7AA4">
        <w:t>:</w:t>
      </w:r>
    </w:p>
    <w:p w14:paraId="3635C0A3" w14:textId="0C552863" w:rsidR="005F4837" w:rsidRPr="001E7AA4" w:rsidRDefault="005F4837" w:rsidP="00A025B1">
      <w:pPr>
        <w:pStyle w:val="ListParagraph"/>
        <w:numPr>
          <w:ilvl w:val="0"/>
          <w:numId w:val="12"/>
        </w:numPr>
        <w:spacing w:after="160" w:line="240" w:lineRule="auto"/>
      </w:pPr>
      <w:r w:rsidRPr="001E7AA4">
        <w:t>the benefits of establishing a new national body, a Tertiary Education Commission, working with the Minister and Department, which could:</w:t>
      </w:r>
    </w:p>
    <w:p w14:paraId="472C0362" w14:textId="77777777" w:rsidR="005F4837" w:rsidRPr="001E7AA4" w:rsidRDefault="005F4837" w:rsidP="00A025B1">
      <w:pPr>
        <w:pStyle w:val="ListParagraph"/>
        <w:numPr>
          <w:ilvl w:val="1"/>
          <w:numId w:val="12"/>
        </w:numPr>
        <w:spacing w:after="160" w:line="240" w:lineRule="auto"/>
      </w:pPr>
      <w:r w:rsidRPr="001E7AA4">
        <w:t xml:space="preserve">be based on the principles of independence and expert decision-making to provide oversight, coordination and expert advice to the higher education sector </w:t>
      </w:r>
    </w:p>
    <w:p w14:paraId="7E8A9C17" w14:textId="77777777" w:rsidR="005F4837" w:rsidRPr="001E7AA4" w:rsidRDefault="005F4837" w:rsidP="00A025B1">
      <w:pPr>
        <w:pStyle w:val="ListParagraph"/>
        <w:numPr>
          <w:ilvl w:val="1"/>
          <w:numId w:val="12"/>
        </w:numPr>
        <w:spacing w:after="160" w:line="240" w:lineRule="auto"/>
      </w:pPr>
      <w:r w:rsidRPr="001E7AA4">
        <w:t xml:space="preserve">lead relevant analysis, including with other agencies, to provide advice to government on policy and funding settings to enhance student, teaching and research outcomes </w:t>
      </w:r>
    </w:p>
    <w:p w14:paraId="2693283A" w14:textId="48A56D68" w:rsidR="005F4837" w:rsidRPr="001E7AA4" w:rsidRDefault="005F4837" w:rsidP="00A025B1">
      <w:pPr>
        <w:pStyle w:val="ListParagraph"/>
        <w:numPr>
          <w:ilvl w:val="1"/>
          <w:numId w:val="12"/>
        </w:numPr>
        <w:spacing w:after="160" w:line="240" w:lineRule="auto"/>
      </w:pPr>
      <w:r w:rsidRPr="001E7AA4">
        <w:t xml:space="preserve">function as a pricing authority for </w:t>
      </w:r>
      <w:r w:rsidR="00210429" w:rsidRPr="001E7AA4">
        <w:t>Commonwealth higher education</w:t>
      </w:r>
      <w:r w:rsidRPr="001E7AA4">
        <w:t xml:space="preserve"> </w:t>
      </w:r>
      <w:r w:rsidR="00F77766" w:rsidRPr="001E7AA4">
        <w:t xml:space="preserve">funding for </w:t>
      </w:r>
      <w:r w:rsidRPr="001E7AA4">
        <w:t xml:space="preserve">the purposes of a potential student-centred, needs-based funding model </w:t>
      </w:r>
    </w:p>
    <w:p w14:paraId="767AF4EF" w14:textId="77777777" w:rsidR="005F4837" w:rsidRPr="001E7AA4" w:rsidRDefault="005F4837" w:rsidP="00A025B1">
      <w:pPr>
        <w:pStyle w:val="ListParagraph"/>
        <w:numPr>
          <w:ilvl w:val="1"/>
          <w:numId w:val="12"/>
        </w:numPr>
        <w:spacing w:after="160" w:line="240" w:lineRule="auto"/>
      </w:pPr>
      <w:r w:rsidRPr="001E7AA4">
        <w:t>negotiate new mission-based compacts with institutions to deliver against local, regional and national priorities and needs</w:t>
      </w:r>
    </w:p>
    <w:p w14:paraId="66137A0B" w14:textId="35D61633" w:rsidR="005F4837" w:rsidRPr="001E7AA4" w:rsidRDefault="005F4837" w:rsidP="00A025B1">
      <w:pPr>
        <w:pStyle w:val="ListParagraph"/>
        <w:numPr>
          <w:ilvl w:val="1"/>
          <w:numId w:val="12"/>
        </w:numPr>
        <w:spacing w:after="160" w:line="240" w:lineRule="auto"/>
      </w:pPr>
      <w:r w:rsidRPr="001E7AA4">
        <w:t>over time, and in partnership with the</w:t>
      </w:r>
      <w:r w:rsidR="00B97CCB" w:rsidRPr="001E7AA4">
        <w:t xml:space="preserve"> </w:t>
      </w:r>
      <w:r w:rsidR="00044486" w:rsidRPr="001E7AA4">
        <w:t>states and territories</w:t>
      </w:r>
      <w:r w:rsidRPr="001E7AA4">
        <w:t>, be expanded from higher education to encompass the whole tertiary education system to pursue greater opportunities for alignment and collaboration between the higher education and VET sectors.</w:t>
      </w:r>
    </w:p>
    <w:p w14:paraId="143DF6B4" w14:textId="414E9D0F" w:rsidR="005F4837" w:rsidRPr="001E7AA4" w:rsidRDefault="005F4837" w:rsidP="00A025B1">
      <w:pPr>
        <w:pStyle w:val="ListParagraph"/>
        <w:numPr>
          <w:ilvl w:val="0"/>
          <w:numId w:val="12"/>
        </w:numPr>
        <w:spacing w:after="160" w:line="240" w:lineRule="auto"/>
      </w:pPr>
      <w:r w:rsidRPr="001E7AA4">
        <w:t xml:space="preserve">how to </w:t>
      </w:r>
      <w:r w:rsidR="00835C78" w:rsidRPr="001E7AA4">
        <w:t xml:space="preserve">facilitate and </w:t>
      </w:r>
      <w:r w:rsidRPr="001E7AA4">
        <w:t>encourage change and evolution in the type, diversity, size and number of tertiary education institutions, including:</w:t>
      </w:r>
    </w:p>
    <w:p w14:paraId="282E10CA" w14:textId="3C4B3364" w:rsidR="005F4837" w:rsidRPr="001E7AA4" w:rsidRDefault="00B961DE" w:rsidP="00A025B1">
      <w:pPr>
        <w:pStyle w:val="ListParagraph"/>
        <w:numPr>
          <w:ilvl w:val="0"/>
          <w:numId w:val="13"/>
        </w:numPr>
        <w:spacing w:after="160" w:line="240" w:lineRule="auto"/>
      </w:pPr>
      <w:r w:rsidRPr="001E7AA4">
        <w:t xml:space="preserve">the </w:t>
      </w:r>
      <w:r w:rsidR="005F4837" w:rsidRPr="001E7AA4">
        <w:t>merits of a new National Regional University as Australia’s second national university</w:t>
      </w:r>
    </w:p>
    <w:p w14:paraId="0A46CE1B" w14:textId="77777777" w:rsidR="005F4837" w:rsidRPr="001E7AA4" w:rsidRDefault="005F4837" w:rsidP="00A025B1">
      <w:pPr>
        <w:pStyle w:val="ListParagraph"/>
        <w:numPr>
          <w:ilvl w:val="0"/>
          <w:numId w:val="13"/>
        </w:numPr>
        <w:spacing w:after="160" w:line="240" w:lineRule="auto"/>
      </w:pPr>
      <w:r w:rsidRPr="001E7AA4">
        <w:t>encouraging and incentivising new models of delivery and collaboration to increase tertiary education and research provision, particularly in regional and under-serviced areas</w:t>
      </w:r>
    </w:p>
    <w:p w14:paraId="595DA88A" w14:textId="12B2321B" w:rsidR="005F4837" w:rsidRPr="001E7AA4" w:rsidRDefault="005F4837" w:rsidP="00A025B1">
      <w:pPr>
        <w:pStyle w:val="ListParagraph"/>
        <w:numPr>
          <w:ilvl w:val="0"/>
          <w:numId w:val="13"/>
        </w:numPr>
        <w:spacing w:after="160" w:line="240" w:lineRule="auto"/>
      </w:pPr>
      <w:r w:rsidRPr="001E7AA4">
        <w:t>facilitating the emergence of institutions specialising to a greater or lesser extent in teaching or research</w:t>
      </w:r>
      <w:r w:rsidR="00AA7588">
        <w:t>.</w:t>
      </w:r>
    </w:p>
    <w:p w14:paraId="7917A1F4" w14:textId="711E81C2" w:rsidR="005F4837" w:rsidRPr="001E7AA4" w:rsidRDefault="005F4837" w:rsidP="00A025B1">
      <w:pPr>
        <w:pStyle w:val="ListParagraph"/>
        <w:numPr>
          <w:ilvl w:val="0"/>
          <w:numId w:val="12"/>
        </w:numPr>
        <w:spacing w:after="160" w:line="240" w:lineRule="auto"/>
      </w:pPr>
      <w:r w:rsidRPr="001E7AA4">
        <w:t>ensuring tertiary education regulation, including the role of TEQSA, enables innovation in the tertiary education system</w:t>
      </w:r>
    </w:p>
    <w:p w14:paraId="1AACF618" w14:textId="0111467F" w:rsidR="000F2103" w:rsidRDefault="005F4837" w:rsidP="00A025B1">
      <w:pPr>
        <w:pStyle w:val="ListParagraph"/>
        <w:numPr>
          <w:ilvl w:val="0"/>
          <w:numId w:val="12"/>
        </w:numPr>
        <w:spacing w:after="0" w:line="240" w:lineRule="auto"/>
      </w:pPr>
      <w:r w:rsidRPr="001E7AA4">
        <w:t>continually working towards an aligned tertiary education system, including encouraging parity of esteem between the VET and higher education sectors.</w:t>
      </w:r>
    </w:p>
    <w:p w14:paraId="23A447DC" w14:textId="77777777" w:rsidR="000F2103" w:rsidRDefault="000F2103">
      <w:pPr>
        <w:spacing w:after="160"/>
      </w:pPr>
      <w:r>
        <w:br w:type="page"/>
      </w:r>
    </w:p>
    <w:p w14:paraId="75DB715A" w14:textId="77777777" w:rsidR="005168F7" w:rsidRPr="000F2103" w:rsidRDefault="005168F7" w:rsidP="000F2103">
      <w:pPr>
        <w:pStyle w:val="BlueShadedBox-Body"/>
        <w:rPr>
          <w:rStyle w:val="Strong"/>
        </w:rPr>
      </w:pPr>
      <w:r w:rsidRPr="000F2103">
        <w:rPr>
          <w:rStyle w:val="Strong"/>
        </w:rPr>
        <w:lastRenderedPageBreak/>
        <w:t xml:space="preserve">Potential proposals the Review may also consider for the Final Report, and that reflect the broad themes outlined above, include: </w:t>
      </w:r>
    </w:p>
    <w:p w14:paraId="7E987284" w14:textId="77777777" w:rsidR="005168F7" w:rsidRDefault="005168F7" w:rsidP="00560132">
      <w:pPr>
        <w:pStyle w:val="BlueShadedBox-Body"/>
        <w:spacing w:after="120"/>
      </w:pPr>
      <w:r w:rsidRPr="005168F7">
        <w:t>A Tertiary Education Commission:</w:t>
      </w:r>
    </w:p>
    <w:p w14:paraId="396E36A7" w14:textId="77777777" w:rsidR="005168F7" w:rsidRPr="005168F7" w:rsidRDefault="005168F7" w:rsidP="00A025B1">
      <w:pPr>
        <w:pStyle w:val="BlueShadedBox-ListLetterstest"/>
        <w:numPr>
          <w:ilvl w:val="0"/>
          <w:numId w:val="39"/>
        </w:numPr>
        <w:ind w:left="570"/>
      </w:pPr>
      <w:r w:rsidRPr="005168F7">
        <w:t>would be responsible for planning and tracking progress towards increased participation and meeting skills needs</w:t>
      </w:r>
    </w:p>
    <w:p w14:paraId="54337284" w14:textId="77777777" w:rsidR="005168F7" w:rsidRPr="005168F7" w:rsidRDefault="005168F7" w:rsidP="00A025B1">
      <w:pPr>
        <w:pStyle w:val="BlueShadedBox-ListLetterstest"/>
        <w:numPr>
          <w:ilvl w:val="0"/>
          <w:numId w:val="39"/>
        </w:numPr>
        <w:ind w:left="570"/>
      </w:pPr>
      <w:r w:rsidRPr="005168F7">
        <w:t xml:space="preserve">would provide ongoing advice on changes and trends affecting the future of the higher education system </w:t>
      </w:r>
    </w:p>
    <w:p w14:paraId="54BD2797" w14:textId="77777777" w:rsidR="005168F7" w:rsidRPr="005168F7" w:rsidRDefault="005168F7" w:rsidP="00A025B1">
      <w:pPr>
        <w:pStyle w:val="BlueShadedBox-ListLetterstest"/>
        <w:numPr>
          <w:ilvl w:val="0"/>
          <w:numId w:val="39"/>
        </w:numPr>
        <w:ind w:left="570"/>
      </w:pPr>
      <w:r w:rsidRPr="005168F7">
        <w:t>could consider opportunities and the desirability of future structural adjustment, including the size, location and need for new institutions</w:t>
      </w:r>
    </w:p>
    <w:p w14:paraId="77A4AC6F" w14:textId="77777777" w:rsidR="005168F7" w:rsidRPr="005168F7" w:rsidRDefault="005168F7" w:rsidP="00A025B1">
      <w:pPr>
        <w:pStyle w:val="BlueShadedBox-ListLetterstest"/>
        <w:numPr>
          <w:ilvl w:val="0"/>
          <w:numId w:val="39"/>
        </w:numPr>
        <w:ind w:left="570"/>
      </w:pPr>
      <w:r w:rsidRPr="005168F7">
        <w:t>could protect and promote student voices, in light of the new, student-focussed vision for the sector, including the role for a new Equity Commissioner</w:t>
      </w:r>
    </w:p>
    <w:p w14:paraId="037823B3" w14:textId="77777777" w:rsidR="005168F7" w:rsidRPr="005168F7" w:rsidRDefault="005168F7" w:rsidP="00A025B1">
      <w:pPr>
        <w:pStyle w:val="BlueShadedBox-ListLetterstest"/>
        <w:numPr>
          <w:ilvl w:val="0"/>
          <w:numId w:val="39"/>
        </w:numPr>
        <w:ind w:left="570"/>
      </w:pPr>
      <w:r w:rsidRPr="005168F7">
        <w:t>create an arms-length research centre of excellence in higher education and research, to study and research the sector itself in the international context. The research centre should be awarded in response to a competitive call</w:t>
      </w:r>
    </w:p>
    <w:p w14:paraId="32FE49CB" w14:textId="77777777" w:rsidR="005168F7" w:rsidRDefault="005168F7" w:rsidP="00A025B1">
      <w:pPr>
        <w:pStyle w:val="BlueShadedBox-ListLetterstest"/>
        <w:numPr>
          <w:ilvl w:val="0"/>
          <w:numId w:val="39"/>
        </w:numPr>
        <w:ind w:left="570"/>
      </w:pPr>
      <w:r w:rsidRPr="005168F7">
        <w:t>deliver on the promise of the Accord, monitor progress against the mutually agreed deliverables and work with the Minister and Department of Education to broker the evolving agreement as part of an ongoing Accord process.</w:t>
      </w:r>
    </w:p>
    <w:p w14:paraId="6061BA53" w14:textId="77777777" w:rsidR="005168F7" w:rsidRDefault="005168F7" w:rsidP="00560132">
      <w:pPr>
        <w:pStyle w:val="BlueShadedBox-Body"/>
        <w:spacing w:after="120"/>
      </w:pPr>
      <w:r w:rsidRPr="005168F7">
        <w:t xml:space="preserve">Structural change across the tertiary sector: </w:t>
      </w:r>
    </w:p>
    <w:p w14:paraId="2035EA3B" w14:textId="77777777" w:rsidR="005168F7" w:rsidRPr="005168F7" w:rsidRDefault="005168F7" w:rsidP="00A025B1">
      <w:pPr>
        <w:pStyle w:val="BlueShadedBox-ListLetterstest"/>
        <w:numPr>
          <w:ilvl w:val="0"/>
          <w:numId w:val="40"/>
        </w:numPr>
        <w:ind w:left="570"/>
      </w:pPr>
      <w:r w:rsidRPr="005168F7">
        <w:t>supporting recommendations following feasibility investigations of provider mergers in South Australia and Western Australia</w:t>
      </w:r>
    </w:p>
    <w:p w14:paraId="4F67985F" w14:textId="77777777" w:rsidR="005168F7" w:rsidRPr="005168F7" w:rsidRDefault="005168F7" w:rsidP="00A025B1">
      <w:pPr>
        <w:pStyle w:val="BlueShadedBox-ListLetterstest"/>
        <w:numPr>
          <w:ilvl w:val="0"/>
          <w:numId w:val="40"/>
        </w:numPr>
        <w:ind w:left="570"/>
      </w:pPr>
      <w:r w:rsidRPr="005168F7">
        <w:t>exploring revisions to the Provider Category Standards, to remove the requirement that all universities will carry out research. This should offer the system more flexibility and encourage institutions to diversify, innovate and specialise</w:t>
      </w:r>
    </w:p>
    <w:p w14:paraId="544D6487" w14:textId="77777777" w:rsidR="005168F7" w:rsidRPr="005168F7" w:rsidRDefault="005168F7" w:rsidP="00A025B1">
      <w:pPr>
        <w:pStyle w:val="BlueShadedBox-ListLetterstest"/>
        <w:numPr>
          <w:ilvl w:val="0"/>
          <w:numId w:val="40"/>
        </w:numPr>
        <w:ind w:left="570"/>
      </w:pPr>
      <w:r w:rsidRPr="005168F7">
        <w:t>encouraging significant administrative efficiencies through collaborative frameworks</w:t>
      </w:r>
    </w:p>
    <w:p w14:paraId="38167E16" w14:textId="77777777" w:rsidR="005168F7" w:rsidRDefault="005168F7" w:rsidP="00A025B1">
      <w:pPr>
        <w:pStyle w:val="BlueShadedBox-ListLetterstest"/>
        <w:numPr>
          <w:ilvl w:val="0"/>
          <w:numId w:val="40"/>
        </w:numPr>
        <w:ind w:left="570"/>
      </w:pPr>
      <w:r w:rsidRPr="005168F7">
        <w:t xml:space="preserve">incentivising collaboration between institutions to reinforce research collaboration and establish new and innovative service offerings and education models for students to study across multiple institutions. </w:t>
      </w:r>
    </w:p>
    <w:p w14:paraId="51EFF32C" w14:textId="77777777" w:rsidR="005168F7" w:rsidRDefault="005168F7" w:rsidP="00560132">
      <w:pPr>
        <w:pStyle w:val="BlueShadedBox-Body"/>
        <w:spacing w:after="120"/>
      </w:pPr>
      <w:r w:rsidRPr="005168F7">
        <w:t>Higher education and VET moving towards an aligned tertiary education system:</w:t>
      </w:r>
    </w:p>
    <w:p w14:paraId="7D50CF60" w14:textId="77777777" w:rsidR="005168F7" w:rsidRPr="005168F7" w:rsidRDefault="005168F7" w:rsidP="00A025B1">
      <w:pPr>
        <w:pStyle w:val="BlueShadedBox-ListLetterstest"/>
        <w:numPr>
          <w:ilvl w:val="0"/>
          <w:numId w:val="41"/>
        </w:numPr>
        <w:ind w:left="570"/>
      </w:pPr>
      <w:r w:rsidRPr="005168F7">
        <w:t>articulating an agreed national vision for the future of Australia’s tertiary education system and committing to collaborative reform with institutions, unions and industry groups, to achieve parity of esteem for VET, and consistency in funding and regulatory architecture</w:t>
      </w:r>
    </w:p>
    <w:p w14:paraId="20308166" w14:textId="77777777" w:rsidR="005168F7" w:rsidRPr="005168F7" w:rsidRDefault="005168F7" w:rsidP="00A025B1">
      <w:pPr>
        <w:pStyle w:val="BlueShadedBox-ListLetterstest"/>
        <w:numPr>
          <w:ilvl w:val="0"/>
          <w:numId w:val="41"/>
        </w:numPr>
        <w:ind w:left="570"/>
      </w:pPr>
      <w:r w:rsidRPr="005168F7">
        <w:t>exploring new Commonwealth higher education financing arrangements including through consistent pricing, loan arrangements, credentialing and shared VET/HE provision</w:t>
      </w:r>
    </w:p>
    <w:p w14:paraId="7FE0F2B4" w14:textId="77777777" w:rsidR="005168F7" w:rsidRDefault="005168F7" w:rsidP="00A025B1">
      <w:pPr>
        <w:pStyle w:val="BlueShadedBox-ListLetterstest"/>
        <w:numPr>
          <w:ilvl w:val="0"/>
          <w:numId w:val="41"/>
        </w:numPr>
        <w:ind w:left="570"/>
      </w:pPr>
      <w:r w:rsidRPr="005168F7">
        <w:t>piloting self-accrediting for dual sector higher education providers, and selected TAFEs who meet minimum thresholds, in their VET operations.</w:t>
      </w:r>
    </w:p>
    <w:p w14:paraId="73CBDC9F" w14:textId="77777777" w:rsidR="005168F7" w:rsidRDefault="005168F7" w:rsidP="00560132">
      <w:pPr>
        <w:pStyle w:val="BlueShadedBox-Body"/>
        <w:spacing w:after="120"/>
      </w:pPr>
      <w:r w:rsidRPr="005168F7">
        <w:t>Ensuring regulatory frameworks can meet future objectives and challenges:</w:t>
      </w:r>
    </w:p>
    <w:p w14:paraId="6EDBBC11" w14:textId="77777777" w:rsidR="005168F7" w:rsidRPr="005168F7" w:rsidRDefault="005168F7" w:rsidP="00A025B1">
      <w:pPr>
        <w:pStyle w:val="BlueShadedBox-ListLetterstest"/>
        <w:numPr>
          <w:ilvl w:val="0"/>
          <w:numId w:val="42"/>
        </w:numPr>
        <w:ind w:left="570"/>
      </w:pPr>
      <w:r w:rsidRPr="005168F7">
        <w:t>reviewing the TEQSA Act to ensure the agency is fit for purpose in light of other changes in this Review</w:t>
      </w:r>
    </w:p>
    <w:p w14:paraId="4C5B6E23" w14:textId="7ECABF33" w:rsidR="005168F7" w:rsidRPr="005168F7" w:rsidRDefault="005168F7" w:rsidP="00A025B1">
      <w:pPr>
        <w:pStyle w:val="BlueShadedBox-ListLetterstest"/>
        <w:numPr>
          <w:ilvl w:val="0"/>
          <w:numId w:val="42"/>
        </w:numPr>
        <w:ind w:left="570"/>
      </w:pPr>
      <w:r w:rsidRPr="005168F7">
        <w:t>improving coordination of regulatory functions between TEQSA and ASQA including potential sharing or referral of powers between regulators.</w:t>
      </w:r>
    </w:p>
    <w:p w14:paraId="7E6DFA12" w14:textId="59596E54" w:rsidR="00841573" w:rsidRPr="001E7AA4" w:rsidRDefault="00841573">
      <w:pPr>
        <w:spacing w:after="160"/>
        <w:rPr>
          <w:b/>
        </w:rPr>
      </w:pPr>
      <w:r w:rsidRPr="001E7AA4">
        <w:rPr>
          <w:b/>
        </w:rPr>
        <w:br w:type="page"/>
      </w:r>
    </w:p>
    <w:p w14:paraId="29BA168C" w14:textId="5DB76E98" w:rsidR="00267E5A" w:rsidRPr="001E7AA4" w:rsidRDefault="4F7E9CFA" w:rsidP="00972803">
      <w:pPr>
        <w:pStyle w:val="Heading4"/>
      </w:pPr>
      <w:bookmarkStart w:id="352" w:name="_Toc134812540"/>
      <w:bookmarkStart w:id="353" w:name="_Toc738638565"/>
      <w:bookmarkStart w:id="354" w:name="_Toc619331756"/>
      <w:bookmarkStart w:id="355" w:name="_Toc1663939395"/>
      <w:bookmarkStart w:id="356" w:name="_Toc2079706303"/>
      <w:bookmarkStart w:id="357" w:name="_Toc1594814483"/>
      <w:bookmarkStart w:id="358" w:name="_Toc520857374"/>
      <w:bookmarkStart w:id="359" w:name="_Toc2042179353"/>
      <w:bookmarkStart w:id="360" w:name="_Toc1963525326"/>
      <w:bookmarkStart w:id="361" w:name="_Toc985113491"/>
      <w:bookmarkStart w:id="362" w:name="_Toc135739817"/>
      <w:bookmarkStart w:id="363" w:name="_Toc135741138"/>
      <w:bookmarkStart w:id="364" w:name="_Toc136259250"/>
      <w:bookmarkStart w:id="365" w:name="_Toc137829588"/>
      <w:bookmarkStart w:id="366" w:name="_Toc1652447307"/>
      <w:bookmarkStart w:id="367" w:name="_Toc139028920"/>
      <w:r w:rsidRPr="001E7AA4">
        <w:lastRenderedPageBreak/>
        <w:t xml:space="preserve">3.2: Institutional and </w:t>
      </w:r>
      <w:bookmarkEnd w:id="352"/>
      <w:bookmarkEnd w:id="353"/>
      <w:bookmarkEnd w:id="354"/>
      <w:bookmarkEnd w:id="355"/>
      <w:bookmarkEnd w:id="356"/>
      <w:bookmarkEnd w:id="357"/>
      <w:bookmarkEnd w:id="358"/>
      <w:bookmarkEnd w:id="359"/>
      <w:bookmarkEnd w:id="360"/>
      <w:r w:rsidRPr="001E7AA4">
        <w:t>collaborative governance</w:t>
      </w:r>
      <w:bookmarkEnd w:id="361"/>
      <w:bookmarkEnd w:id="362"/>
      <w:bookmarkEnd w:id="363"/>
      <w:bookmarkEnd w:id="364"/>
      <w:bookmarkEnd w:id="365"/>
      <w:bookmarkEnd w:id="366"/>
      <w:bookmarkEnd w:id="367"/>
      <w:r w:rsidRPr="001E7AA4">
        <w:t xml:space="preserve"> </w:t>
      </w:r>
    </w:p>
    <w:p w14:paraId="069FC41D" w14:textId="3CA2AE8C" w:rsidR="00267E5A" w:rsidRPr="001E7AA4" w:rsidRDefault="00267E5A" w:rsidP="00267E5A">
      <w:pPr>
        <w:pStyle w:val="Quote"/>
      </w:pPr>
      <w:r w:rsidRPr="001E7AA4">
        <w:t>“The make-up of university boards and councils inform organisational cultures and there needs to be improvements in terms of member compositions and experiences</w:t>
      </w:r>
      <w:r w:rsidR="00D52119" w:rsidRPr="001E7AA4">
        <w:t>.</w:t>
      </w:r>
      <w:r w:rsidRPr="001E7AA4">
        <w:t xml:space="preserve">" </w:t>
      </w:r>
      <w:r w:rsidR="00972803">
        <w:br/>
      </w:r>
      <w:r w:rsidRPr="001E7AA4">
        <w:t xml:space="preserve">– National Tertiary Education Union </w:t>
      </w:r>
    </w:p>
    <w:p w14:paraId="3A334D93" w14:textId="77777777" w:rsidR="00267E5A" w:rsidRPr="001E7AA4" w:rsidRDefault="4F7E9CFA" w:rsidP="00972803">
      <w:pPr>
        <w:pStyle w:val="Heading5"/>
        <w:rPr>
          <w:lang w:val="en-GB"/>
        </w:rPr>
      </w:pPr>
      <w:bookmarkStart w:id="368" w:name="_Toc137829589"/>
      <w:bookmarkStart w:id="369" w:name="_Toc1888023048"/>
      <w:bookmarkStart w:id="370" w:name="_Toc139028921"/>
      <w:r w:rsidRPr="001E7AA4">
        <w:rPr>
          <w:lang w:val="en-GB" w:eastAsia="en-AU"/>
        </w:rPr>
        <w:t>Issues</w:t>
      </w:r>
      <w:bookmarkEnd w:id="368"/>
      <w:bookmarkEnd w:id="369"/>
      <w:bookmarkEnd w:id="370"/>
    </w:p>
    <w:p w14:paraId="5D33CD5A" w14:textId="71D3684E" w:rsidR="00267E5A" w:rsidRPr="001E7AA4" w:rsidRDefault="00267E5A" w:rsidP="00267E5A">
      <w:pPr>
        <w:rPr>
          <w:rFonts w:ascii="Calibri" w:eastAsia="Calibri" w:hAnsi="Calibri" w:cs="Calibri"/>
          <w:lang w:val="en-GB"/>
        </w:rPr>
      </w:pPr>
      <w:r w:rsidRPr="001E7AA4">
        <w:rPr>
          <w:rFonts w:ascii="Calibri" w:eastAsia="Calibri" w:hAnsi="Calibri" w:cs="Calibri"/>
          <w:lang w:val="en-GB"/>
        </w:rPr>
        <w:t xml:space="preserve">Higher education institutions have grown into increasingly complex organisations, managing significant assets and large numbers of staff and students. Effective governance is essential </w:t>
      </w:r>
      <w:r w:rsidR="006F0F6B" w:rsidRPr="001E7AA4">
        <w:rPr>
          <w:rFonts w:ascii="Calibri" w:eastAsia="Calibri" w:hAnsi="Calibri" w:cs="Calibri"/>
          <w:lang w:val="en-GB"/>
        </w:rPr>
        <w:t>for</w:t>
      </w:r>
      <w:r w:rsidRPr="001E7AA4">
        <w:rPr>
          <w:rFonts w:ascii="Calibri" w:eastAsia="Calibri" w:hAnsi="Calibri" w:cs="Calibri"/>
          <w:lang w:val="en-GB"/>
        </w:rPr>
        <w:t xml:space="preserve"> promoting positive institutional cultures and ensuring that each institution has the ongoing capability to deliver on its strategic vision, but the Review has heard that institutions may not be adequately engaging with some very serious issues within their remit. </w:t>
      </w:r>
    </w:p>
    <w:p w14:paraId="2759E471" w14:textId="096E2B99" w:rsidR="00267E5A" w:rsidRPr="001E7AA4" w:rsidRDefault="006F0F6B" w:rsidP="00267E5A">
      <w:pPr>
        <w:spacing w:line="257" w:lineRule="auto"/>
        <w:rPr>
          <w:rFonts w:ascii="Calibri" w:eastAsia="Calibri" w:hAnsi="Calibri" w:cs="Calibri"/>
          <w:lang w:val="en-GB"/>
        </w:rPr>
      </w:pPr>
      <w:r w:rsidRPr="001E7AA4">
        <w:rPr>
          <w:rFonts w:ascii="Calibri" w:eastAsia="Calibri" w:hAnsi="Calibri" w:cs="Calibri"/>
          <w:lang w:val="en-GB"/>
        </w:rPr>
        <w:t>Despite the best efforts of many institutions to address them, s</w:t>
      </w:r>
      <w:r w:rsidR="00267E5A" w:rsidRPr="001E7AA4">
        <w:rPr>
          <w:rFonts w:ascii="Calibri" w:eastAsia="Calibri" w:hAnsi="Calibri" w:cs="Calibri"/>
          <w:lang w:val="en-GB"/>
        </w:rPr>
        <w:t>ystemic issues persist across the higher education sector, including widespread underpayment of staff, suggesting governance arrangements could be improved. Sexual assault and harassment on campus is</w:t>
      </w:r>
      <w:r w:rsidRPr="001E7AA4">
        <w:rPr>
          <w:rFonts w:ascii="Calibri" w:eastAsia="Calibri" w:hAnsi="Calibri" w:cs="Calibri"/>
          <w:lang w:val="en-GB"/>
        </w:rPr>
        <w:t xml:space="preserve"> affecting</w:t>
      </w:r>
      <w:r w:rsidR="00267E5A" w:rsidRPr="001E7AA4">
        <w:rPr>
          <w:rFonts w:ascii="Calibri" w:eastAsia="Calibri" w:hAnsi="Calibri" w:cs="Calibri"/>
          <w:lang w:val="en-GB"/>
        </w:rPr>
        <w:t xml:space="preserve"> the wellbeing of students and staff, and their ability to succeed. </w:t>
      </w:r>
    </w:p>
    <w:p w14:paraId="3E9D885C" w14:textId="5AB26242" w:rsidR="00267E5A" w:rsidRPr="001E7AA4" w:rsidRDefault="00267E5A" w:rsidP="00267E5A">
      <w:pPr>
        <w:spacing w:line="257" w:lineRule="auto"/>
        <w:rPr>
          <w:rFonts w:ascii="Calibri" w:eastAsia="Calibri" w:hAnsi="Calibri" w:cs="Calibri"/>
          <w:lang w:val="en-GB"/>
        </w:rPr>
      </w:pPr>
      <w:r w:rsidRPr="001E7AA4">
        <w:rPr>
          <w:rFonts w:ascii="Calibri" w:eastAsia="Calibri" w:hAnsi="Calibri" w:cs="Calibri"/>
          <w:lang w:val="en-GB"/>
        </w:rPr>
        <w:t xml:space="preserve">This </w:t>
      </w:r>
      <w:r w:rsidR="008902CA" w:rsidRPr="001E7AA4">
        <w:rPr>
          <w:rFonts w:ascii="Calibri" w:eastAsia="Calibri" w:hAnsi="Calibri" w:cs="Calibri"/>
          <w:lang w:val="en-GB"/>
        </w:rPr>
        <w:t xml:space="preserve">section </w:t>
      </w:r>
      <w:r w:rsidRPr="001E7AA4">
        <w:rPr>
          <w:rFonts w:ascii="Calibri" w:eastAsia="Calibri" w:hAnsi="Calibri" w:cs="Calibri"/>
          <w:lang w:val="en-GB"/>
        </w:rPr>
        <w:t xml:space="preserve">outlines </w:t>
      </w:r>
      <w:r w:rsidR="778775F4" w:rsidRPr="001E7AA4">
        <w:rPr>
          <w:rFonts w:ascii="Calibri" w:eastAsia="Calibri" w:hAnsi="Calibri" w:cs="Calibri"/>
          <w:lang w:val="en-GB"/>
        </w:rPr>
        <w:t xml:space="preserve">considerations to help strengthen </w:t>
      </w:r>
      <w:r w:rsidRPr="001E7AA4">
        <w:rPr>
          <w:rFonts w:ascii="Calibri" w:eastAsia="Calibri" w:hAnsi="Calibri" w:cs="Calibri"/>
          <w:lang w:val="en-GB"/>
        </w:rPr>
        <w:t xml:space="preserve">institutional governance structures and for universities to be exemplary employers. It </w:t>
      </w:r>
      <w:r w:rsidR="60D60F43" w:rsidRPr="001E7AA4">
        <w:rPr>
          <w:rFonts w:ascii="Calibri" w:eastAsia="Calibri" w:hAnsi="Calibri" w:cs="Calibri"/>
          <w:lang w:val="en-GB"/>
        </w:rPr>
        <w:t>explores</w:t>
      </w:r>
      <w:r w:rsidRPr="001E7AA4">
        <w:rPr>
          <w:rFonts w:ascii="Calibri" w:eastAsia="Calibri" w:hAnsi="Calibri" w:cs="Calibri"/>
          <w:lang w:val="en-GB"/>
        </w:rPr>
        <w:t xml:space="preserve"> the </w:t>
      </w:r>
      <w:r w:rsidR="52553015" w:rsidRPr="001E7AA4">
        <w:rPr>
          <w:rFonts w:ascii="Calibri" w:eastAsia="Calibri" w:hAnsi="Calibri" w:cs="Calibri"/>
          <w:lang w:val="en-GB"/>
        </w:rPr>
        <w:t>benefits of a potential</w:t>
      </w:r>
      <w:r w:rsidRPr="001E7AA4">
        <w:rPr>
          <w:rFonts w:ascii="Calibri" w:eastAsia="Calibri" w:hAnsi="Calibri" w:cs="Calibri"/>
          <w:lang w:val="en-GB"/>
        </w:rPr>
        <w:t xml:space="preserve"> student charter, co-designed with students, to ensure a national commitment to student safety, wellbeing and empowerment.</w:t>
      </w:r>
    </w:p>
    <w:p w14:paraId="3C850BF0" w14:textId="4BE81E41" w:rsidR="00267E5A" w:rsidRPr="001E7AA4" w:rsidRDefault="4F7E9CFA" w:rsidP="00972803">
      <w:pPr>
        <w:pStyle w:val="Heading5"/>
      </w:pPr>
      <w:bookmarkStart w:id="371" w:name="_Toc135739819"/>
      <w:bookmarkStart w:id="372" w:name="_Toc135741140"/>
      <w:bookmarkStart w:id="373" w:name="_Toc136259253"/>
      <w:bookmarkStart w:id="374" w:name="_Toc137829590"/>
      <w:bookmarkStart w:id="375" w:name="_Toc2100719809"/>
      <w:bookmarkStart w:id="376" w:name="_Toc139028922"/>
      <w:r w:rsidRPr="001E7AA4">
        <w:t>3.2.1 Strengthening institutional governance structures</w:t>
      </w:r>
      <w:bookmarkEnd w:id="371"/>
      <w:bookmarkEnd w:id="372"/>
      <w:bookmarkEnd w:id="373"/>
      <w:bookmarkEnd w:id="374"/>
      <w:bookmarkEnd w:id="375"/>
      <w:bookmarkEnd w:id="376"/>
    </w:p>
    <w:p w14:paraId="5727B9D9" w14:textId="3EF608FC" w:rsidR="00267E5A" w:rsidRPr="001E7AA4" w:rsidRDefault="00267E5A" w:rsidP="00267E5A">
      <w:r w:rsidRPr="001E7AA4">
        <w:t>Each Australian university has a governing body, generally called a Council, Board or Senate, which varies in size (approximately 10 to 25 members). The role of th</w:t>
      </w:r>
      <w:r w:rsidR="007A3F31" w:rsidRPr="001E7AA4">
        <w:t>is body</w:t>
      </w:r>
      <w:r w:rsidRPr="001E7AA4">
        <w:t xml:space="preserve"> is to ensure effective governance and </w:t>
      </w:r>
      <w:r w:rsidR="0078403E" w:rsidRPr="001E7AA4">
        <w:t xml:space="preserve">oversight of </w:t>
      </w:r>
      <w:r w:rsidRPr="001E7AA4">
        <w:t xml:space="preserve">management. The composition and functioning of </w:t>
      </w:r>
      <w:r w:rsidR="007A3F31" w:rsidRPr="001E7AA4">
        <w:t>these bodies</w:t>
      </w:r>
      <w:r w:rsidRPr="001E7AA4">
        <w:t xml:space="preserve"> are set out in universities’ enabling legislation.</w:t>
      </w:r>
    </w:p>
    <w:p w14:paraId="009216D2" w14:textId="7CAD85FD" w:rsidR="006C7F88" w:rsidRPr="001E7AA4" w:rsidRDefault="006C7F88" w:rsidP="002D7F91">
      <w:r w:rsidRPr="001E7AA4">
        <w:t xml:space="preserve">State and </w:t>
      </w:r>
      <w:r w:rsidR="000D6A93" w:rsidRPr="001E7AA4">
        <w:t>t</w:t>
      </w:r>
      <w:r w:rsidRPr="001E7AA4">
        <w:t xml:space="preserve">erritory governments and the </w:t>
      </w:r>
      <w:r w:rsidR="00DB4424" w:rsidRPr="001E7AA4">
        <w:t>C</w:t>
      </w:r>
      <w:r w:rsidRPr="001E7AA4">
        <w:t>ommonwealth have a joint obligation to ensure good governance at universities. As part of their obligations under the Higher Education Standards Framework (Threshold Standards) 2021, institutions are required to have a governing body that is “accountable for all of the higher education providers’ operations.” University Councils also have relevant governance obligations under other legislative arrangements</w:t>
      </w:r>
      <w:r w:rsidR="00E76401" w:rsidRPr="001E7AA4">
        <w:t>.</w:t>
      </w:r>
      <w:r w:rsidR="005015F9" w:rsidRPr="001E7AA4">
        <w:rPr>
          <w:rStyle w:val="FootnoteReference"/>
        </w:rPr>
        <w:footnoteReference w:id="151"/>
      </w:r>
      <w:r w:rsidRPr="001E7AA4">
        <w:t xml:space="preserve"> Issues of wage theft, casualisation and student safety </w:t>
      </w:r>
      <w:r w:rsidR="006D0F52" w:rsidRPr="001E7AA4">
        <w:t xml:space="preserve">illustrate </w:t>
      </w:r>
      <w:r w:rsidRPr="001E7AA4">
        <w:t xml:space="preserve">that these accountability requirements </w:t>
      </w:r>
      <w:r w:rsidR="000E54A4" w:rsidRPr="001E7AA4">
        <w:t xml:space="preserve">do </w:t>
      </w:r>
      <w:r w:rsidRPr="001E7AA4">
        <w:t>not always translat</w:t>
      </w:r>
      <w:r w:rsidR="000E54A4" w:rsidRPr="001E7AA4">
        <w:t>e</w:t>
      </w:r>
      <w:r w:rsidRPr="001E7AA4">
        <w:t xml:space="preserve"> into </w:t>
      </w:r>
      <w:r w:rsidR="00D35ACE" w:rsidRPr="001E7AA4">
        <w:t xml:space="preserve">effective oversight and support </w:t>
      </w:r>
      <w:r w:rsidRPr="001E7AA4">
        <w:t xml:space="preserve">for staff </w:t>
      </w:r>
      <w:r w:rsidR="006D0F52" w:rsidRPr="001E7AA4">
        <w:t>and</w:t>
      </w:r>
      <w:r w:rsidRPr="001E7AA4">
        <w:t xml:space="preserve"> students, and that this is a systemic challenge.  </w:t>
      </w:r>
    </w:p>
    <w:p w14:paraId="43BD3709" w14:textId="703F83D8" w:rsidR="00A061B3" w:rsidRPr="001E7AA4" w:rsidRDefault="00A061B3" w:rsidP="002D7F91">
      <w:r w:rsidRPr="001E7AA4">
        <w:t xml:space="preserve">While the Australian Government has legislative responsibility for the regulation and quality of the sector, universities are constituted by individual enabling Acts in the relevant jurisdiction. This means that most </w:t>
      </w:r>
      <w:r w:rsidR="00DF0422" w:rsidRPr="001E7AA4">
        <w:t>U</w:t>
      </w:r>
      <w:r w:rsidRPr="001E7AA4">
        <w:t xml:space="preserve">niversity </w:t>
      </w:r>
      <w:r w:rsidR="00DF0422" w:rsidRPr="001E7AA4">
        <w:t>C</w:t>
      </w:r>
      <w:r w:rsidRPr="001E7AA4">
        <w:t xml:space="preserve">ouncils are appointed under </w:t>
      </w:r>
      <w:r w:rsidR="00890012" w:rsidRPr="001E7AA4">
        <w:t>s</w:t>
      </w:r>
      <w:r w:rsidRPr="001E7AA4">
        <w:t xml:space="preserve">tate or </w:t>
      </w:r>
      <w:r w:rsidR="00890012" w:rsidRPr="001E7AA4">
        <w:t>t</w:t>
      </w:r>
      <w:r w:rsidRPr="001E7AA4">
        <w:t>erritory legislation, except for the Australian National University.</w:t>
      </w:r>
      <w:r w:rsidR="00D3786E" w:rsidRPr="001E7AA4">
        <w:t xml:space="preserve"> S</w:t>
      </w:r>
      <w:r w:rsidR="00044486" w:rsidRPr="001E7AA4">
        <w:t>tates and territories</w:t>
      </w:r>
      <w:r w:rsidRPr="001E7AA4">
        <w:t xml:space="preserve"> have a significant role to play in ensuring </w:t>
      </w:r>
      <w:r w:rsidR="00DF0422" w:rsidRPr="001E7AA4">
        <w:t>U</w:t>
      </w:r>
      <w:r w:rsidRPr="001E7AA4">
        <w:t xml:space="preserve">niversity </w:t>
      </w:r>
      <w:r w:rsidR="00DF0422" w:rsidRPr="001E7AA4">
        <w:t>C</w:t>
      </w:r>
      <w:r w:rsidRPr="001E7AA4">
        <w:t xml:space="preserve">ouncils are appointed with the right mix of skills. </w:t>
      </w:r>
    </w:p>
    <w:p w14:paraId="7F7A9DBB" w14:textId="4FB1F179" w:rsidR="00267E5A" w:rsidRPr="001E7AA4" w:rsidRDefault="00267E5A" w:rsidP="00267E5A">
      <w:r w:rsidRPr="001E7AA4">
        <w:lastRenderedPageBreak/>
        <w:t xml:space="preserve">Over the last two decades there has been a particular emphasis on appointing people with business expertise to councils. Business expertise must be balanced by </w:t>
      </w:r>
      <w:r w:rsidR="000763BE" w:rsidRPr="001E7AA4">
        <w:t xml:space="preserve">council </w:t>
      </w:r>
      <w:r w:rsidRPr="001E7AA4">
        <w:t xml:space="preserve">members who deeply understand the </w:t>
      </w:r>
      <w:r w:rsidR="002C20EB" w:rsidRPr="001E7AA4">
        <w:t>functions of universities, including learning and teaching, research and management</w:t>
      </w:r>
      <w:r w:rsidRPr="001E7AA4">
        <w:t xml:space="preserve">. Council members should </w:t>
      </w:r>
      <w:r w:rsidR="000763BE" w:rsidRPr="001E7AA4">
        <w:t xml:space="preserve">also </w:t>
      </w:r>
      <w:r w:rsidRPr="001E7AA4">
        <w:t xml:space="preserve">reflect the communities that universities serve, including representation from First Nations </w:t>
      </w:r>
      <w:r w:rsidR="000A1B62" w:rsidRPr="001E7AA4">
        <w:rPr>
          <w:rFonts w:ascii="Calibri" w:eastAsia="Calibri" w:hAnsi="Calibri" w:cs="Calibri"/>
        </w:rPr>
        <w:t>people</w:t>
      </w:r>
      <w:r w:rsidRPr="001E7AA4">
        <w:t>.</w:t>
      </w:r>
      <w:r w:rsidR="006F0F6B" w:rsidRPr="001E7AA4">
        <w:t xml:space="preserve"> The voice of First Nations </w:t>
      </w:r>
      <w:r w:rsidR="000A1B62" w:rsidRPr="001E7AA4">
        <w:rPr>
          <w:rFonts w:ascii="Calibri" w:eastAsia="Calibri" w:hAnsi="Calibri" w:cs="Calibri"/>
        </w:rPr>
        <w:t xml:space="preserve">people </w:t>
      </w:r>
      <w:r w:rsidR="006F0F6B" w:rsidRPr="001E7AA4">
        <w:t xml:space="preserve">should be present at every level of institutions, in the student body, staff, senior leadership and on governing bodies. </w:t>
      </w:r>
    </w:p>
    <w:p w14:paraId="18089CD9" w14:textId="48F884EA" w:rsidR="00F41641" w:rsidRPr="001E7AA4" w:rsidRDefault="00F41641" w:rsidP="00BC654C">
      <w:pPr>
        <w:pStyle w:val="Quote"/>
      </w:pPr>
      <w:r w:rsidRPr="001E7AA4">
        <w:t xml:space="preserve">“We believe it is time to move from these inclusion approaches to self-determination, and educational sovereignty through Indigenous leadership and governance. … Now is the time to develop mechanisms whereby Indigenous peoples have a direct role in decision making and governance. The Voice provides a potential foundation to move beyond consultation frameworks to embrace Indigenous Governance across universities, industry, and government.” </w:t>
      </w:r>
      <w:r w:rsidR="00972803">
        <w:br/>
      </w:r>
      <w:r w:rsidRPr="001E7AA4">
        <w:t>– Western Sydney University Indigenous Professoriate</w:t>
      </w:r>
    </w:p>
    <w:p w14:paraId="4EEEF030" w14:textId="29B261FC" w:rsidR="00267E5A" w:rsidRPr="001E7AA4" w:rsidRDefault="00267E5A" w:rsidP="00267E5A">
      <w:r w:rsidRPr="001E7AA4">
        <w:t>Over the last 30 years, university Acts have been amended by the relevant governments as they seek to decrease size of councils and strengthen the skills mix of members.</w:t>
      </w:r>
      <w:r w:rsidR="00E1182A" w:rsidRPr="001E7AA4">
        <w:rPr>
          <w:rStyle w:val="FootnoteReference"/>
        </w:rPr>
        <w:footnoteReference w:id="152"/>
      </w:r>
      <w:r w:rsidRPr="001E7AA4">
        <w:t xml:space="preserve"> Many of these changes resulted in smaller councils with more business expertise on them. A further development was the Universities Australia Voluntary Code of Best Practice for the Governance of Australian Public Universities that came into effect in 2010. </w:t>
      </w:r>
      <w:r w:rsidR="00726665" w:rsidRPr="001E7AA4">
        <w:t>I</w:t>
      </w:r>
      <w:r w:rsidRPr="001E7AA4">
        <w:t xml:space="preserve">t could be time for this Code to be revised and strengthened. </w:t>
      </w:r>
    </w:p>
    <w:p w14:paraId="5F60DB35" w14:textId="64540506" w:rsidR="00267E5A" w:rsidRDefault="00267E5A" w:rsidP="00267E5A">
      <w:r w:rsidRPr="001E7AA4">
        <w:t>While these changes have been welcomed</w:t>
      </w:r>
      <w:r w:rsidR="006F6F1E" w:rsidRPr="001E7AA4">
        <w:t>,</w:t>
      </w:r>
      <w:r w:rsidRPr="001E7AA4">
        <w:t xml:space="preserve"> there are concerning issues of staff and student wellbeing, including student safety on campus and staff underpayment, that need urgent attention from </w:t>
      </w:r>
      <w:r w:rsidR="00726665" w:rsidRPr="001E7AA4">
        <w:t>u</w:t>
      </w:r>
      <w:r w:rsidRPr="001E7AA4">
        <w:t xml:space="preserve">niversity </w:t>
      </w:r>
      <w:r w:rsidR="00726665" w:rsidRPr="001E7AA4">
        <w:t>g</w:t>
      </w:r>
      <w:r w:rsidRPr="001E7AA4">
        <w:t xml:space="preserve">overning bodies and from governments. The Review will continue to consider what changes may be needed to ensure student and staff safety. However, there is a clear need for immediate action from </w:t>
      </w:r>
      <w:r w:rsidR="4BCA72AE" w:rsidRPr="001E7AA4">
        <w:t>g</w:t>
      </w:r>
      <w:r w:rsidRPr="001E7AA4">
        <w:t>overnments and from the sector.</w:t>
      </w:r>
      <w:bookmarkStart w:id="377" w:name="_Toc135739820"/>
      <w:bookmarkStart w:id="378" w:name="_Toc135741141"/>
      <w:bookmarkStart w:id="379" w:name="_Toc136259254"/>
    </w:p>
    <w:tbl>
      <w:tblPr>
        <w:tblStyle w:val="ImmediateAction0"/>
        <w:tblW w:w="0" w:type="auto"/>
        <w:tblLook w:val="04A0" w:firstRow="1" w:lastRow="0" w:firstColumn="1" w:lastColumn="0" w:noHBand="0" w:noVBand="1"/>
      </w:tblPr>
      <w:tblGrid>
        <w:gridCol w:w="9016"/>
      </w:tblGrid>
      <w:tr w:rsidR="004A78B4" w14:paraId="799C2A1C" w14:textId="77777777" w:rsidTr="00312894">
        <w:tc>
          <w:tcPr>
            <w:tcW w:w="9016" w:type="dxa"/>
          </w:tcPr>
          <w:p w14:paraId="4C818A9C" w14:textId="77777777" w:rsidR="004A78B4" w:rsidRPr="005168F7" w:rsidRDefault="004A78B4" w:rsidP="004A78B4">
            <w:pPr>
              <w:pStyle w:val="ImmediateAction-Heading"/>
            </w:pPr>
            <w:r w:rsidRPr="005168F7">
              <w:t xml:space="preserve">Immediate action: </w:t>
            </w:r>
          </w:p>
          <w:p w14:paraId="20AF6548" w14:textId="77777777" w:rsidR="004A78B4" w:rsidRPr="001E7AA4" w:rsidRDefault="004A78B4" w:rsidP="00560132">
            <w:pPr>
              <w:spacing w:after="120"/>
              <w:rPr>
                <w:kern w:val="2"/>
                <w14:ligatures w14:val="standardContextual"/>
              </w:rPr>
            </w:pPr>
            <w:r w:rsidRPr="001E7AA4">
              <w:t xml:space="preserve">Through </w:t>
            </w:r>
            <w:r w:rsidRPr="004A78B4">
              <w:t>National Cabinet, immediately engage with state and territory governments and universities to improve university governance, particularly focusing</w:t>
            </w:r>
            <w:r w:rsidRPr="001E7AA4">
              <w:t xml:space="preserve"> on:  </w:t>
            </w:r>
          </w:p>
          <w:p w14:paraId="03CD3022" w14:textId="77777777" w:rsidR="004A78B4" w:rsidRPr="001E7AA4" w:rsidRDefault="004A78B4" w:rsidP="004A78B4">
            <w:pPr>
              <w:pStyle w:val="ListBullet"/>
              <w:rPr>
                <w:kern w:val="2"/>
                <w14:ligatures w14:val="standardContextual"/>
              </w:rPr>
            </w:pPr>
            <w:r w:rsidRPr="001E7AA4">
              <w:t>universities being good employers </w:t>
            </w:r>
          </w:p>
          <w:p w14:paraId="71BC4BEF" w14:textId="77777777" w:rsidR="004A78B4" w:rsidRPr="001E7AA4" w:rsidRDefault="004A78B4" w:rsidP="004A78B4">
            <w:pPr>
              <w:pStyle w:val="ListBullet"/>
              <w:rPr>
                <w:kern w:val="2"/>
                <w14:ligatures w14:val="standardContextual"/>
              </w:rPr>
            </w:pPr>
            <w:r w:rsidRPr="001E7AA4">
              <w:t>student and staff safety  </w:t>
            </w:r>
          </w:p>
          <w:p w14:paraId="593C4E7E" w14:textId="756DBEE9" w:rsidR="004A78B4" w:rsidRDefault="004A78B4" w:rsidP="004A78B4">
            <w:pPr>
              <w:pStyle w:val="ListBullet"/>
              <w:spacing w:after="120"/>
            </w:pPr>
            <w:r w:rsidRPr="001E7AA4">
              <w:t>membership of governing bodies, including ensuring additional involvement of people with expertise in the business of universities.</w:t>
            </w:r>
            <w:r w:rsidRPr="001E7AA4">
              <w:rPr>
                <w:rStyle w:val="eop"/>
                <w:rFonts w:ascii="Calibri" w:hAnsi="Calibri" w:cs="Calibri"/>
                <w:bCs/>
              </w:rPr>
              <w:t> </w:t>
            </w:r>
          </w:p>
        </w:tc>
      </w:tr>
    </w:tbl>
    <w:p w14:paraId="6DE78A46" w14:textId="19ECADA2" w:rsidR="00267E5A" w:rsidRPr="001E7AA4" w:rsidRDefault="4F7E9CFA" w:rsidP="00972803">
      <w:pPr>
        <w:pStyle w:val="Heading5"/>
      </w:pPr>
      <w:bookmarkStart w:id="380" w:name="_Toc137829591"/>
      <w:bookmarkStart w:id="381" w:name="_Toc1963565819"/>
      <w:bookmarkStart w:id="382" w:name="_Toc139028923"/>
      <w:r w:rsidRPr="001E7AA4">
        <w:t xml:space="preserve">3.2.2 Universities </w:t>
      </w:r>
      <w:r w:rsidR="6D265E76" w:rsidRPr="001E7AA4">
        <w:t>as</w:t>
      </w:r>
      <w:r w:rsidRPr="001E7AA4">
        <w:t xml:space="preserve"> good employers</w:t>
      </w:r>
      <w:bookmarkEnd w:id="377"/>
      <w:bookmarkEnd w:id="378"/>
      <w:bookmarkEnd w:id="379"/>
      <w:bookmarkEnd w:id="380"/>
      <w:bookmarkEnd w:id="381"/>
      <w:bookmarkEnd w:id="382"/>
    </w:p>
    <w:p w14:paraId="66B0A028" w14:textId="5FBF7B1F" w:rsidR="00267E5A" w:rsidRPr="001E7AA4" w:rsidRDefault="00267E5A" w:rsidP="00267E5A">
      <w:r w:rsidRPr="001E7AA4">
        <w:t>The higher education sector requires a highly</w:t>
      </w:r>
      <w:r w:rsidR="001F7E8A" w:rsidRPr="001E7AA4">
        <w:t>-</w:t>
      </w:r>
      <w:r w:rsidRPr="001E7AA4">
        <w:t xml:space="preserve">skilled workforce and to attract the best local and global talent. Staff </w:t>
      </w:r>
      <w:r w:rsidR="00A471B7" w:rsidRPr="001E7AA4">
        <w:t xml:space="preserve">deserve </w:t>
      </w:r>
      <w:r w:rsidRPr="001E7AA4">
        <w:t xml:space="preserve">a strong institutional culture and governance structures which engage </w:t>
      </w:r>
      <w:r w:rsidR="005F582D" w:rsidRPr="001E7AA4">
        <w:t xml:space="preserve">them </w:t>
      </w:r>
      <w:r w:rsidRPr="001E7AA4">
        <w:t>in decision-making processes</w:t>
      </w:r>
      <w:r w:rsidR="00556898" w:rsidRPr="001E7AA4">
        <w:t>,</w:t>
      </w:r>
      <w:r w:rsidRPr="001E7AA4">
        <w:t xml:space="preserve"> and which prioritise their wellbeing. </w:t>
      </w:r>
    </w:p>
    <w:p w14:paraId="20FCFAC5" w14:textId="77777777" w:rsidR="00267E5A" w:rsidRPr="001E7AA4" w:rsidRDefault="00267E5A" w:rsidP="00267E5A">
      <w:r w:rsidRPr="001E7AA4">
        <w:t xml:space="preserve">Some submissions to the Review raised concerns around psychosocial stress in higher education workplaces. It is critical that workplace conditions, including employment security, workload, </w:t>
      </w:r>
      <w:r w:rsidRPr="001E7AA4">
        <w:lastRenderedPageBreak/>
        <w:t>remuneration, appropriate funding for core activities, and engagement with staff, support psychosocial and physical safety.</w:t>
      </w:r>
    </w:p>
    <w:p w14:paraId="242D220C" w14:textId="77777777" w:rsidR="00267E5A" w:rsidRPr="001E7AA4" w:rsidRDefault="00267E5A" w:rsidP="00267E5A">
      <w:r w:rsidRPr="001E7AA4">
        <w:t>Widely reported occurrences of staff underpayment by universities are damaging public confidence in the sector. The Fair Work Ombudsman (FWO) named 11 universities under investigation in August 2022</w:t>
      </w:r>
      <w:r w:rsidRPr="001E7AA4">
        <w:rPr>
          <w:rStyle w:val="FootnoteReference"/>
        </w:rPr>
        <w:footnoteReference w:id="153"/>
      </w:r>
      <w:r w:rsidRPr="001E7AA4">
        <w:t xml:space="preserve"> and has identified the sector as a priority area for compliance and enforcement in 2022-23.</w:t>
      </w:r>
      <w:r w:rsidRPr="001E7AA4">
        <w:rPr>
          <w:rStyle w:val="FootnoteReference"/>
        </w:rPr>
        <w:footnoteReference w:id="154"/>
      </w:r>
    </w:p>
    <w:p w14:paraId="727FEEF6" w14:textId="203C8F0B" w:rsidR="00267E5A" w:rsidRPr="001E7AA4" w:rsidRDefault="00267E5A" w:rsidP="00267E5A">
      <w:r w:rsidRPr="001E7AA4">
        <w:t>The FWO highlighted “trends of poor governance and management oversight, and a lack of centralised human resources functions and investment in payroll and time-recording systems.”</w:t>
      </w:r>
      <w:r w:rsidRPr="001E7AA4">
        <w:rPr>
          <w:rStyle w:val="FootnoteReference"/>
        </w:rPr>
        <w:footnoteReference w:id="155"/>
      </w:r>
      <w:r w:rsidRPr="001E7AA4">
        <w:t xml:space="preserve"> Large</w:t>
      </w:r>
      <w:r w:rsidR="00144F5C" w:rsidRPr="001E7AA4">
        <w:t>-</w:t>
      </w:r>
      <w:r w:rsidRPr="001E7AA4">
        <w:t>scale wage underpayment is a clear failure of institutional governance and management, for which councils are ultimately accountable.</w:t>
      </w:r>
      <w:r w:rsidR="008C6DF0" w:rsidRPr="001E7AA4">
        <w:t xml:space="preserve"> </w:t>
      </w:r>
      <w:r w:rsidR="00301377" w:rsidRPr="001E7AA4">
        <w:t xml:space="preserve">Complex </w:t>
      </w:r>
      <w:r w:rsidR="00EC6FE5" w:rsidRPr="001E7AA4">
        <w:t>industrial</w:t>
      </w:r>
      <w:r w:rsidR="00301377" w:rsidRPr="001E7AA4">
        <w:t xml:space="preserve"> agreements </w:t>
      </w:r>
      <w:r w:rsidR="00D67F61" w:rsidRPr="001E7AA4">
        <w:t>and government policy and funding arrangements</w:t>
      </w:r>
      <w:r w:rsidR="00301377" w:rsidRPr="001E7AA4">
        <w:t xml:space="preserve"> have contributed to the </w:t>
      </w:r>
      <w:r w:rsidR="008C6DF0" w:rsidRPr="001E7AA4">
        <w:t>issue</w:t>
      </w:r>
      <w:r w:rsidR="00336B3F" w:rsidRPr="001E7AA4">
        <w:t>,</w:t>
      </w:r>
      <w:r w:rsidR="001361DC" w:rsidRPr="001E7AA4">
        <w:rPr>
          <w:rStyle w:val="FootnoteReference"/>
        </w:rPr>
        <w:footnoteReference w:id="156"/>
      </w:r>
      <w:r w:rsidR="00EC6FE5" w:rsidRPr="001E7AA4">
        <w:t xml:space="preserve"> </w:t>
      </w:r>
      <w:r w:rsidR="008C6DF0" w:rsidRPr="001E7AA4">
        <w:t>however</w:t>
      </w:r>
      <w:r w:rsidR="00556898" w:rsidRPr="001E7AA4">
        <w:t>,</w:t>
      </w:r>
      <w:r w:rsidR="001B60CD" w:rsidRPr="001E7AA4">
        <w:t xml:space="preserve"> institutions have an obligation to ensure appropriate governance settings and frameworks to avoid these circumstances emerging. </w:t>
      </w:r>
      <w:r w:rsidR="00D67F61" w:rsidRPr="001E7AA4">
        <w:t>This includes implement</w:t>
      </w:r>
      <w:r w:rsidR="00325495" w:rsidRPr="001E7AA4">
        <w:t>ing</w:t>
      </w:r>
      <w:r w:rsidR="00D67F61" w:rsidRPr="001E7AA4">
        <w:t xml:space="preserve"> updates and changes to workforce system architecture – such as payroll and time recording systems. </w:t>
      </w:r>
      <w:r w:rsidR="001B60CD" w:rsidRPr="001E7AA4">
        <w:t>S</w:t>
      </w:r>
      <w:r w:rsidRPr="001E7AA4">
        <w:t xml:space="preserve">taff underpayment </w:t>
      </w:r>
      <w:r w:rsidR="00CD722E" w:rsidRPr="001E7AA4">
        <w:t>must</w:t>
      </w:r>
      <w:r w:rsidRPr="001E7AA4">
        <w:t xml:space="preserve"> be addressed urgently.</w:t>
      </w:r>
      <w:r w:rsidR="007C0744" w:rsidRPr="001E7AA4">
        <w:t xml:space="preserve"> The Accord will provide an opportunity for </w:t>
      </w:r>
      <w:r w:rsidR="00BF22F1" w:rsidRPr="001E7AA4">
        <w:t>staff, governments and institutions to work t</w:t>
      </w:r>
      <w:r w:rsidR="00936077" w:rsidRPr="001E7AA4">
        <w:t>ogether to address this issue.</w:t>
      </w:r>
    </w:p>
    <w:p w14:paraId="4E443910" w14:textId="0B05F402" w:rsidR="00267E5A" w:rsidRPr="001E7AA4" w:rsidRDefault="00267E5A" w:rsidP="00B65F5B">
      <w:pPr>
        <w:pStyle w:val="Heading6"/>
      </w:pPr>
      <w:bookmarkStart w:id="383" w:name="_Toc135739821"/>
      <w:bookmarkStart w:id="384" w:name="_Toc135741142"/>
      <w:bookmarkStart w:id="385" w:name="_Toc136259255"/>
      <w:r w:rsidRPr="001E7AA4">
        <w:t xml:space="preserve">3.2.2.1 </w:t>
      </w:r>
      <w:r w:rsidR="0004649C" w:rsidRPr="001E7AA4">
        <w:t>W</w:t>
      </w:r>
      <w:r w:rsidRPr="001E7AA4">
        <w:t xml:space="preserve">orkplace arrangements need to value staff </w:t>
      </w:r>
    </w:p>
    <w:p w14:paraId="3CCD882A" w14:textId="6ECECD10" w:rsidR="00362E79" w:rsidRPr="001E7AA4" w:rsidRDefault="00362E79" w:rsidP="00267E5A">
      <w:r w:rsidRPr="001E7AA4">
        <w:rPr>
          <w:lang w:eastAsia="en-AU"/>
        </w:rPr>
        <w:t>The Review has heard that current workforce arrangements are affecting the ability of staff to deliver high quality teaching and research. These arrangements should be examined to consider whether</w:t>
      </w:r>
      <w:r w:rsidRPr="001E7AA4">
        <w:t xml:space="preserve"> staff workloads and the use of fixed term and casual arrangements are appropriate. There needs to be appropriate investment in the teaching and research workforce pipeline to attract and retain talented staff into higher education. </w:t>
      </w:r>
    </w:p>
    <w:p w14:paraId="2A4E05F6" w14:textId="38E72762" w:rsidR="00267E5A" w:rsidRPr="001E7AA4" w:rsidRDefault="00267E5A" w:rsidP="00267E5A">
      <w:r w:rsidRPr="001E7AA4">
        <w:t>Rigid work</w:t>
      </w:r>
      <w:r w:rsidR="00FE5941" w:rsidRPr="001E7AA4">
        <w:t>load</w:t>
      </w:r>
      <w:r w:rsidRPr="001E7AA4">
        <w:t xml:space="preserve"> arrangements that mandate a set ratio between teaching</w:t>
      </w:r>
      <w:r w:rsidR="00AF3C32" w:rsidRPr="001E7AA4">
        <w:t xml:space="preserve">, </w:t>
      </w:r>
      <w:r w:rsidRPr="001E7AA4">
        <w:t>research</w:t>
      </w:r>
      <w:r w:rsidR="00AF3C32" w:rsidRPr="001E7AA4">
        <w:t>,</w:t>
      </w:r>
      <w:r w:rsidR="00F051F1" w:rsidRPr="001E7AA4">
        <w:t xml:space="preserve"> </w:t>
      </w:r>
      <w:r w:rsidRPr="001E7AA4">
        <w:t xml:space="preserve">scholarship </w:t>
      </w:r>
      <w:r w:rsidR="00AF3C32" w:rsidRPr="001E7AA4">
        <w:t xml:space="preserve">and management </w:t>
      </w:r>
      <w:r w:rsidRPr="001E7AA4">
        <w:t xml:space="preserve">workloads can impede the ability </w:t>
      </w:r>
      <w:r w:rsidR="00AA7588">
        <w:t>of</w:t>
      </w:r>
      <w:r w:rsidRPr="001E7AA4">
        <w:t xml:space="preserve"> those who excel in one field to gain promotion and </w:t>
      </w:r>
      <w:r w:rsidR="006F0F6B" w:rsidRPr="001E7AA4">
        <w:t>affect</w:t>
      </w:r>
      <w:r w:rsidRPr="001E7AA4">
        <w:t xml:space="preserve"> the ability of institutions to attract and retain these people. In addition, casual staffing arrangements are arguably being overly relied upon to deliver teaching. As many more students come into the system, many more teachers will be needed to help them learn. </w:t>
      </w:r>
    </w:p>
    <w:p w14:paraId="0E477E78" w14:textId="6B79C1B7" w:rsidR="00267E5A" w:rsidRPr="001E7AA4" w:rsidRDefault="6F348DEB" w:rsidP="00267E5A">
      <w:r w:rsidRPr="001E7AA4">
        <w:t>The Review is considering what more can</w:t>
      </w:r>
      <w:r w:rsidR="00267E5A" w:rsidRPr="001E7AA4">
        <w:t xml:space="preserve"> be done to provide professional development opportunities to ensure academics are adequately prepared and supported in all their roles </w:t>
      </w:r>
      <w:r w:rsidR="00B31149" w:rsidRPr="001E7AA4">
        <w:t>—</w:t>
      </w:r>
      <w:r w:rsidR="00267E5A" w:rsidRPr="001E7AA4">
        <w:t xml:space="preserve"> teaching, research, community service, and management.</w:t>
      </w:r>
    </w:p>
    <w:p w14:paraId="67CB7BBC" w14:textId="7A9291FA" w:rsidR="00267E5A" w:rsidRPr="001E7AA4" w:rsidRDefault="00267E5A" w:rsidP="00267E5A">
      <w:pPr>
        <w:pStyle w:val="Quote"/>
      </w:pPr>
      <w:r w:rsidRPr="001E7AA4">
        <w:t xml:space="preserve">“...rolling short term or continued casual contracts do not provide the required stability and investment in careers that are needed to ensure a highly capable and engaged higher education workforce.” </w:t>
      </w:r>
      <w:r w:rsidR="00CD3217">
        <w:br/>
      </w:r>
      <w:r w:rsidRPr="001E7AA4">
        <w:t xml:space="preserve">– Association for Tertiary Education Management </w:t>
      </w:r>
    </w:p>
    <w:p w14:paraId="0456D9B4" w14:textId="4031A535" w:rsidR="00267E5A" w:rsidRPr="001E7AA4" w:rsidRDefault="00267E5A" w:rsidP="00267E5A">
      <w:r w:rsidRPr="001E7AA4">
        <w:t>A significant part of this challenge is that the teaching workforce is highly casualised. In 2020, 21</w:t>
      </w:r>
      <w:r w:rsidRPr="001E7AA4" w:rsidDel="0002240E">
        <w:t>%</w:t>
      </w:r>
      <w:r w:rsidR="0002240E" w:rsidRPr="001E7AA4">
        <w:t xml:space="preserve"> </w:t>
      </w:r>
      <w:r w:rsidRPr="001E7AA4">
        <w:t>of all academic roles were engaged on a casual basis (</w:t>
      </w:r>
      <w:r w:rsidR="00E31FA8" w:rsidRPr="001E7AA4">
        <w:t>full time equivalent [</w:t>
      </w:r>
      <w:r w:rsidRPr="001E7AA4">
        <w:t>FTE</w:t>
      </w:r>
      <w:r w:rsidR="00E31FA8" w:rsidRPr="001E7AA4">
        <w:t>]</w:t>
      </w:r>
      <w:r w:rsidRPr="001E7AA4">
        <w:t xml:space="preserve"> basis). Casualisation is concentrated among teaching</w:t>
      </w:r>
      <w:r w:rsidR="006F0F6B" w:rsidRPr="001E7AA4">
        <w:t>-</w:t>
      </w:r>
      <w:r w:rsidRPr="001E7AA4">
        <w:t>only staff, with</w:t>
      </w:r>
      <w:r w:rsidR="00C33EE5" w:rsidRPr="001E7AA4">
        <w:t xml:space="preserve"> </w:t>
      </w:r>
      <w:r w:rsidRPr="001E7AA4">
        <w:t>69</w:t>
      </w:r>
      <w:r w:rsidRPr="001E7AA4" w:rsidDel="0002240E">
        <w:t>%</w:t>
      </w:r>
      <w:r w:rsidR="0002240E" w:rsidRPr="001E7AA4">
        <w:t xml:space="preserve"> </w:t>
      </w:r>
      <w:r w:rsidRPr="001E7AA4">
        <w:t>of these roles engaged on a casual basis</w:t>
      </w:r>
      <w:r w:rsidR="006F0F6B" w:rsidRPr="001E7AA4">
        <w:t>. C</w:t>
      </w:r>
      <w:r w:rsidRPr="001E7AA4">
        <w:t xml:space="preserve">asual </w:t>
      </w:r>
      <w:r w:rsidRPr="001E7AA4">
        <w:lastRenderedPageBreak/>
        <w:t>academic staff are also more likely to be at the beginning of their career</w:t>
      </w:r>
      <w:r w:rsidR="00860CCE" w:rsidRPr="001E7AA4">
        <w:t>:</w:t>
      </w:r>
      <w:r w:rsidRPr="001E7AA4">
        <w:t xml:space="preserve"> in 2020, over 69</w:t>
      </w:r>
      <w:r w:rsidRPr="001E7AA4" w:rsidDel="0002240E">
        <w:t>%</w:t>
      </w:r>
      <w:r w:rsidR="0002240E" w:rsidRPr="001E7AA4">
        <w:t xml:space="preserve"> </w:t>
      </w:r>
      <w:r w:rsidRPr="001E7AA4">
        <w:t>of academic casual FTE</w:t>
      </w:r>
      <w:r w:rsidR="00DC6425" w:rsidRPr="001E7AA4">
        <w:t xml:space="preserve"> staff</w:t>
      </w:r>
      <w:r w:rsidRPr="001E7AA4">
        <w:t xml:space="preserve"> w</w:t>
      </w:r>
      <w:r w:rsidR="00DC6425" w:rsidRPr="001E7AA4">
        <w:t>ere</w:t>
      </w:r>
      <w:r w:rsidRPr="001E7AA4">
        <w:t xml:space="preserve"> engaged at below lecturer Level A classification (compared to around 16</w:t>
      </w:r>
      <w:r w:rsidRPr="001E7AA4" w:rsidDel="0002240E">
        <w:t>%</w:t>
      </w:r>
      <w:r w:rsidR="0002240E" w:rsidRPr="001E7AA4">
        <w:t xml:space="preserve"> </w:t>
      </w:r>
      <w:r w:rsidRPr="001E7AA4">
        <w:t>of full time and fractional full time FTE).</w:t>
      </w:r>
      <w:r w:rsidR="006F5644" w:rsidRPr="001E7AA4">
        <w:rPr>
          <w:rStyle w:val="FootnoteReference"/>
        </w:rPr>
        <w:footnoteReference w:id="157"/>
      </w:r>
    </w:p>
    <w:p w14:paraId="12EA9247" w14:textId="341F52A5" w:rsidR="00267E5A" w:rsidRPr="001E7AA4" w:rsidRDefault="00267E5A" w:rsidP="00267E5A">
      <w:r w:rsidRPr="001E7AA4">
        <w:t xml:space="preserve">The use of casual employment arrangements is not </w:t>
      </w:r>
      <w:r w:rsidR="00371301" w:rsidRPr="001E7AA4">
        <w:t>i</w:t>
      </w:r>
      <w:r w:rsidRPr="001E7AA4">
        <w:t xml:space="preserve">n itself a bad thing. There are times when short-term casual arrangements suit all parties well, for example notable professionals giving tutorials in their disciplines. </w:t>
      </w:r>
      <w:r w:rsidR="00D44888" w:rsidRPr="001E7AA4">
        <w:t xml:space="preserve">However, the </w:t>
      </w:r>
      <w:r w:rsidRPr="001E7AA4">
        <w:t>significant use of casual staff in junior teaching roles is of concern</w:t>
      </w:r>
      <w:r w:rsidR="00F05FEE" w:rsidRPr="001E7AA4">
        <w:t>,</w:t>
      </w:r>
      <w:r w:rsidRPr="001E7AA4">
        <w:t xml:space="preserve"> especially as </w:t>
      </w:r>
      <w:r w:rsidR="00C65B7C" w:rsidRPr="001E7AA4">
        <w:t xml:space="preserve">some staff report </w:t>
      </w:r>
      <w:r w:rsidRPr="001E7AA4">
        <w:t>being repeated</w:t>
      </w:r>
      <w:r w:rsidR="00C65B7C" w:rsidRPr="001E7AA4">
        <w:t>ly</w:t>
      </w:r>
      <w:r w:rsidRPr="001E7AA4">
        <w:t xml:space="preserve"> employed on casual contracts</w:t>
      </w:r>
      <w:r w:rsidR="00C65B7C" w:rsidRPr="001E7AA4">
        <w:t>. This</w:t>
      </w:r>
      <w:r w:rsidRPr="001E7AA4">
        <w:t xml:space="preserve"> can have long</w:t>
      </w:r>
      <w:r w:rsidR="006C5983" w:rsidRPr="001E7AA4">
        <w:t>-</w:t>
      </w:r>
      <w:r w:rsidRPr="001E7AA4">
        <w:t>term effects on career progression because casual staff engaged to teach generally are not paid to undertake and publish research early in their careers.</w:t>
      </w:r>
    </w:p>
    <w:p w14:paraId="4BFA76FF" w14:textId="5D5B458D" w:rsidR="00267E5A" w:rsidRPr="001E7AA4" w:rsidRDefault="4F7E9CFA" w:rsidP="00B65F5B">
      <w:pPr>
        <w:pStyle w:val="Heading5"/>
      </w:pPr>
      <w:bookmarkStart w:id="386" w:name="_Toc137829592"/>
      <w:bookmarkStart w:id="387" w:name="_Toc1936669373"/>
      <w:bookmarkStart w:id="388" w:name="_Toc139028924"/>
      <w:r w:rsidRPr="001E7AA4">
        <w:t xml:space="preserve">3.2.3 Institutions have duty of care </w:t>
      </w:r>
      <w:bookmarkEnd w:id="383"/>
      <w:bookmarkEnd w:id="384"/>
      <w:r w:rsidRPr="001E7AA4">
        <w:t>to students</w:t>
      </w:r>
      <w:bookmarkEnd w:id="385"/>
      <w:bookmarkEnd w:id="386"/>
      <w:bookmarkEnd w:id="387"/>
      <w:bookmarkEnd w:id="388"/>
    </w:p>
    <w:p w14:paraId="62B4003B" w14:textId="0E9AE91B" w:rsidR="00267E5A" w:rsidRPr="001E7AA4" w:rsidRDefault="00267E5A" w:rsidP="00267E5A">
      <w:r w:rsidRPr="001E7AA4">
        <w:t xml:space="preserve">As all higher education institutions acknowledge, students are at the centre of the mission of higher education. Institutions have an obligation to students to foster belonging, social inclusion and cohesion within the institution and broader community. </w:t>
      </w:r>
      <w:r w:rsidR="025014CF" w:rsidRPr="001E7AA4">
        <w:t xml:space="preserve">However, </w:t>
      </w:r>
      <w:r w:rsidR="341A83B2" w:rsidRPr="001E7AA4">
        <w:t>the Review has heard</w:t>
      </w:r>
      <w:r w:rsidRPr="001E7AA4">
        <w:t xml:space="preserve"> significant issues of student safety on campus, mental health and a lack of culturally safe spaces continue to corrode relationships between students and their institutions.</w:t>
      </w:r>
    </w:p>
    <w:p w14:paraId="2E79D158" w14:textId="5154734C" w:rsidR="00267E5A" w:rsidRPr="001E7AA4" w:rsidRDefault="59B833E5" w:rsidP="00267E5A">
      <w:r w:rsidRPr="001E7AA4">
        <w:t xml:space="preserve">The Review is exploring ways to evolve </w:t>
      </w:r>
      <w:r w:rsidR="41EA0E47" w:rsidRPr="001E7AA4">
        <w:t>i</w:t>
      </w:r>
      <w:r w:rsidR="025014CF" w:rsidRPr="001E7AA4">
        <w:t>nstitutional</w:t>
      </w:r>
      <w:r w:rsidR="00267E5A" w:rsidRPr="001E7AA4">
        <w:t xml:space="preserve"> cultures </w:t>
      </w:r>
      <w:r w:rsidR="66676153" w:rsidRPr="001E7AA4">
        <w:t>so they can</w:t>
      </w:r>
      <w:r w:rsidR="00267E5A" w:rsidRPr="001E7AA4">
        <w:t xml:space="preserve"> reflect and welcome an increasingly diverse student body, including First Nations students. This</w:t>
      </w:r>
      <w:r w:rsidR="025014CF" w:rsidRPr="001E7AA4">
        <w:t xml:space="preserve"> </w:t>
      </w:r>
      <w:r w:rsidR="04EAC7CC" w:rsidRPr="001E7AA4">
        <w:t>would</w:t>
      </w:r>
      <w:r w:rsidR="00267E5A" w:rsidRPr="001E7AA4">
        <w:t xml:space="preserve"> mean that all institutions must not only be inclusive, but also culturally safe.</w:t>
      </w:r>
    </w:p>
    <w:p w14:paraId="1260E4C1" w14:textId="6BB28BA5" w:rsidR="00267E5A" w:rsidRPr="001574DA" w:rsidRDefault="00267E5A" w:rsidP="001574DA">
      <w:pPr>
        <w:pStyle w:val="Quote"/>
      </w:pPr>
      <w:r w:rsidRPr="001574DA">
        <w:t>“Indigenous students have much better outcomes when they feel well supported in their learning journey while being in an environment that understands the obligations of culture, family and community</w:t>
      </w:r>
      <w:r w:rsidR="005962A1" w:rsidRPr="001574DA">
        <w:t>.</w:t>
      </w:r>
      <w:r w:rsidR="00697004" w:rsidRPr="001574DA">
        <w:t>”</w:t>
      </w:r>
      <w:r w:rsidRPr="001574DA">
        <w:t xml:space="preserve"> </w:t>
      </w:r>
      <w:r w:rsidR="00697004" w:rsidRPr="001574DA">
        <w:t xml:space="preserve"> </w:t>
      </w:r>
      <w:r w:rsidR="00E61ECB" w:rsidRPr="001574DA">
        <w:br/>
      </w:r>
      <w:r w:rsidRPr="001574DA">
        <w:t xml:space="preserve">– University of Melbourne </w:t>
      </w:r>
      <w:r w:rsidR="00AA7588" w:rsidRPr="001574DA">
        <w:t xml:space="preserve">Submission on </w:t>
      </w:r>
      <w:r w:rsidRPr="001574DA">
        <w:t xml:space="preserve">Indigenous Higher Education </w:t>
      </w:r>
    </w:p>
    <w:p w14:paraId="2A34740A" w14:textId="2BCE5191" w:rsidR="00267E5A" w:rsidRPr="001E7AA4" w:rsidRDefault="00267E5A" w:rsidP="00267E5A">
      <w:bookmarkStart w:id="389" w:name="_Hlk137053395"/>
      <w:r w:rsidRPr="001E7AA4">
        <w:t>Student bodies make a significant contribution to the culture of institutions. Student unions, student clubs, student</w:t>
      </w:r>
      <w:r w:rsidR="00524FEF" w:rsidRPr="001E7AA4">
        <w:t>-</w:t>
      </w:r>
      <w:r w:rsidRPr="001E7AA4">
        <w:t xml:space="preserve">led events and other programs help to foster a vibrant campus life, with benefits for social inclusion and students’ sense of belonging. Student unions also provide services to students including advocacy, legal, financial and wellbeing support. </w:t>
      </w:r>
    </w:p>
    <w:p w14:paraId="29AB275E" w14:textId="490BA496" w:rsidR="00267E5A" w:rsidRPr="001E7AA4" w:rsidRDefault="00267E5A" w:rsidP="00267E5A">
      <w:r w:rsidRPr="001E7AA4">
        <w:t xml:space="preserve">A major source of funding for student unions is the Student Services and Amenities Fee (SSAF). </w:t>
      </w:r>
      <w:r w:rsidR="00AC191E" w:rsidRPr="001E7AA4">
        <w:t>Generally</w:t>
      </w:r>
      <w:r w:rsidR="004172A2" w:rsidRPr="001E7AA4">
        <w:t>,</w:t>
      </w:r>
      <w:r w:rsidRPr="001E7AA4">
        <w:t xml:space="preserve"> the distribution of the SSAF to student unions </w:t>
      </w:r>
      <w:r w:rsidR="000D49D9" w:rsidRPr="001E7AA4">
        <w:t xml:space="preserve">and organisation </w:t>
      </w:r>
      <w:r w:rsidR="004172A2" w:rsidRPr="001E7AA4">
        <w:t>is</w:t>
      </w:r>
      <w:r w:rsidRPr="001E7AA4">
        <w:t xml:space="preserve"> at the discretion of universities</w:t>
      </w:r>
      <w:r w:rsidR="002D376B" w:rsidRPr="001E7AA4">
        <w:t>, wh</w:t>
      </w:r>
      <w:r w:rsidR="006D5DAE" w:rsidRPr="001E7AA4">
        <w:t>ich</w:t>
      </w:r>
      <w:r w:rsidR="002D376B" w:rsidRPr="001E7AA4">
        <w:t xml:space="preserve"> consult with students in allocating funds</w:t>
      </w:r>
      <w:r w:rsidRPr="001E7AA4">
        <w:t xml:space="preserve">. </w:t>
      </w:r>
      <w:r w:rsidR="7DA9C6D6" w:rsidRPr="001E7AA4">
        <w:t xml:space="preserve">Under the Student Services, Amenities, Representation and Advocacy Guidelines, universities are required to have a formal process of consultation with democratically elected student representatives and representatives from major student organisations at the university regarding the specific uses of the SSAF. </w:t>
      </w:r>
    </w:p>
    <w:p w14:paraId="395478C1" w14:textId="34C799B4" w:rsidR="00267E5A" w:rsidRPr="001E7AA4" w:rsidRDefault="00267E5A" w:rsidP="00267E5A">
      <w:r w:rsidRPr="001E7AA4">
        <w:t>Student groups have written to the Review that “these negotiations create an unequal power dynamic that limits student organisations’ autonomy in holding universities accountable” as it “limits the advocacy of these organisations in fear of financial retaliation”</w:t>
      </w:r>
      <w:r w:rsidR="00225A7F" w:rsidRPr="001E7AA4">
        <w:t>.</w:t>
      </w:r>
      <w:r w:rsidRPr="001E7AA4">
        <w:rPr>
          <w:rStyle w:val="FootnoteReference"/>
        </w:rPr>
        <w:footnoteReference w:id="158"/>
      </w:r>
    </w:p>
    <w:p w14:paraId="411450BB" w14:textId="68606CE0" w:rsidR="006F0F6B" w:rsidRPr="001E7AA4" w:rsidRDefault="006F0F6B" w:rsidP="00267E5A">
      <w:pPr>
        <w:rPr>
          <w:i/>
        </w:rPr>
      </w:pPr>
      <w:r w:rsidRPr="001E7AA4">
        <w:lastRenderedPageBreak/>
        <w:t xml:space="preserve">The </w:t>
      </w:r>
      <w:r w:rsidR="00632926" w:rsidRPr="001E7AA4">
        <w:t>Review</w:t>
      </w:r>
      <w:r w:rsidRPr="001E7AA4">
        <w:t xml:space="preserve"> </w:t>
      </w:r>
      <w:r w:rsidR="00FF33F6" w:rsidRPr="001E7AA4">
        <w:t xml:space="preserve">is examining what more could be done to support </w:t>
      </w:r>
      <w:r w:rsidR="00B005BE" w:rsidRPr="001E7AA4">
        <w:t xml:space="preserve">how the </w:t>
      </w:r>
      <w:r w:rsidR="007112E3" w:rsidRPr="001E7AA4">
        <w:t>SSAF</w:t>
      </w:r>
      <w:r w:rsidR="00D86E5A" w:rsidRPr="001E7AA4">
        <w:t xml:space="preserve"> </w:t>
      </w:r>
      <w:r w:rsidR="00B005BE" w:rsidRPr="001E7AA4">
        <w:t xml:space="preserve">is </w:t>
      </w:r>
      <w:r w:rsidRPr="001E7AA4">
        <w:t>directed</w:t>
      </w:r>
      <w:r w:rsidR="00B005BE" w:rsidRPr="001E7AA4">
        <w:t>, including</w:t>
      </w:r>
      <w:r w:rsidRPr="001E7AA4">
        <w:t xml:space="preserve"> </w:t>
      </w:r>
      <w:r w:rsidR="00FF33F6" w:rsidRPr="001E7AA4">
        <w:t xml:space="preserve">to </w:t>
      </w:r>
      <w:r w:rsidRPr="001E7AA4">
        <w:t>student</w:t>
      </w:r>
      <w:r w:rsidR="00944241" w:rsidRPr="001E7AA4">
        <w:t>s</w:t>
      </w:r>
      <w:r w:rsidRPr="001E7AA4">
        <w:t>.</w:t>
      </w:r>
    </w:p>
    <w:bookmarkEnd w:id="389"/>
    <w:p w14:paraId="78A944C6" w14:textId="32D88C62" w:rsidR="00267E5A" w:rsidRPr="001E7AA4" w:rsidRDefault="00267E5A" w:rsidP="00B65F5B">
      <w:pPr>
        <w:pStyle w:val="Heading6"/>
      </w:pPr>
      <w:r w:rsidRPr="001E7AA4">
        <w:t xml:space="preserve">3.2.3.1 </w:t>
      </w:r>
      <w:r w:rsidR="057657D5" w:rsidRPr="001E7AA4">
        <w:t xml:space="preserve">Supporting </w:t>
      </w:r>
      <w:r w:rsidR="7CE7B95B" w:rsidRPr="001E7AA4">
        <w:t>m</w:t>
      </w:r>
      <w:r w:rsidRPr="001E7AA4">
        <w:t>ental health and wellbeing</w:t>
      </w:r>
    </w:p>
    <w:p w14:paraId="10C056C5" w14:textId="492E2027" w:rsidR="00267E5A" w:rsidRPr="001E7AA4" w:rsidRDefault="00267E5A" w:rsidP="00267E5A">
      <w:r w:rsidRPr="001E7AA4">
        <w:t xml:space="preserve">The </w:t>
      </w:r>
      <w:r w:rsidR="00426C19" w:rsidRPr="001E7AA4">
        <w:t>COVID</w:t>
      </w:r>
      <w:r w:rsidR="30409A19" w:rsidRPr="001E7AA4">
        <w:t xml:space="preserve">-19 </w:t>
      </w:r>
      <w:r w:rsidRPr="001E7AA4">
        <w:t xml:space="preserve">pandemic had a significant impact on the social and cultural life of institutions. </w:t>
      </w:r>
      <w:r w:rsidR="000F0DB1" w:rsidRPr="001E7AA4">
        <w:t xml:space="preserve">Social distancing restrictions led to a shift towards online learning, resulting in students having fewer opportunities to build connections with </w:t>
      </w:r>
      <w:r w:rsidR="000B64A6" w:rsidRPr="001E7AA4">
        <w:t xml:space="preserve">their peers </w:t>
      </w:r>
      <w:r w:rsidR="000F0DB1" w:rsidRPr="001E7AA4">
        <w:t>and staff.</w:t>
      </w:r>
      <w:r w:rsidR="000F0DB1" w:rsidRPr="001E7AA4">
        <w:rPr>
          <w:rStyle w:val="FootnoteReference"/>
        </w:rPr>
        <w:footnoteReference w:id="159"/>
      </w:r>
      <w:r w:rsidR="000F0DB1" w:rsidRPr="001E7AA4">
        <w:t xml:space="preserve"> </w:t>
      </w:r>
      <w:r w:rsidRPr="001E7AA4">
        <w:t>The 2020 QILT Student Experience Survey found that students “reported their sense of belonging was lower with a decline of 11 percentage points compared with 2019”.</w:t>
      </w:r>
      <w:r w:rsidRPr="001E7AA4">
        <w:rPr>
          <w:rStyle w:val="FootnoteReference"/>
        </w:rPr>
        <w:footnoteReference w:id="160"/>
      </w:r>
      <w:r w:rsidRPr="001E7AA4">
        <w:t xml:space="preserve"> First-year students were particularly affected, experiencing “lower university belonging and higher loneliness during the pandemic [that] was detrimental to their mental health.”</w:t>
      </w:r>
      <w:r w:rsidRPr="001E7AA4">
        <w:rPr>
          <w:rStyle w:val="FootnoteReference"/>
        </w:rPr>
        <w:footnoteReference w:id="161"/>
      </w:r>
    </w:p>
    <w:p w14:paraId="3DCD7A57" w14:textId="33D8B0BB" w:rsidR="00267E5A" w:rsidRPr="001E7AA4" w:rsidRDefault="00267E5A" w:rsidP="00267E5A">
      <w:r w:rsidRPr="001E7AA4">
        <w:t>The Review has heard significant concerns regarding declining student mental health, and the adverse impact this can have on their higher education experience. This not only directly reduces wellbeing but can increase the likelihood of a student exiting their course early</w:t>
      </w:r>
      <w:r w:rsidR="006A485F" w:rsidRPr="001E7AA4">
        <w:t>.</w:t>
      </w:r>
    </w:p>
    <w:p w14:paraId="0EDB2CFB" w14:textId="3BA4292F" w:rsidR="00267E5A" w:rsidRPr="001574DA" w:rsidRDefault="00267E5A" w:rsidP="001574DA">
      <w:pPr>
        <w:pStyle w:val="Quote"/>
      </w:pPr>
      <w:r w:rsidRPr="001574DA">
        <w:t>“One of the biggest challenges to sustainable participation is to address the very high burden of mental ill health especially amongst young people in universities. Indeed, university students are considered a very high-risk population for psychological distress and mental disorders, with both prevalence and severity of poor mental health rising with student populations worldwide.”</w:t>
      </w:r>
      <w:r w:rsidR="00E61ECB" w:rsidRPr="001574DA">
        <w:br/>
      </w:r>
      <w:r w:rsidRPr="001574DA">
        <w:t xml:space="preserve"> – University of Tasmania </w:t>
      </w:r>
    </w:p>
    <w:p w14:paraId="095956B4" w14:textId="47EAE7D6" w:rsidR="00267E5A" w:rsidRPr="001E7AA4" w:rsidRDefault="00267E5A" w:rsidP="00B65F5B">
      <w:pPr>
        <w:pStyle w:val="Heading6"/>
      </w:pPr>
      <w:r w:rsidRPr="001E7AA4">
        <w:t>3.2.3.2 Addressing harm</w:t>
      </w:r>
    </w:p>
    <w:p w14:paraId="435FEFBD" w14:textId="7477DCDF" w:rsidR="00267E5A" w:rsidRPr="001E7AA4" w:rsidRDefault="00267E5A" w:rsidP="00267E5A">
      <w:r w:rsidRPr="001E7AA4">
        <w:t>Students must feel safe on campus. The 2021 National Student Safety Survey found that since starting university</w:t>
      </w:r>
      <w:r w:rsidR="00614D0E" w:rsidRPr="001E7AA4">
        <w:t>,</w:t>
      </w:r>
      <w:r w:rsidRPr="001E7AA4">
        <w:t xml:space="preserve"> 16.1</w:t>
      </w:r>
      <w:r w:rsidRPr="001E7AA4" w:rsidDel="0002240E">
        <w:t>%</w:t>
      </w:r>
      <w:r w:rsidR="0002240E" w:rsidRPr="001E7AA4">
        <w:t xml:space="preserve"> </w:t>
      </w:r>
      <w:r w:rsidRPr="001E7AA4">
        <w:t>of participating students had been sexually harassed, and 4.5</w:t>
      </w:r>
      <w:r w:rsidRPr="001E7AA4" w:rsidDel="0002240E">
        <w:t>%</w:t>
      </w:r>
      <w:r w:rsidR="0002240E" w:rsidRPr="001E7AA4">
        <w:t xml:space="preserve"> </w:t>
      </w:r>
      <w:r w:rsidRPr="001E7AA4">
        <w:t>had been sexually assaulted.</w:t>
      </w:r>
      <w:r w:rsidR="00B26F20" w:rsidRPr="001E7AA4">
        <w:rPr>
          <w:rStyle w:val="FootnoteReference"/>
        </w:rPr>
        <w:footnoteReference w:id="162"/>
      </w:r>
      <w:r w:rsidRPr="001E7AA4">
        <w:t xml:space="preserve"> The Review heard that existing approaches to reduce the incidence of sexual harassment and sexual assault on university campuses are inadequate, with some stakeholders advocating </w:t>
      </w:r>
      <w:r w:rsidR="00EA3A20" w:rsidRPr="001E7AA4">
        <w:t xml:space="preserve">for </w:t>
      </w:r>
      <w:r w:rsidRPr="001E7AA4">
        <w:t>increased transparency, monitoring and accountability mechanisms.</w:t>
      </w:r>
    </w:p>
    <w:p w14:paraId="527CEFEA" w14:textId="05BF3767" w:rsidR="000F2103" w:rsidRDefault="00267E5A" w:rsidP="00267E5A">
      <w:pPr>
        <w:rPr>
          <w:sz w:val="17"/>
          <w:szCs w:val="17"/>
          <w:vertAlign w:val="superscript"/>
        </w:rPr>
      </w:pPr>
      <w:r w:rsidRPr="001E7AA4">
        <w:t>The impacts of sexual violence on a student’s educational experience and outcomes can be devastating. Students who have been sexually assaulted experience elevated rates of post-traumatic stress disorder and clinically significant depression and anxiety, resulting in higher rates of nonattendance, delayed academic progression and higher academic failure rates.</w:t>
      </w:r>
      <w:r w:rsidR="00BA1D1D" w:rsidRPr="001E7AA4">
        <w:rPr>
          <w:rStyle w:val="FootnoteReference"/>
        </w:rPr>
        <w:footnoteReference w:id="163"/>
      </w:r>
      <w:r w:rsidRPr="001E7AA4">
        <w:rPr>
          <w:sz w:val="17"/>
          <w:szCs w:val="17"/>
          <w:vertAlign w:val="superscript"/>
        </w:rPr>
        <w:t xml:space="preserve"> </w:t>
      </w:r>
    </w:p>
    <w:p w14:paraId="13BD3067" w14:textId="77777777" w:rsidR="000F2103" w:rsidRDefault="000F2103">
      <w:pPr>
        <w:spacing w:after="160"/>
        <w:rPr>
          <w:sz w:val="17"/>
          <w:szCs w:val="17"/>
          <w:vertAlign w:val="superscript"/>
        </w:rPr>
      </w:pPr>
      <w:r>
        <w:rPr>
          <w:sz w:val="17"/>
          <w:szCs w:val="17"/>
          <w:vertAlign w:val="superscript"/>
        </w:rPr>
        <w:br w:type="page"/>
      </w:r>
    </w:p>
    <w:p w14:paraId="157A0930" w14:textId="77777777" w:rsidR="00267E5A" w:rsidRPr="001E7AA4" w:rsidRDefault="00267E5A" w:rsidP="00267E5A"/>
    <w:p w14:paraId="1E0CBE13" w14:textId="2F151A5D" w:rsidR="00267E5A" w:rsidRPr="00CD3217" w:rsidRDefault="00267E5A" w:rsidP="00CD3217">
      <w:pPr>
        <w:pStyle w:val="Quote"/>
      </w:pPr>
      <w:r w:rsidRPr="00CD3217">
        <w:t xml:space="preserve">“Stakeholders interviewed for my doctoral research acknowledged that the Threshold Standards were a high-level regulatory framework which did not mention sexual assault or sexual harassment but had been employed to address a very specific and specialised area of concern; that TEQSA does not possess expertise in sexual violence; and that the agency has been inadequately resourced to lead this work. Nonetheless they were frustrated and disappointed by what they perceived as ineffective enforcement of the available Standards through these regulatory mechanisms.” </w:t>
      </w:r>
      <w:r w:rsidR="00CD3217" w:rsidRPr="00CD3217">
        <w:br/>
      </w:r>
      <w:r w:rsidRPr="00CD3217">
        <w:t>– Allison Henry</w:t>
      </w:r>
      <w:r w:rsidR="00685AFC" w:rsidRPr="00CD3217">
        <w:t>, PhD</w:t>
      </w:r>
      <w:r w:rsidR="009948FD" w:rsidRPr="00CD3217">
        <w:t xml:space="preserve"> candidate, Australian Human Rights Institute, Faculty of Law &amp; Justice, UNSW Sydney</w:t>
      </w:r>
      <w:r w:rsidR="00685AFC" w:rsidRPr="00CD3217">
        <w:t xml:space="preserve"> </w:t>
      </w:r>
      <w:r w:rsidRPr="00CD3217">
        <w:t xml:space="preserve"> </w:t>
      </w:r>
    </w:p>
    <w:p w14:paraId="69E49F1D" w14:textId="19CCE44C" w:rsidR="00267E5A" w:rsidRPr="001E7AA4" w:rsidRDefault="00267E5A" w:rsidP="00CD3217">
      <w:pPr>
        <w:pStyle w:val="Heading6"/>
      </w:pPr>
      <w:r w:rsidRPr="001E7AA4">
        <w:t>3.2.3.3 The international student experience</w:t>
      </w:r>
    </w:p>
    <w:p w14:paraId="02B90EEE" w14:textId="77777777" w:rsidR="00267E5A" w:rsidRPr="001E7AA4" w:rsidRDefault="00267E5A" w:rsidP="00267E5A">
      <w:r w:rsidRPr="001E7AA4">
        <w:t xml:space="preserve">International students can face a range of significant pressures as they adjust to living and studying in Australia. This can include social isolation and financial hardship, noting international students incur additional costs compared to domestic students, and are more vulnerable to workplace exploitation by unscrupulous employers. </w:t>
      </w:r>
    </w:p>
    <w:p w14:paraId="107E6973" w14:textId="2CBD1044" w:rsidR="00267E5A" w:rsidRPr="001E7AA4" w:rsidRDefault="30EAD0AF" w:rsidP="00267E5A">
      <w:r w:rsidRPr="001E7AA4">
        <w:t xml:space="preserve">The Review is examining the role of </w:t>
      </w:r>
      <w:r w:rsidR="006F0F6B" w:rsidRPr="001E7AA4">
        <w:t xml:space="preserve">universities in </w:t>
      </w:r>
      <w:r w:rsidR="00267E5A" w:rsidRPr="001E7AA4">
        <w:t>providing information to international students, so they are informed of their rights and protections under Australian law</w:t>
      </w:r>
      <w:r w:rsidR="1C1EFBB9" w:rsidRPr="001E7AA4">
        <w:t>, and whether this requires significant enhancement</w:t>
      </w:r>
      <w:r w:rsidR="025014CF" w:rsidRPr="001E7AA4">
        <w:t>.</w:t>
      </w:r>
      <w:r w:rsidR="00267E5A" w:rsidRPr="001E7AA4">
        <w:t xml:space="preserve"> For example, the Assurance Protocol is an agreement between the Department of Home Affairs and </w:t>
      </w:r>
      <w:r w:rsidR="00AA7588">
        <w:t xml:space="preserve">the </w:t>
      </w:r>
      <w:r w:rsidR="00267E5A" w:rsidRPr="001E7AA4">
        <w:t>FWO which provides support to student visa holders who approach the FWO for help. This provides a safety mechanism for students or employees to raise issues of workplace exploitation without the risk of it leading to their visa being cancelled, even if the issues have caused a breach of their visa conditions.</w:t>
      </w:r>
      <w:r w:rsidR="00FC57E5" w:rsidRPr="001E7AA4">
        <w:rPr>
          <w:rStyle w:val="FootnoteReference"/>
        </w:rPr>
        <w:footnoteReference w:id="164"/>
      </w:r>
    </w:p>
    <w:p w14:paraId="5CA021F7" w14:textId="7F761ED6" w:rsidR="00267E5A" w:rsidRPr="001E7AA4" w:rsidRDefault="00267E5A" w:rsidP="00267E5A">
      <w:pPr>
        <w:pStyle w:val="Quote"/>
      </w:pPr>
      <w:r w:rsidRPr="001E7AA4">
        <w:t xml:space="preserve">“International students are exposed to the threat of their visa being cancelled, because, in part, they have had limits on the hours they are allowed to work. Some employers take advantage of this, by locking those students into working for below minimum pay or working additional hours without pay.” </w:t>
      </w:r>
      <w:r w:rsidR="00CD3217">
        <w:br/>
      </w:r>
      <w:r w:rsidRPr="001E7AA4">
        <w:rPr>
          <w:rStyle w:val="normaltextrun"/>
        </w:rPr>
        <w:t xml:space="preserve">– </w:t>
      </w:r>
      <w:r w:rsidRPr="001E7AA4">
        <w:t xml:space="preserve">Sydney University Postgraduate Representative Association </w:t>
      </w:r>
    </w:p>
    <w:p w14:paraId="0643F2A0" w14:textId="2EA00A41" w:rsidR="00267E5A" w:rsidRDefault="00267E5A" w:rsidP="00267E5A">
      <w:pPr>
        <w:rPr>
          <w:rStyle w:val="normaltextrun"/>
          <w:rFonts w:ascii="Calibri" w:hAnsi="Calibri" w:cs="Calibri"/>
          <w:color w:val="000000" w:themeColor="text1"/>
        </w:rPr>
      </w:pPr>
      <w:r w:rsidRPr="001E7AA4">
        <w:t xml:space="preserve">International students are also sometimes subject to discrimination and unwelcoming attitudes in the Australian community. </w:t>
      </w:r>
      <w:r w:rsidRPr="001E7AA4">
        <w:rPr>
          <w:rStyle w:val="normaltextrun"/>
          <w:rFonts w:ascii="Calibri" w:hAnsi="Calibri" w:cs="Calibri"/>
          <w:color w:val="000000" w:themeColor="text1"/>
        </w:rPr>
        <w:t>Together, government</w:t>
      </w:r>
      <w:r w:rsidR="00846D9B" w:rsidRPr="001E7AA4">
        <w:rPr>
          <w:rStyle w:val="normaltextrun"/>
          <w:rFonts w:ascii="Calibri" w:hAnsi="Calibri" w:cs="Calibri"/>
          <w:color w:val="000000" w:themeColor="text1"/>
        </w:rPr>
        <w:t>s</w:t>
      </w:r>
      <w:r w:rsidRPr="001E7AA4">
        <w:rPr>
          <w:rStyle w:val="normaltextrun"/>
          <w:rFonts w:ascii="Calibri" w:hAnsi="Calibri" w:cs="Calibri"/>
          <w:color w:val="000000" w:themeColor="text1"/>
        </w:rPr>
        <w:t xml:space="preserve"> and institutions must actively combat instances of discrimination and promote the positive contributions international education makes to Australia.</w:t>
      </w:r>
    </w:p>
    <w:p w14:paraId="243AF6CB" w14:textId="77777777" w:rsidR="0093125A" w:rsidRDefault="0093125A">
      <w:pPr>
        <w:spacing w:after="160"/>
        <w:rPr>
          <w:rStyle w:val="normaltextrun"/>
          <w:rFonts w:ascii="Calibri" w:hAnsi="Calibri" w:cs="Calibri"/>
          <w:color w:val="000000" w:themeColor="text1"/>
        </w:rPr>
      </w:pPr>
      <w:r>
        <w:rPr>
          <w:rStyle w:val="normaltextrun"/>
          <w:rFonts w:ascii="Calibri" w:hAnsi="Calibri" w:cs="Calibri"/>
          <w:iCs/>
          <w:color w:val="000000" w:themeColor="text1"/>
        </w:rPr>
        <w:br w:type="page"/>
      </w:r>
    </w:p>
    <w:p w14:paraId="24DDAC70" w14:textId="04F41E4C" w:rsidR="00267E5A" w:rsidRPr="001E7AA4" w:rsidRDefault="00267E5A" w:rsidP="0093125A">
      <w:pPr>
        <w:pStyle w:val="Caption"/>
        <w:rPr>
          <w:rStyle w:val="normaltextrun"/>
          <w:rFonts w:ascii="Calibri" w:hAnsi="Calibri" w:cs="Calibri"/>
          <w:color w:val="808080" w:themeColor="background1" w:themeShade="80"/>
        </w:rPr>
      </w:pPr>
      <w:r w:rsidRPr="001E7AA4">
        <w:rPr>
          <w:rStyle w:val="normaltextrun"/>
          <w:rFonts w:ascii="Calibri" w:hAnsi="Calibri" w:cs="Calibri"/>
          <w:color w:val="808080" w:themeColor="background1" w:themeShade="80"/>
        </w:rPr>
        <w:lastRenderedPageBreak/>
        <w:t>Figure 3.2-1: Quality of entire educational experience</w:t>
      </w:r>
      <w:r w:rsidR="008E4AD9" w:rsidRPr="001E7AA4">
        <w:rPr>
          <w:rStyle w:val="normaltextrun"/>
          <w:rFonts w:ascii="Calibri" w:hAnsi="Calibri" w:cs="Calibri"/>
          <w:color w:val="808080" w:themeColor="background1" w:themeShade="80"/>
        </w:rPr>
        <w:t xml:space="preserve"> by domestic and international students</w:t>
      </w:r>
      <w:r w:rsidRPr="001E7AA4">
        <w:rPr>
          <w:rStyle w:val="normaltextrun"/>
          <w:rFonts w:ascii="Calibri" w:hAnsi="Calibri" w:cs="Calibri"/>
          <w:color w:val="808080" w:themeColor="background1" w:themeShade="80"/>
        </w:rPr>
        <w:t>, 201</w:t>
      </w:r>
      <w:r w:rsidR="0037268E" w:rsidRPr="001E7AA4">
        <w:rPr>
          <w:rStyle w:val="normaltextrun"/>
          <w:rFonts w:ascii="Calibri" w:hAnsi="Calibri" w:cs="Calibri"/>
          <w:color w:val="808080" w:themeColor="background1" w:themeShade="80"/>
        </w:rPr>
        <w:t>2</w:t>
      </w:r>
      <w:r w:rsidR="008E4AD9" w:rsidRPr="001E7AA4">
        <w:rPr>
          <w:rStyle w:val="normaltextrun"/>
          <w:rFonts w:ascii="Calibri" w:hAnsi="Calibri" w:cs="Calibri"/>
          <w:color w:val="808080" w:themeColor="background1" w:themeShade="80"/>
        </w:rPr>
        <w:t xml:space="preserve"> to</w:t>
      </w:r>
      <w:r w:rsidR="004C6895" w:rsidRPr="001E7AA4">
        <w:rPr>
          <w:rStyle w:val="normaltextrun"/>
          <w:rFonts w:ascii="Calibri" w:hAnsi="Calibri" w:cs="Calibri"/>
          <w:color w:val="808080" w:themeColor="background1" w:themeShade="80"/>
        </w:rPr>
        <w:t xml:space="preserve"> </w:t>
      </w:r>
      <w:r w:rsidRPr="001E7AA4">
        <w:rPr>
          <w:rStyle w:val="normaltextrun"/>
          <w:rFonts w:ascii="Calibri" w:hAnsi="Calibri" w:cs="Calibri"/>
          <w:color w:val="808080" w:themeColor="background1" w:themeShade="80"/>
        </w:rPr>
        <w:t>202</w:t>
      </w:r>
      <w:r w:rsidR="0037268E" w:rsidRPr="001E7AA4">
        <w:rPr>
          <w:rStyle w:val="normaltextrun"/>
          <w:rFonts w:ascii="Calibri" w:hAnsi="Calibri" w:cs="Calibri"/>
          <w:color w:val="808080" w:themeColor="background1" w:themeShade="80"/>
        </w:rPr>
        <w:t>2</w:t>
      </w:r>
      <w:r w:rsidR="008E4AD9" w:rsidRPr="001E7AA4">
        <w:rPr>
          <w:rStyle w:val="normaltextrun"/>
          <w:rFonts w:ascii="Calibri" w:hAnsi="Calibri" w:cs="Calibri"/>
          <w:color w:val="808080" w:themeColor="background1" w:themeShade="80"/>
        </w:rPr>
        <w:t>.</w:t>
      </w:r>
    </w:p>
    <w:p w14:paraId="672D1529" w14:textId="7D39DD2A" w:rsidR="00267E5A" w:rsidRPr="001E7AA4" w:rsidRDefault="00795CA5" w:rsidP="00267E5A">
      <w:r w:rsidRPr="001E7AA4">
        <w:rPr>
          <w:noProof/>
        </w:rPr>
        <w:drawing>
          <wp:inline distT="0" distB="0" distL="0" distR="0" wp14:anchorId="64A6E106" wp14:editId="45DAE9DB">
            <wp:extent cx="5731510" cy="2290154"/>
            <wp:effectExtent l="0" t="0" r="0" b="0"/>
            <wp:docPr id="48" name="Picture 48" descr="Line chart tracking the quality of entire educational experience by citizenship from 2012-2022, showing consistently lower positive ratings for international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Line chart tracking the quality of entire educational experience by citizenship from 2012-2022, showing consistently lower positive ratings for international students."/>
                    <pic:cNvPicPr/>
                  </pic:nvPicPr>
                  <pic:blipFill>
                    <a:blip r:embed="rId72">
                      <a:extLst>
                        <a:ext uri="{28A0092B-C50C-407E-A947-70E740481C1C}">
                          <a14:useLocalDpi xmlns:a14="http://schemas.microsoft.com/office/drawing/2010/main" val="0"/>
                        </a:ext>
                        <a:ext uri="{96DAC541-7B7A-43D3-8B79-37D633B846F1}">
                          <asvg:svgBlip xmlns:asvg="http://schemas.microsoft.com/office/drawing/2016/SVG/main" r:embed="rId73"/>
                        </a:ext>
                      </a:extLst>
                    </a:blip>
                    <a:stretch>
                      <a:fillRect/>
                    </a:stretch>
                  </pic:blipFill>
                  <pic:spPr>
                    <a:xfrm>
                      <a:off x="0" y="0"/>
                      <a:ext cx="5731510" cy="2290154"/>
                    </a:xfrm>
                    <a:prstGeom prst="rect">
                      <a:avLst/>
                    </a:prstGeom>
                  </pic:spPr>
                </pic:pic>
              </a:graphicData>
            </a:graphic>
          </wp:inline>
        </w:drawing>
      </w:r>
    </w:p>
    <w:p w14:paraId="4791A2E1" w14:textId="05F49368" w:rsidR="00267E5A" w:rsidRPr="001E7AA4" w:rsidRDefault="00C05A26" w:rsidP="0093125A">
      <w:pPr>
        <w:pStyle w:val="Source"/>
        <w:rPr>
          <w:rStyle w:val="normaltextrun"/>
          <w:rFonts w:ascii="Calibri" w:hAnsi="Calibri" w:cs="Calibri"/>
          <w:color w:val="808080" w:themeColor="background1" w:themeShade="80"/>
          <w:szCs w:val="18"/>
        </w:rPr>
      </w:pPr>
      <w:r w:rsidRPr="001E7AA4">
        <w:rPr>
          <w:rStyle w:val="normaltextrun"/>
          <w:rFonts w:ascii="Calibri" w:hAnsi="Calibri" w:cs="Calibri"/>
          <w:color w:val="808080" w:themeColor="background1" w:themeShade="80"/>
          <w:szCs w:val="18"/>
        </w:rPr>
        <w:t>S</w:t>
      </w:r>
      <w:r w:rsidR="00267E5A" w:rsidRPr="001E7AA4">
        <w:rPr>
          <w:rStyle w:val="normaltextrun"/>
          <w:rFonts w:ascii="Calibri" w:hAnsi="Calibri" w:cs="Calibri"/>
          <w:color w:val="808080" w:themeColor="background1" w:themeShade="80"/>
          <w:szCs w:val="18"/>
        </w:rPr>
        <w:t xml:space="preserve">ource: </w:t>
      </w:r>
      <w:r w:rsidR="007249BD" w:rsidRPr="001E7AA4">
        <w:rPr>
          <w:rStyle w:val="normaltextrun"/>
          <w:rFonts w:ascii="Calibri" w:hAnsi="Calibri" w:cs="Calibri"/>
          <w:color w:val="808080" w:themeColor="background1" w:themeShade="80"/>
          <w:szCs w:val="18"/>
        </w:rPr>
        <w:t xml:space="preserve">QILT, </w:t>
      </w:r>
      <w:hyperlink r:id="rId74" w:history="1">
        <w:r w:rsidR="007249BD" w:rsidRPr="001E7AA4">
          <w:rPr>
            <w:rStyle w:val="Hyperlink"/>
            <w:rFonts w:ascii="Calibri" w:hAnsi="Calibri" w:cs="Calibri"/>
            <w:szCs w:val="18"/>
          </w:rPr>
          <w:t>Student Experience Survey</w:t>
        </w:r>
      </w:hyperlink>
      <w:r w:rsidR="007249BD" w:rsidRPr="001E7AA4">
        <w:rPr>
          <w:rStyle w:val="normaltextrun"/>
          <w:rFonts w:ascii="Calibri" w:hAnsi="Calibri" w:cs="Calibri"/>
          <w:color w:val="808080" w:themeColor="background1" w:themeShade="80"/>
          <w:szCs w:val="18"/>
        </w:rPr>
        <w:t xml:space="preserve"> [data set]</w:t>
      </w:r>
      <w:r w:rsidR="00AA7588">
        <w:rPr>
          <w:rStyle w:val="normaltextrun"/>
          <w:rFonts w:ascii="Calibri" w:hAnsi="Calibri" w:cs="Calibri"/>
          <w:color w:val="808080" w:themeColor="background1" w:themeShade="80"/>
          <w:szCs w:val="18"/>
        </w:rPr>
        <w:t>,</w:t>
      </w:r>
      <w:r w:rsidR="007249BD" w:rsidRPr="001E7AA4">
        <w:rPr>
          <w:rStyle w:val="normaltextrun"/>
          <w:rFonts w:ascii="Calibri" w:hAnsi="Calibri" w:cs="Calibri"/>
          <w:color w:val="808080" w:themeColor="background1" w:themeShade="80"/>
          <w:szCs w:val="18"/>
        </w:rPr>
        <w:t xml:space="preserve"> 2012-2022, accessed 26 June 2023.</w:t>
      </w:r>
    </w:p>
    <w:p w14:paraId="39227B8A" w14:textId="595D7539" w:rsidR="00267E5A" w:rsidRPr="001E7AA4" w:rsidRDefault="00267E5A" w:rsidP="00267E5A">
      <w:r w:rsidRPr="001E7AA4">
        <w:t>Stakeholders also raised concerns that international students face cost and cultural barriers to accessing mental health support.</w:t>
      </w:r>
    </w:p>
    <w:p w14:paraId="7AEA22E3" w14:textId="3AAE22EE" w:rsidR="00267E5A" w:rsidRDefault="00267E5A" w:rsidP="00267E5A">
      <w:pPr>
        <w:pStyle w:val="Quote"/>
      </w:pPr>
      <w:r w:rsidRPr="001E7AA4">
        <w:t>“International students often have to pay upwards of $200 for a single session with a psychologist, psychiatrist or counsel</w:t>
      </w:r>
      <w:r w:rsidR="006F0F6B" w:rsidRPr="001E7AA4">
        <w:t>l</w:t>
      </w:r>
      <w:r w:rsidRPr="001E7AA4">
        <w:t>o</w:t>
      </w:r>
      <w:r w:rsidR="006F0F6B" w:rsidRPr="001E7AA4">
        <w:t>r</w:t>
      </w:r>
      <w:r w:rsidRPr="001E7AA4">
        <w:t xml:space="preserve">. Many international students who contact SUPRA are struggling with mental health difficulties or are in crisis. And many of them are unable to afford appropriate treatment or care due to the exorbitant costs of mental health support. While there are some low cost or sliding scale mental health services, there are even fewer that are multilingual, or who provide ongoing medium or long term support; resulting in students are having to choose between paying for mental health support and food, rent or other essentials.” </w:t>
      </w:r>
      <w:r w:rsidR="00E61ECB">
        <w:br/>
      </w:r>
      <w:r w:rsidRPr="001E7AA4">
        <w:rPr>
          <w:rStyle w:val="normaltextrun"/>
          <w:rFonts w:ascii="Calibri" w:hAnsi="Calibri" w:cs="Calibri"/>
        </w:rPr>
        <w:t xml:space="preserve">– </w:t>
      </w:r>
      <w:r w:rsidRPr="001E7AA4">
        <w:t xml:space="preserve">Sydney University Postgraduate Representative Association </w:t>
      </w:r>
    </w:p>
    <w:tbl>
      <w:tblPr>
        <w:tblStyle w:val="CaseStudy0"/>
        <w:tblW w:w="0" w:type="auto"/>
        <w:tblLook w:val="04A0" w:firstRow="1" w:lastRow="0" w:firstColumn="1" w:lastColumn="0" w:noHBand="0" w:noVBand="1"/>
      </w:tblPr>
      <w:tblGrid>
        <w:gridCol w:w="9016"/>
      </w:tblGrid>
      <w:tr w:rsidR="000F2103" w14:paraId="35EE2E91" w14:textId="77777777" w:rsidTr="000F2103">
        <w:tc>
          <w:tcPr>
            <w:tcW w:w="9016" w:type="dxa"/>
          </w:tcPr>
          <w:p w14:paraId="0FE35D94" w14:textId="77777777" w:rsidR="000F2103" w:rsidRPr="005168F7" w:rsidRDefault="000F2103" w:rsidP="000F2103">
            <w:pPr>
              <w:pStyle w:val="CaseStudy-Heading"/>
            </w:pPr>
            <w:r w:rsidRPr="005168F7">
              <w:t>Case study: International Student Legal Service NSW</w:t>
            </w:r>
          </w:p>
          <w:p w14:paraId="2089B568" w14:textId="77777777" w:rsidR="000F2103" w:rsidRPr="001E7AA4" w:rsidRDefault="000F2103" w:rsidP="000F2103">
            <w:r w:rsidRPr="001E7AA4">
              <w:t xml:space="preserve">There are examples of services that are helping to support positive international student experience. The Redfern Legal Centre provides free and confidential legal advice to international students studying in NSW through the </w:t>
            </w:r>
            <w:r w:rsidRPr="001E7AA4">
              <w:rPr>
                <w:i/>
                <w:iCs/>
              </w:rPr>
              <w:t>International Student Legal Service NSW.</w:t>
            </w:r>
            <w:r w:rsidRPr="001E7AA4">
              <w:t xml:space="preserve"> </w:t>
            </w:r>
          </w:p>
          <w:p w14:paraId="5E012AED" w14:textId="77777777" w:rsidR="000F2103" w:rsidRPr="001E7AA4" w:rsidRDefault="000F2103" w:rsidP="000F2103">
            <w:r w:rsidRPr="001E7AA4">
              <w:t>Through this service, international students are able to speak to a solicitor for advice on a variety of issues including housing problems, employment, sexual assault and sexual harassment, fines, debts, car accidents, discrimination, and complaints about colleges or universities.</w:t>
            </w:r>
          </w:p>
          <w:p w14:paraId="16437BB9" w14:textId="2694975F" w:rsidR="000F2103" w:rsidRDefault="000F2103" w:rsidP="000F2103">
            <w:pPr>
              <w:spacing w:after="120"/>
            </w:pPr>
            <w:r w:rsidRPr="001E7AA4">
              <w:t xml:space="preserve">The service is funded by </w:t>
            </w:r>
            <w:r w:rsidRPr="001E7AA4">
              <w:rPr>
                <w:i/>
                <w:iCs/>
              </w:rPr>
              <w:t>Study NSW</w:t>
            </w:r>
            <w:r w:rsidRPr="001E7AA4">
              <w:t>, which was established by the NSW Government to support international students in NSW.</w:t>
            </w:r>
            <w:r w:rsidRPr="001E7AA4">
              <w:rPr>
                <w:rStyle w:val="FootnoteReference"/>
              </w:rPr>
              <w:footnoteReference w:id="165"/>
            </w:r>
          </w:p>
        </w:tc>
      </w:tr>
    </w:tbl>
    <w:p w14:paraId="034962CB" w14:textId="645EEC22" w:rsidR="00267E5A" w:rsidRPr="001E7AA4" w:rsidRDefault="4F7E9CFA" w:rsidP="00B65F5B">
      <w:pPr>
        <w:pStyle w:val="Heading5"/>
      </w:pPr>
      <w:bookmarkStart w:id="390" w:name="_Toc136259256"/>
      <w:bookmarkStart w:id="391" w:name="_Toc137829593"/>
      <w:bookmarkStart w:id="392" w:name="_Toc2060306871"/>
      <w:bookmarkStart w:id="393" w:name="_Toc139028925"/>
      <w:r w:rsidRPr="001E7AA4">
        <w:lastRenderedPageBreak/>
        <w:t>3.2.4 Enhancing and empowering the student voice</w:t>
      </w:r>
      <w:bookmarkEnd w:id="390"/>
      <w:bookmarkEnd w:id="391"/>
      <w:bookmarkEnd w:id="392"/>
      <w:bookmarkEnd w:id="393"/>
    </w:p>
    <w:p w14:paraId="315FB0D5" w14:textId="152242DC" w:rsidR="00267E5A" w:rsidRPr="001E7AA4" w:rsidRDefault="00267E5A" w:rsidP="00267E5A">
      <w:r w:rsidRPr="001E7AA4">
        <w:t>In meeting with the Review, student groups highlighted a power imbalance between students and influential stakeholders such as universities, peak bodies, government, and industry.</w:t>
      </w:r>
    </w:p>
    <w:p w14:paraId="3F0F9FDE" w14:textId="664DFFE4" w:rsidR="00267E5A" w:rsidRPr="00467CBB" w:rsidRDefault="00267E5A" w:rsidP="00467CBB">
      <w:pPr>
        <w:pStyle w:val="Quote"/>
      </w:pPr>
      <w:r w:rsidRPr="00467CBB">
        <w:t xml:space="preserve">“Students are the primary stakeholders in education and students are the experts at being students. There is significant distrust towards universities and a real power imbalance exists between our two groups.” </w:t>
      </w:r>
      <w:r w:rsidR="00467CBB" w:rsidRPr="00467CBB">
        <w:br/>
      </w:r>
      <w:r w:rsidRPr="00467CBB">
        <w:t>– National Union of Students</w:t>
      </w:r>
    </w:p>
    <w:p w14:paraId="5574D2E0" w14:textId="7EA407BA" w:rsidR="00267E5A" w:rsidRPr="001E7AA4" w:rsidRDefault="00267E5A" w:rsidP="00267E5A">
      <w:r w:rsidRPr="001E7AA4">
        <w:t xml:space="preserve">Although the </w:t>
      </w:r>
      <w:r w:rsidRPr="00E332A1">
        <w:t>Higher Education Standards Framework (Threshold Standards) 2021</w:t>
      </w:r>
      <w:r w:rsidRPr="001E7AA4">
        <w:t xml:space="preserve"> requires institutions to have mechanisms to address student complaints, the Review heard that options for addressing student complaints, particularly appeals procedures, are complex, slow, and can be unclear to students, especially those under stress.</w:t>
      </w:r>
    </w:p>
    <w:p w14:paraId="7DCAC34C" w14:textId="1DB25656" w:rsidR="00267E5A" w:rsidRPr="001E7AA4" w:rsidRDefault="00267E5A" w:rsidP="00267E5A">
      <w:r w:rsidRPr="001E7AA4">
        <w:t>The Productivity Commission</w:t>
      </w:r>
      <w:r w:rsidR="33ACA7D7" w:rsidRPr="001E7AA4">
        <w:t xml:space="preserve"> has </w:t>
      </w:r>
      <w:r w:rsidRPr="001E7AA4">
        <w:t>noted “there are few powerful avenues for complaints by university students,” especially regarding teaching quality.</w:t>
      </w:r>
      <w:r w:rsidRPr="001E7AA4">
        <w:rPr>
          <w:rStyle w:val="FootnoteReference"/>
        </w:rPr>
        <w:footnoteReference w:id="166"/>
      </w:r>
      <w:r w:rsidRPr="001E7AA4">
        <w:t xml:space="preserve"> These challenges are amplified for some groups of students who face additional barriers to resolving complaints, such as students with disability</w:t>
      </w:r>
      <w:r w:rsidR="005F5832" w:rsidRPr="001E7AA4">
        <w:t>,</w:t>
      </w:r>
      <w:r w:rsidRPr="001E7AA4">
        <w:rPr>
          <w:rStyle w:val="FootnoteReference"/>
        </w:rPr>
        <w:footnoteReference w:id="167"/>
      </w:r>
      <w:r w:rsidRPr="001E7AA4">
        <w:t xml:space="preserve"> and students enrolled in joint degree programs who “can be bounced back and forth between institutions with each claiming the other institution is responsible for resolving the situation”.</w:t>
      </w:r>
      <w:r w:rsidRPr="001E7AA4">
        <w:rPr>
          <w:sz w:val="17"/>
          <w:szCs w:val="17"/>
          <w:vertAlign w:val="superscript"/>
        </w:rPr>
        <w:t xml:space="preserve"> </w:t>
      </w:r>
      <w:r w:rsidRPr="001E7AA4">
        <w:footnoteReference w:id="168"/>
      </w:r>
    </w:p>
    <w:p w14:paraId="66B33856" w14:textId="69FBBA9A" w:rsidR="00267E5A" w:rsidRPr="001E7AA4" w:rsidRDefault="00267E5A" w:rsidP="00267E5A">
      <w:pPr>
        <w:rPr>
          <w:sz w:val="17"/>
          <w:szCs w:val="17"/>
          <w:vertAlign w:val="superscript"/>
        </w:rPr>
      </w:pPr>
      <w:r w:rsidRPr="001E7AA4">
        <w:t xml:space="preserve">Students </w:t>
      </w:r>
      <w:r w:rsidR="4BE30618" w:rsidRPr="001E7AA4">
        <w:t>require</w:t>
      </w:r>
      <w:r w:rsidRPr="001E7AA4">
        <w:t xml:space="preserve"> a stronger voice in governance and decision-making and </w:t>
      </w:r>
      <w:r w:rsidR="00646909" w:rsidRPr="001E7AA4">
        <w:t xml:space="preserve">need to </w:t>
      </w:r>
      <w:r w:rsidRPr="001E7AA4">
        <w:t>be able to hold institutions to account if they are dissatisfied. Stakeholder suggestions to achieve this include establishing a Higher Education Student Ombudsman to streamline student complaints and grievances.</w:t>
      </w:r>
      <w:r w:rsidR="000E14DA" w:rsidRPr="001E7AA4">
        <w:rPr>
          <w:rStyle w:val="FootnoteReference"/>
        </w:rPr>
        <w:footnoteReference w:id="169"/>
      </w:r>
    </w:p>
    <w:p w14:paraId="310D7673" w14:textId="79328806" w:rsidR="00267E5A" w:rsidRPr="001E7AA4" w:rsidRDefault="00267E5A" w:rsidP="00267E5A">
      <w:r w:rsidRPr="001E7AA4">
        <w:t xml:space="preserve">Institutions have a clear social obligation to ensure campuses are safe, welcoming and inclusive spaces for all domestic and international students. </w:t>
      </w:r>
      <w:r w:rsidR="00A54EFB" w:rsidRPr="001E7AA4">
        <w:t>There could be stronger partnerships between institutions and their student bodies</w:t>
      </w:r>
      <w:r w:rsidR="48119031" w:rsidRPr="001E7AA4" w:rsidDel="004C7E9A">
        <w:t xml:space="preserve"> </w:t>
      </w:r>
      <w:r w:rsidRPr="001E7AA4">
        <w:t xml:space="preserve">to address their concerns and to provide tailored support to ensure students have everything they need to succeed. </w:t>
      </w:r>
    </w:p>
    <w:p w14:paraId="048533A8" w14:textId="41303C3D" w:rsidR="000F2103" w:rsidRDefault="00267E5A" w:rsidP="00267E5A">
      <w:r w:rsidRPr="001E7AA4">
        <w:t>In New Zealand, this has been the focus of a student charter, implemented in 2021. This is a model which Australia could look to adopt in future.</w:t>
      </w:r>
    </w:p>
    <w:p w14:paraId="7283BCA9" w14:textId="77777777" w:rsidR="000F2103" w:rsidRDefault="000F2103">
      <w:pPr>
        <w:spacing w:after="160"/>
      </w:pPr>
      <w:r>
        <w:br w:type="page"/>
      </w:r>
    </w:p>
    <w:tbl>
      <w:tblPr>
        <w:tblStyle w:val="CaseStudy0"/>
        <w:tblW w:w="0" w:type="auto"/>
        <w:tblLook w:val="04A0" w:firstRow="1" w:lastRow="0" w:firstColumn="1" w:lastColumn="0" w:noHBand="0" w:noVBand="1"/>
      </w:tblPr>
      <w:tblGrid>
        <w:gridCol w:w="9016"/>
      </w:tblGrid>
      <w:tr w:rsidR="000F2103" w14:paraId="331A5FF3" w14:textId="77777777" w:rsidTr="000F2103">
        <w:tc>
          <w:tcPr>
            <w:tcW w:w="9016" w:type="dxa"/>
          </w:tcPr>
          <w:p w14:paraId="2429E8DD" w14:textId="77777777" w:rsidR="000F2103" w:rsidRPr="005168F7" w:rsidRDefault="000F2103" w:rsidP="000F2103">
            <w:pPr>
              <w:pStyle w:val="CaseStudy-Heading"/>
            </w:pPr>
            <w:r w:rsidRPr="005168F7">
              <w:lastRenderedPageBreak/>
              <w:t>Case study: New Zealand Code of Practice</w:t>
            </w:r>
          </w:p>
          <w:p w14:paraId="1354B116" w14:textId="33A41509" w:rsidR="000F2103" w:rsidRDefault="000F2103" w:rsidP="000F2103">
            <w:pPr>
              <w:spacing w:after="120"/>
            </w:pPr>
            <w:r w:rsidRPr="001E7AA4">
              <w:t xml:space="preserve">In 2021 the New Zealand Government introduced the </w:t>
            </w:r>
            <w:r w:rsidRPr="001E7AA4">
              <w:rPr>
                <w:i/>
                <w:iCs/>
              </w:rPr>
              <w:t xml:space="preserve">Education (Pastoral Care of Tertiary and International Learners) Code of Practice 2021 </w:t>
            </w:r>
            <w:r w:rsidRPr="001E7AA4">
              <w:t>(the Code), which formally recognises students as stakeholders by outlining universities’ obligations to them.</w:t>
            </w:r>
            <w:r w:rsidRPr="001E7AA4">
              <w:rPr>
                <w:rStyle w:val="FootnoteReference"/>
                <w:rFonts w:ascii="Calibri" w:eastAsia="Calibri" w:hAnsi="Calibri" w:cs="Calibri"/>
              </w:rPr>
              <w:footnoteReference w:id="170"/>
            </w:r>
            <w:r w:rsidRPr="001E7AA4">
              <w:t xml:space="preserve"> The Code supports the wellbeing and safety of students by outlining requirements providers must meet, including considerations for physical and mental health support, safe and inclusive physical and digital environments, responding to complaints, and additional wellbeing and safety practices for tertiary student accommodation and for international learners. The code was developed with input from students, with the then-National President of the New Zealand Union of Students’ Associations saying that “it is heartening that the Ministry of Education listened to the submissions of students and has strengthened their voice throughout the Code.”</w:t>
            </w:r>
            <w:r w:rsidRPr="001E7AA4">
              <w:rPr>
                <w:vertAlign w:val="superscript"/>
              </w:rPr>
              <w:footnoteReference w:id="171"/>
            </w:r>
          </w:p>
        </w:tc>
      </w:tr>
    </w:tbl>
    <w:p w14:paraId="11ED3665" w14:textId="71351398" w:rsidR="00267E5A" w:rsidRPr="001E7AA4" w:rsidRDefault="00045EB9" w:rsidP="00467CBB">
      <w:pPr>
        <w:pStyle w:val="Heading5"/>
      </w:pPr>
      <w:bookmarkStart w:id="394" w:name="_Toc139028926"/>
      <w:r w:rsidRPr="001E7AA4">
        <w:t>Considerations for change</w:t>
      </w:r>
      <w:bookmarkEnd w:id="394"/>
    </w:p>
    <w:p w14:paraId="1B16FF38" w14:textId="47A5D29F" w:rsidR="00F46E80" w:rsidRPr="001E7AA4" w:rsidRDefault="00F46E80" w:rsidP="00F46E80">
      <w:pPr>
        <w:spacing w:after="160" w:line="240" w:lineRule="auto"/>
      </w:pPr>
      <w:r w:rsidRPr="001E7AA4">
        <w:t>To make universities better places to study and work, to ensure more effective governance</w:t>
      </w:r>
      <w:r w:rsidR="00C347DD">
        <w:t xml:space="preserve"> and to support</w:t>
      </w:r>
      <w:r w:rsidRPr="001E7AA4">
        <w:t xml:space="preserve"> institutions working with students, staff and governments, </w:t>
      </w:r>
      <w:r w:rsidR="00FC224D" w:rsidRPr="001E7AA4">
        <w:t xml:space="preserve">the Review will continue to give consideration </w:t>
      </w:r>
      <w:r w:rsidRPr="001E7AA4">
        <w:t>to</w:t>
      </w:r>
      <w:r w:rsidR="00F35837" w:rsidRPr="001E7AA4">
        <w:t xml:space="preserve"> the following policy areas</w:t>
      </w:r>
      <w:r w:rsidR="00342E9E" w:rsidRPr="001E7AA4">
        <w:t>:</w:t>
      </w:r>
    </w:p>
    <w:p w14:paraId="09444E49" w14:textId="77777777" w:rsidR="00F803A3" w:rsidRPr="001E7AA4" w:rsidRDefault="00F803A3" w:rsidP="00A025B1">
      <w:pPr>
        <w:pStyle w:val="ListParagraph"/>
        <w:numPr>
          <w:ilvl w:val="0"/>
          <w:numId w:val="59"/>
        </w:numPr>
        <w:spacing w:after="100" w:line="240" w:lineRule="auto"/>
      </w:pPr>
      <w:r w:rsidRPr="001E7AA4">
        <w:t>improving student wellbeing and safety, including empowering students on matters that affect them</w:t>
      </w:r>
    </w:p>
    <w:p w14:paraId="1C7C0CF4" w14:textId="77777777" w:rsidR="00F803A3" w:rsidRPr="001E7AA4" w:rsidRDefault="00F803A3" w:rsidP="00A025B1">
      <w:pPr>
        <w:pStyle w:val="ListParagraph"/>
        <w:numPr>
          <w:ilvl w:val="0"/>
          <w:numId w:val="59"/>
        </w:numPr>
        <w:spacing w:after="100" w:line="240" w:lineRule="auto"/>
      </w:pPr>
      <w:r w:rsidRPr="001E7AA4">
        <w:t>improving operational practices and supporting governing bodies to improve their effectiveness</w:t>
      </w:r>
    </w:p>
    <w:p w14:paraId="5E09BC96" w14:textId="77777777" w:rsidR="00F803A3" w:rsidRPr="001E7AA4" w:rsidRDefault="00F803A3" w:rsidP="00A025B1">
      <w:pPr>
        <w:pStyle w:val="ListParagraph"/>
        <w:numPr>
          <w:ilvl w:val="0"/>
          <w:numId w:val="59"/>
        </w:numPr>
        <w:spacing w:after="100" w:line="240" w:lineRule="auto"/>
      </w:pPr>
      <w:r w:rsidRPr="001E7AA4">
        <w:t>enhancing wellbeing for staff, and appropriate workforce arrangements</w:t>
      </w:r>
    </w:p>
    <w:p w14:paraId="3694BF6D" w14:textId="77777777" w:rsidR="00F803A3" w:rsidRPr="001E7AA4" w:rsidRDefault="00F803A3" w:rsidP="00A025B1">
      <w:pPr>
        <w:pStyle w:val="ListParagraph"/>
        <w:numPr>
          <w:ilvl w:val="0"/>
          <w:numId w:val="59"/>
        </w:numPr>
        <w:spacing w:after="100" w:line="240" w:lineRule="auto"/>
      </w:pPr>
      <w:r w:rsidRPr="001E7AA4">
        <w:t xml:space="preserve">ensuring higher education institutions develop appropriate governance frameworks to avoid underpayment of staff </w:t>
      </w:r>
    </w:p>
    <w:p w14:paraId="038098E2" w14:textId="3D5E5D95" w:rsidR="00F803A3" w:rsidRPr="001E7AA4" w:rsidRDefault="00F803A3" w:rsidP="00A025B1">
      <w:pPr>
        <w:pStyle w:val="ListParagraph"/>
        <w:numPr>
          <w:ilvl w:val="0"/>
          <w:numId w:val="59"/>
        </w:numPr>
        <w:spacing w:after="100" w:line="240" w:lineRule="auto"/>
      </w:pPr>
      <w:r w:rsidRPr="001E7AA4">
        <w:t xml:space="preserve">through </w:t>
      </w:r>
      <w:r w:rsidR="4AE9A34F" w:rsidRPr="001E7AA4">
        <w:t xml:space="preserve">an ongoing </w:t>
      </w:r>
      <w:r w:rsidRPr="001E7AA4">
        <w:t>Accord</w:t>
      </w:r>
      <w:r w:rsidR="0CADAC53" w:rsidRPr="001E7AA4">
        <w:t xml:space="preserve"> process</w:t>
      </w:r>
      <w:r w:rsidRPr="001E7AA4">
        <w:t>, bringing together staff, unions, institutions and governments to consider policy settings, awards and institutional workforce structures</w:t>
      </w:r>
    </w:p>
    <w:p w14:paraId="7775D93C" w14:textId="77777777" w:rsidR="00F803A3" w:rsidRPr="001E7AA4" w:rsidRDefault="00F803A3" w:rsidP="00A025B1">
      <w:pPr>
        <w:pStyle w:val="ListParagraph"/>
        <w:numPr>
          <w:ilvl w:val="0"/>
          <w:numId w:val="59"/>
        </w:numPr>
        <w:spacing w:after="100" w:line="240" w:lineRule="auto"/>
        <w:rPr>
          <w:color w:val="0D0D0D" w:themeColor="text1" w:themeTint="F2"/>
        </w:rPr>
      </w:pPr>
      <w:r w:rsidRPr="001E7AA4">
        <w:t xml:space="preserve">providing explicit support for tutors, research trainees and others on the boundary between </w:t>
      </w:r>
      <w:r w:rsidRPr="001E7AA4">
        <w:rPr>
          <w:color w:val="0D0D0D" w:themeColor="text1" w:themeTint="F2"/>
        </w:rPr>
        <w:t>student and staff status, and enhancing career stability for early career academic staff</w:t>
      </w:r>
    </w:p>
    <w:p w14:paraId="7F1BC968" w14:textId="5A6B10A3" w:rsidR="00F803A3" w:rsidRPr="001E7AA4" w:rsidRDefault="00F803A3" w:rsidP="00A025B1">
      <w:pPr>
        <w:pStyle w:val="ListParagraph"/>
        <w:numPr>
          <w:ilvl w:val="0"/>
          <w:numId w:val="59"/>
        </w:numPr>
        <w:spacing w:after="100" w:line="240" w:lineRule="auto"/>
        <w:rPr>
          <w:color w:val="0D0D0D" w:themeColor="text1" w:themeTint="F2"/>
        </w:rPr>
      </w:pPr>
      <w:r w:rsidRPr="001E7AA4">
        <w:rPr>
          <w:color w:val="0D0D0D" w:themeColor="text1" w:themeTint="F2"/>
        </w:rPr>
        <w:t>considering improvements to the</w:t>
      </w:r>
      <w:r w:rsidR="00C347DD">
        <w:rPr>
          <w:color w:val="0D0D0D" w:themeColor="text1" w:themeTint="F2"/>
        </w:rPr>
        <w:t xml:space="preserve"> </w:t>
      </w:r>
      <w:r w:rsidR="00C347DD" w:rsidRPr="00C347DD">
        <w:rPr>
          <w:color w:val="0D0D0D" w:themeColor="text1" w:themeTint="F2"/>
        </w:rPr>
        <w:t>Voluntary Code of Best Practice for the Governance of Australian Public Universities</w:t>
      </w:r>
      <w:r w:rsidRPr="001E7AA4">
        <w:rPr>
          <w:color w:val="0D0D0D" w:themeColor="text1" w:themeTint="F2"/>
        </w:rPr>
        <w:t xml:space="preserve"> and council composition to recognise the importance of expertise and leadership in teaching and research</w:t>
      </w:r>
    </w:p>
    <w:p w14:paraId="680A894C" w14:textId="77777777" w:rsidR="00F803A3" w:rsidRPr="001E7AA4" w:rsidRDefault="00F803A3" w:rsidP="00A025B1">
      <w:pPr>
        <w:pStyle w:val="ListParagraph"/>
        <w:numPr>
          <w:ilvl w:val="0"/>
          <w:numId w:val="59"/>
        </w:numPr>
        <w:spacing w:after="100" w:line="240" w:lineRule="auto"/>
        <w:rPr>
          <w:color w:val="0D0D0D" w:themeColor="text1" w:themeTint="F2"/>
        </w:rPr>
      </w:pPr>
      <w:r w:rsidRPr="001E7AA4">
        <w:rPr>
          <w:color w:val="0D0D0D" w:themeColor="text1" w:themeTint="F2"/>
        </w:rPr>
        <w:t>examining whether current reporting arrangements demonstrate effective and efficient use of government funds by higher education institutions</w:t>
      </w:r>
    </w:p>
    <w:p w14:paraId="774225D0" w14:textId="1E9B71A9" w:rsidR="000F2103" w:rsidRDefault="00F803A3" w:rsidP="00A025B1">
      <w:pPr>
        <w:pStyle w:val="ListParagraph"/>
        <w:numPr>
          <w:ilvl w:val="0"/>
          <w:numId w:val="59"/>
        </w:numPr>
        <w:spacing w:after="100" w:line="240" w:lineRule="auto"/>
        <w:rPr>
          <w:color w:val="0D0D0D" w:themeColor="text1" w:themeTint="F2"/>
        </w:rPr>
      </w:pPr>
      <w:r w:rsidRPr="001E7AA4">
        <w:rPr>
          <w:color w:val="0D0D0D" w:themeColor="text1" w:themeTint="F2"/>
        </w:rPr>
        <w:t>considering development of a national student charter to ensure a consistent national approach to the welfare, safety and wellbeing of all students.</w:t>
      </w:r>
    </w:p>
    <w:p w14:paraId="4C6426C0" w14:textId="77777777" w:rsidR="000F2103" w:rsidRDefault="000F2103">
      <w:pPr>
        <w:spacing w:after="160"/>
        <w:rPr>
          <w:color w:val="0D0D0D" w:themeColor="text1" w:themeTint="F2"/>
        </w:rPr>
      </w:pPr>
      <w:r>
        <w:rPr>
          <w:color w:val="0D0D0D" w:themeColor="text1" w:themeTint="F2"/>
        </w:rPr>
        <w:br w:type="page"/>
      </w:r>
    </w:p>
    <w:tbl>
      <w:tblPr>
        <w:tblStyle w:val="BlueTable"/>
        <w:tblW w:w="0" w:type="auto"/>
        <w:tblLook w:val="04A0" w:firstRow="1" w:lastRow="0" w:firstColumn="1" w:lastColumn="0" w:noHBand="0" w:noVBand="1"/>
      </w:tblPr>
      <w:tblGrid>
        <w:gridCol w:w="9016"/>
      </w:tblGrid>
      <w:tr w:rsidR="000F2103" w14:paraId="299515C1" w14:textId="77777777" w:rsidTr="000F2103">
        <w:tc>
          <w:tcPr>
            <w:tcW w:w="9016" w:type="dxa"/>
          </w:tcPr>
          <w:p w14:paraId="2FF25507" w14:textId="77777777" w:rsidR="000F2103" w:rsidRPr="000F2103" w:rsidRDefault="000F2103" w:rsidP="00560132">
            <w:pPr>
              <w:pStyle w:val="BlueShadedBox-Body"/>
              <w:spacing w:after="120"/>
              <w:rPr>
                <w:rStyle w:val="Strong"/>
              </w:rPr>
            </w:pPr>
            <w:r w:rsidRPr="000F2103">
              <w:rPr>
                <w:rStyle w:val="Strong"/>
              </w:rPr>
              <w:lastRenderedPageBreak/>
              <w:t xml:space="preserve">Potential proposals the Review may also consider for the Final Report, and that reflect the broad themes outlined above, include: </w:t>
            </w:r>
          </w:p>
          <w:p w14:paraId="7EB4BF49" w14:textId="77777777" w:rsidR="000F2103" w:rsidRDefault="000F2103" w:rsidP="00560132">
            <w:pPr>
              <w:pStyle w:val="BlueShadedBox-Body"/>
              <w:spacing w:after="0"/>
            </w:pPr>
            <w:r w:rsidRPr="005168F7">
              <w:t>Improving the operations of governing bodies:</w:t>
            </w:r>
          </w:p>
          <w:p w14:paraId="771B5A3D" w14:textId="77777777" w:rsidR="000F2103" w:rsidRPr="005168F7" w:rsidRDefault="000F2103" w:rsidP="00A025B1">
            <w:pPr>
              <w:pStyle w:val="List2"/>
              <w:numPr>
                <w:ilvl w:val="1"/>
                <w:numId w:val="43"/>
              </w:numPr>
              <w:spacing w:after="0"/>
              <w:ind w:left="607"/>
            </w:pPr>
            <w:r w:rsidRPr="005168F7">
              <w:t>adopting a national code of practice and governance for university councils, coupled with enhanced public reporting.</w:t>
            </w:r>
          </w:p>
          <w:p w14:paraId="6F61C6C6" w14:textId="77777777" w:rsidR="000F2103" w:rsidRDefault="000F2103" w:rsidP="00560132">
            <w:pPr>
              <w:pStyle w:val="BlueShadedBox-Body"/>
              <w:spacing w:after="0"/>
            </w:pPr>
            <w:r w:rsidRPr="005168F7">
              <w:t>Improving student wellbeing and accountability:</w:t>
            </w:r>
          </w:p>
          <w:p w14:paraId="15139A6F" w14:textId="77777777" w:rsidR="000F2103" w:rsidRPr="005168F7" w:rsidRDefault="000F2103" w:rsidP="00A025B1">
            <w:pPr>
              <w:pStyle w:val="List2"/>
              <w:numPr>
                <w:ilvl w:val="1"/>
                <w:numId w:val="44"/>
              </w:numPr>
              <w:ind w:left="607"/>
            </w:pPr>
            <w:r w:rsidRPr="005168F7">
              <w:t>developing a national student charter, in collaboration with domestic and international students, ensuring a national commitment and consistent approach to the welfare, safety and wellbeing of all students</w:t>
            </w:r>
          </w:p>
          <w:p w14:paraId="2C185B95" w14:textId="77777777" w:rsidR="000F2103" w:rsidRPr="005168F7" w:rsidRDefault="000F2103" w:rsidP="00A025B1">
            <w:pPr>
              <w:pStyle w:val="List2"/>
              <w:numPr>
                <w:ilvl w:val="1"/>
                <w:numId w:val="44"/>
              </w:numPr>
              <w:ind w:left="607"/>
            </w:pPr>
            <w:r w:rsidRPr="005168F7">
              <w:t>creating new structures and empower existing ones for students to advocate for their interests in institutional and national-level decision making</w:t>
            </w:r>
          </w:p>
          <w:p w14:paraId="3D7E3301" w14:textId="77777777" w:rsidR="000F2103" w:rsidRDefault="000F2103" w:rsidP="00A025B1">
            <w:pPr>
              <w:pStyle w:val="List2"/>
              <w:numPr>
                <w:ilvl w:val="1"/>
                <w:numId w:val="44"/>
              </w:numPr>
              <w:ind w:left="607"/>
            </w:pPr>
            <w:r w:rsidRPr="005168F7">
              <w:t>embedding First Nations culture, knowledge and success in all aspects of university operations</w:t>
            </w:r>
          </w:p>
          <w:p w14:paraId="2D7778F8" w14:textId="77777777" w:rsidR="000F2103" w:rsidRPr="005168F7" w:rsidRDefault="000F2103" w:rsidP="00A025B1">
            <w:pPr>
              <w:pStyle w:val="List2"/>
              <w:numPr>
                <w:ilvl w:val="1"/>
                <w:numId w:val="44"/>
              </w:numPr>
              <w:ind w:left="607"/>
            </w:pPr>
            <w:r w:rsidRPr="005168F7">
              <w:t>strengthening the role for the Commonwealth Ombudsman in student complaints, for both international and domestic students</w:t>
            </w:r>
          </w:p>
          <w:p w14:paraId="5B688022" w14:textId="77777777" w:rsidR="000F2103" w:rsidRDefault="000F2103" w:rsidP="00A025B1">
            <w:pPr>
              <w:pStyle w:val="List2"/>
              <w:numPr>
                <w:ilvl w:val="1"/>
                <w:numId w:val="44"/>
              </w:numPr>
              <w:spacing w:after="0"/>
              <w:ind w:left="607"/>
            </w:pPr>
            <w:r w:rsidRPr="005168F7">
              <w:t>providing a greater percentage of the Student Services and Amenities Fee to student unions to ensure the support and representation of students.</w:t>
            </w:r>
          </w:p>
          <w:p w14:paraId="5308817A" w14:textId="77777777" w:rsidR="000F2103" w:rsidRDefault="000F2103" w:rsidP="00560132">
            <w:pPr>
              <w:pStyle w:val="BlueShadedBox-Body"/>
              <w:spacing w:after="0"/>
            </w:pPr>
            <w:r w:rsidRPr="005168F7">
              <w:t>Improving workforce arrangements to enhance staff safety and wellbeing:</w:t>
            </w:r>
          </w:p>
          <w:p w14:paraId="085BF918" w14:textId="77777777" w:rsidR="000F2103" w:rsidRPr="005168F7" w:rsidRDefault="000F2103" w:rsidP="000F2103">
            <w:pPr>
              <w:pStyle w:val="List2"/>
              <w:ind w:left="570"/>
            </w:pPr>
            <w:r w:rsidRPr="005168F7">
              <w:t>ensuring institutions and providers are meeting their obligations to staff and operate as exemplary employers</w:t>
            </w:r>
          </w:p>
          <w:p w14:paraId="4B6FC40B" w14:textId="77777777" w:rsidR="000F2103" w:rsidRDefault="000F2103" w:rsidP="000F2103">
            <w:pPr>
              <w:pStyle w:val="List2"/>
              <w:ind w:left="570"/>
            </w:pPr>
            <w:r w:rsidRPr="005168F7">
              <w:t>institutions improving professional development opportunities for staff to help staff gain and develop skills in teaching, research and management, with a focus on increasing the number of First Nations researchers and leaders in universities</w:t>
            </w:r>
          </w:p>
          <w:p w14:paraId="19C0A7ED" w14:textId="77777777" w:rsidR="000F2103" w:rsidRDefault="000F2103" w:rsidP="000F2103">
            <w:pPr>
              <w:pStyle w:val="List2"/>
              <w:ind w:left="570"/>
            </w:pPr>
            <w:r w:rsidRPr="005168F7">
              <w:t xml:space="preserve">boosting the capability of Australia’s research workforce capacity by: </w:t>
            </w:r>
          </w:p>
          <w:p w14:paraId="0EF6DEFB" w14:textId="77777777" w:rsidR="000F2103" w:rsidRPr="005168F7" w:rsidRDefault="000F2103" w:rsidP="000F2103">
            <w:pPr>
              <w:pStyle w:val="List3"/>
              <w:ind w:left="927"/>
            </w:pPr>
            <w:r w:rsidRPr="005168F7">
              <w:t>supporting post-doctoral staff for their future careers whether in the sector or beyond</w:t>
            </w:r>
          </w:p>
          <w:p w14:paraId="25B4F12D" w14:textId="58CF9A07" w:rsidR="000F2103" w:rsidRPr="000F2103" w:rsidRDefault="000F2103" w:rsidP="000F2103">
            <w:pPr>
              <w:pStyle w:val="List3"/>
              <w:ind w:left="927"/>
            </w:pPr>
            <w:r w:rsidRPr="005168F7">
              <w:t>providing significant professional development for the academic workforce in research skills.</w:t>
            </w:r>
          </w:p>
        </w:tc>
      </w:tr>
    </w:tbl>
    <w:p w14:paraId="3D6F18BA" w14:textId="2F54E113" w:rsidR="00267E5A" w:rsidRPr="001E7AA4" w:rsidRDefault="00841573" w:rsidP="000F2103">
      <w:pPr>
        <w:pStyle w:val="Heading4"/>
      </w:pPr>
      <w:bookmarkStart w:id="395" w:name="_Toc1493552760"/>
      <w:bookmarkStart w:id="396" w:name="_Toc136169220"/>
      <w:bookmarkStart w:id="397" w:name="_Toc136029933"/>
      <w:r w:rsidRPr="001E7AA4">
        <w:br w:type="page"/>
      </w:r>
      <w:bookmarkStart w:id="398" w:name="_Toc137829595"/>
      <w:bookmarkStart w:id="399" w:name="_Toc139028927"/>
      <w:r w:rsidR="4F7E9CFA" w:rsidRPr="001E7AA4">
        <w:lastRenderedPageBreak/>
        <w:t>3.3: Sustainable funding and financing</w:t>
      </w:r>
      <w:bookmarkEnd w:id="395"/>
      <w:bookmarkEnd w:id="398"/>
      <w:bookmarkEnd w:id="399"/>
      <w:r w:rsidR="4F7E9CFA" w:rsidRPr="001E7AA4">
        <w:t xml:space="preserve"> </w:t>
      </w:r>
    </w:p>
    <w:p w14:paraId="2BB76D2F" w14:textId="457ECA12" w:rsidR="00267E5A" w:rsidRPr="001E7AA4" w:rsidRDefault="00267E5A" w:rsidP="00267E5A">
      <w:pPr>
        <w:pStyle w:val="Quote"/>
      </w:pPr>
      <w:r w:rsidRPr="001E7AA4">
        <w:t xml:space="preserve">“To maximise the value universities can provide as part of a strong post-secondary system, we need policy and funding settings that recognise that university education and research make our nation stronger.” </w:t>
      </w:r>
      <w:r w:rsidR="00E61ECB">
        <w:br/>
      </w:r>
      <w:r w:rsidRPr="001E7AA4">
        <w:t>– Universities Australia</w:t>
      </w:r>
    </w:p>
    <w:p w14:paraId="36E460D8" w14:textId="77777777" w:rsidR="00267E5A" w:rsidRPr="001E7AA4" w:rsidRDefault="4F7E9CFA" w:rsidP="00467CBB">
      <w:pPr>
        <w:pStyle w:val="Heading5"/>
      </w:pPr>
      <w:bookmarkStart w:id="400" w:name="_Toc137829596"/>
      <w:bookmarkStart w:id="401" w:name="_Toc1960250514"/>
      <w:bookmarkStart w:id="402" w:name="_Toc139028928"/>
      <w:r w:rsidRPr="001E7AA4">
        <w:t>Issues</w:t>
      </w:r>
      <w:bookmarkEnd w:id="400"/>
      <w:bookmarkEnd w:id="401"/>
      <w:bookmarkEnd w:id="402"/>
    </w:p>
    <w:p w14:paraId="7263FDDB" w14:textId="7B378658" w:rsidR="00267E5A" w:rsidRPr="001E7AA4" w:rsidRDefault="00267E5A" w:rsidP="00267E5A">
      <w:pPr>
        <w:rPr>
          <w:lang w:eastAsia="en-AU"/>
        </w:rPr>
      </w:pPr>
      <w:r w:rsidRPr="001E7AA4">
        <w:rPr>
          <w:lang w:eastAsia="en-AU"/>
        </w:rPr>
        <w:t>The success of the Australian higher education system relies on a secure, enduring and sustainable funding system. The funding system must ensure that Australia produces the graduates it needs in the fields and geographical locations they are most needed, while also ensuring equity of opportunity to benefit from an education that transforms lives and communities. The system must provide for universities to receive sufficient funding to enable their ongoing financial health and continued high</w:t>
      </w:r>
      <w:r w:rsidR="5CA29825" w:rsidRPr="001E7AA4">
        <w:rPr>
          <w:lang w:eastAsia="en-AU"/>
        </w:rPr>
        <w:t>-</w:t>
      </w:r>
      <w:r w:rsidRPr="001E7AA4">
        <w:rPr>
          <w:lang w:eastAsia="en-AU"/>
        </w:rPr>
        <w:t xml:space="preserve">quality delivery, </w:t>
      </w:r>
      <w:r w:rsidR="002B6364" w:rsidRPr="001E7AA4">
        <w:rPr>
          <w:lang w:eastAsia="en-AU"/>
        </w:rPr>
        <w:t xml:space="preserve">and </w:t>
      </w:r>
      <w:r w:rsidRPr="001E7AA4">
        <w:rPr>
          <w:lang w:eastAsia="en-AU"/>
        </w:rPr>
        <w:t xml:space="preserve">also that students are treated fairly and not left with unreasonable debts. </w:t>
      </w:r>
    </w:p>
    <w:p w14:paraId="010EAE07" w14:textId="62681FA5" w:rsidR="00267E5A" w:rsidRPr="001E7AA4" w:rsidRDefault="7A7AF4A8" w:rsidP="00267E5A">
      <w:pPr>
        <w:rPr>
          <w:rFonts w:ascii="Calibri" w:eastAsia="Calibri" w:hAnsi="Calibri" w:cs="Calibri"/>
        </w:rPr>
      </w:pPr>
      <w:r w:rsidRPr="001E7AA4">
        <w:rPr>
          <w:lang w:eastAsia="en-AU"/>
        </w:rPr>
        <w:t xml:space="preserve">The </w:t>
      </w:r>
      <w:r w:rsidR="7E9CA46F" w:rsidRPr="001E7AA4">
        <w:rPr>
          <w:lang w:eastAsia="en-AU"/>
        </w:rPr>
        <w:t>Review</w:t>
      </w:r>
      <w:r w:rsidRPr="001E7AA4">
        <w:rPr>
          <w:lang w:eastAsia="en-AU"/>
        </w:rPr>
        <w:t xml:space="preserve"> </w:t>
      </w:r>
      <w:r w:rsidR="4B72D5C8" w:rsidRPr="001E7AA4">
        <w:rPr>
          <w:lang w:eastAsia="en-AU"/>
        </w:rPr>
        <w:t>has heard significant concerns regarding</w:t>
      </w:r>
      <w:r w:rsidR="00267E5A" w:rsidRPr="001E7AA4">
        <w:rPr>
          <w:lang w:eastAsia="en-AU"/>
        </w:rPr>
        <w:t xml:space="preserve"> </w:t>
      </w:r>
      <w:r w:rsidR="4B72D5C8" w:rsidRPr="001E7AA4">
        <w:rPr>
          <w:lang w:eastAsia="en-AU"/>
        </w:rPr>
        <w:t xml:space="preserve">the </w:t>
      </w:r>
      <w:r w:rsidR="00267E5A" w:rsidRPr="001E7AA4">
        <w:rPr>
          <w:lang w:eastAsia="en-AU"/>
        </w:rPr>
        <w:t>current funding system,</w:t>
      </w:r>
      <w:r w:rsidR="4F8F5B8B" w:rsidRPr="001E7AA4">
        <w:rPr>
          <w:lang w:eastAsia="en-AU"/>
        </w:rPr>
        <w:t xml:space="preserve"> </w:t>
      </w:r>
      <w:r w:rsidR="638CEA9C" w:rsidRPr="001E7AA4">
        <w:rPr>
          <w:lang w:eastAsia="en-AU"/>
        </w:rPr>
        <w:t xml:space="preserve">in particular the implementation of </w:t>
      </w:r>
      <w:r w:rsidR="006F0F6B" w:rsidRPr="001E7AA4">
        <w:rPr>
          <w:lang w:eastAsia="en-AU"/>
        </w:rPr>
        <w:t>the JRG package</w:t>
      </w:r>
      <w:r w:rsidR="48DD1C51" w:rsidRPr="001E7AA4">
        <w:rPr>
          <w:lang w:eastAsia="en-AU"/>
        </w:rPr>
        <w:t xml:space="preserve">, </w:t>
      </w:r>
      <w:r w:rsidR="54B3A19F" w:rsidRPr="001E7AA4">
        <w:rPr>
          <w:lang w:eastAsia="en-AU"/>
        </w:rPr>
        <w:t>cross-subsidisation</w:t>
      </w:r>
      <w:r w:rsidR="004729AC" w:rsidRPr="001E7AA4">
        <w:rPr>
          <w:lang w:eastAsia="en-AU"/>
        </w:rPr>
        <w:t>,</w:t>
      </w:r>
      <w:r w:rsidR="54B3A19F" w:rsidRPr="001E7AA4">
        <w:rPr>
          <w:lang w:eastAsia="en-AU"/>
        </w:rPr>
        <w:t xml:space="preserve"> a </w:t>
      </w:r>
      <w:r w:rsidR="54F93006" w:rsidRPr="001E7AA4">
        <w:rPr>
          <w:lang w:eastAsia="en-AU"/>
        </w:rPr>
        <w:t xml:space="preserve">reliance on </w:t>
      </w:r>
      <w:r w:rsidR="54B3A19F" w:rsidRPr="001E7AA4">
        <w:rPr>
          <w:lang w:eastAsia="en-AU"/>
        </w:rPr>
        <w:t xml:space="preserve">volatile </w:t>
      </w:r>
      <w:r w:rsidR="21359970" w:rsidRPr="001E7AA4">
        <w:rPr>
          <w:lang w:eastAsia="en-AU"/>
        </w:rPr>
        <w:t>revenue</w:t>
      </w:r>
      <w:r w:rsidR="54B3A19F" w:rsidRPr="001E7AA4">
        <w:rPr>
          <w:lang w:eastAsia="en-AU"/>
        </w:rPr>
        <w:t xml:space="preserve"> sources</w:t>
      </w:r>
      <w:r w:rsidR="004729AC" w:rsidRPr="001E7AA4">
        <w:rPr>
          <w:lang w:eastAsia="en-AU"/>
        </w:rPr>
        <w:t>,</w:t>
      </w:r>
      <w:r w:rsidR="54B3A19F" w:rsidRPr="001E7AA4">
        <w:rPr>
          <w:lang w:eastAsia="en-AU"/>
        </w:rPr>
        <w:t xml:space="preserve"> and </w:t>
      </w:r>
      <w:r w:rsidR="0B62F19D" w:rsidRPr="001E7AA4">
        <w:rPr>
          <w:lang w:eastAsia="en-AU"/>
        </w:rPr>
        <w:t>system transparency</w:t>
      </w:r>
      <w:r w:rsidR="54B3A19F" w:rsidRPr="001E7AA4">
        <w:rPr>
          <w:lang w:eastAsia="en-AU"/>
        </w:rPr>
        <w:t>. As such, the Review</w:t>
      </w:r>
      <w:r w:rsidR="48DD1C51" w:rsidRPr="001E7AA4">
        <w:rPr>
          <w:lang w:eastAsia="en-AU"/>
        </w:rPr>
        <w:t xml:space="preserve"> </w:t>
      </w:r>
      <w:r w:rsidR="7A7AC1D7" w:rsidRPr="001E7AA4">
        <w:rPr>
          <w:lang w:eastAsia="en-AU"/>
        </w:rPr>
        <w:t xml:space="preserve">is </w:t>
      </w:r>
      <w:r w:rsidR="54E5FCF1" w:rsidRPr="001E7AA4">
        <w:rPr>
          <w:lang w:eastAsia="en-AU"/>
        </w:rPr>
        <w:t>examining whether this system</w:t>
      </w:r>
      <w:r w:rsidR="00267E5A" w:rsidRPr="001E7AA4">
        <w:rPr>
          <w:lang w:eastAsia="en-AU"/>
        </w:rPr>
        <w:t xml:space="preserve"> is fit-for-purpose and </w:t>
      </w:r>
      <w:r w:rsidR="212956C7" w:rsidRPr="001E7AA4">
        <w:rPr>
          <w:lang w:eastAsia="en-AU"/>
        </w:rPr>
        <w:t xml:space="preserve">if it requires </w:t>
      </w:r>
      <w:r w:rsidR="00267E5A" w:rsidRPr="001E7AA4">
        <w:rPr>
          <w:lang w:eastAsia="en-AU"/>
        </w:rPr>
        <w:t xml:space="preserve">redesign.  </w:t>
      </w:r>
    </w:p>
    <w:p w14:paraId="2B36F293" w14:textId="1C29E5D1" w:rsidR="00267E5A" w:rsidRPr="001E7AA4" w:rsidRDefault="00267E5A" w:rsidP="00267E5A">
      <w:pPr>
        <w:rPr>
          <w:lang w:eastAsia="en-AU"/>
        </w:rPr>
      </w:pPr>
      <w:r w:rsidRPr="001E7AA4">
        <w:rPr>
          <w:lang w:eastAsia="en-AU"/>
        </w:rPr>
        <w:t xml:space="preserve">This </w:t>
      </w:r>
      <w:r w:rsidR="002B6364" w:rsidRPr="001E7AA4">
        <w:rPr>
          <w:lang w:eastAsia="en-AU"/>
        </w:rPr>
        <w:t xml:space="preserve">section </w:t>
      </w:r>
      <w:r w:rsidR="00B31149" w:rsidRPr="001E7AA4">
        <w:rPr>
          <w:lang w:eastAsia="en-AU"/>
        </w:rPr>
        <w:t>explores issues</w:t>
      </w:r>
      <w:r w:rsidRPr="001E7AA4">
        <w:rPr>
          <w:lang w:eastAsia="en-AU"/>
        </w:rPr>
        <w:t xml:space="preserve"> with the current funding system, focusing on funding to support learning and teaching and funding for infrastructure, with aspects of the funding for research covered in Section 2.7.</w:t>
      </w:r>
    </w:p>
    <w:p w14:paraId="7604B56F" w14:textId="77777777" w:rsidR="00267E5A" w:rsidRPr="001E7AA4" w:rsidRDefault="4F7E9CFA" w:rsidP="00E40AED">
      <w:pPr>
        <w:pStyle w:val="Heading5"/>
      </w:pPr>
      <w:bookmarkStart w:id="403" w:name="_Toc136169223"/>
      <w:bookmarkStart w:id="404" w:name="_Toc136029934"/>
      <w:bookmarkStart w:id="405" w:name="_Toc137829597"/>
      <w:bookmarkStart w:id="406" w:name="_Toc463199331"/>
      <w:bookmarkStart w:id="407" w:name="_Toc139028929"/>
      <w:r w:rsidRPr="001E7AA4">
        <w:t>3.3.1 Guiding principles for a new funding model</w:t>
      </w:r>
      <w:bookmarkEnd w:id="403"/>
      <w:bookmarkEnd w:id="404"/>
      <w:bookmarkEnd w:id="405"/>
      <w:bookmarkEnd w:id="406"/>
      <w:bookmarkEnd w:id="407"/>
    </w:p>
    <w:p w14:paraId="2DB16C55" w14:textId="668C946B" w:rsidR="00267E5A" w:rsidRPr="001E7AA4" w:rsidRDefault="00267E5A" w:rsidP="00267E5A">
      <w:pPr>
        <w:rPr>
          <w:lang w:eastAsia="en-AU"/>
        </w:rPr>
      </w:pPr>
      <w:r w:rsidRPr="001E7AA4">
        <w:rPr>
          <w:lang w:eastAsia="en-AU"/>
        </w:rPr>
        <w:t xml:space="preserve">The funding and financing arrangements of the higher education sector are essential </w:t>
      </w:r>
      <w:r w:rsidR="006F0F6B" w:rsidRPr="001E7AA4">
        <w:rPr>
          <w:lang w:eastAsia="en-AU"/>
        </w:rPr>
        <w:t>for</w:t>
      </w:r>
      <w:r w:rsidRPr="001E7AA4">
        <w:rPr>
          <w:lang w:eastAsia="en-AU"/>
        </w:rPr>
        <w:t xml:space="preserve"> achieving the ambitions elicited in the preceding chapters. The current funding system has evolved </w:t>
      </w:r>
      <w:r w:rsidR="16195EF7" w:rsidRPr="001E7AA4">
        <w:rPr>
          <w:lang w:eastAsia="en-AU"/>
        </w:rPr>
        <w:t>rapidly</w:t>
      </w:r>
      <w:r w:rsidR="5A728388" w:rsidRPr="001E7AA4">
        <w:rPr>
          <w:lang w:eastAsia="en-AU"/>
        </w:rPr>
        <w:t xml:space="preserve"> </w:t>
      </w:r>
      <w:r w:rsidRPr="001E7AA4">
        <w:rPr>
          <w:lang w:eastAsia="en-AU"/>
        </w:rPr>
        <w:t xml:space="preserve">to reflect a patchwork of narrow and competing objectives that, taken together, undermine the system. The Review has consistently emphasised that a framework of strong values and principles must underpin a future higher education funding system. </w:t>
      </w:r>
    </w:p>
    <w:p w14:paraId="0A95C4A3" w14:textId="3A26ABBB" w:rsidR="00267E5A" w:rsidRPr="001E7AA4" w:rsidRDefault="00267E5A" w:rsidP="00267E5A">
      <w:pPr>
        <w:rPr>
          <w:lang w:eastAsia="en-AU"/>
        </w:rPr>
      </w:pPr>
      <w:r w:rsidRPr="001E7AA4">
        <w:rPr>
          <w:lang w:eastAsia="en-AU"/>
        </w:rPr>
        <w:t xml:space="preserve">Based on the </w:t>
      </w:r>
      <w:r w:rsidR="004104C4" w:rsidRPr="001E7AA4">
        <w:rPr>
          <w:lang w:eastAsia="en-AU"/>
        </w:rPr>
        <w:t xml:space="preserve">Review’s </w:t>
      </w:r>
      <w:r w:rsidRPr="001E7AA4">
        <w:rPr>
          <w:lang w:eastAsia="en-AU"/>
        </w:rPr>
        <w:t xml:space="preserve">discussions and feedback to date, these could include: </w:t>
      </w:r>
    </w:p>
    <w:p w14:paraId="2EA546D5" w14:textId="53798672" w:rsidR="00267E5A" w:rsidRPr="001E7AA4" w:rsidRDefault="006F0F6B" w:rsidP="002D7F91">
      <w:pPr>
        <w:pStyle w:val="ListBullet"/>
        <w:rPr>
          <w:rFonts w:ascii="Calibri" w:eastAsia="Times New Roman" w:hAnsi="Calibri" w:cs="Calibri"/>
          <w:lang w:eastAsia="en-AU"/>
        </w:rPr>
      </w:pPr>
      <w:r w:rsidRPr="001E7AA4">
        <w:t>t</w:t>
      </w:r>
      <w:r w:rsidR="00267E5A" w:rsidRPr="001E7AA4">
        <w:t>he funding system supports participation and meeting the knowledge creation, education and skills needs of the country</w:t>
      </w:r>
    </w:p>
    <w:p w14:paraId="159B13E7" w14:textId="24CE0102" w:rsidR="00267E5A" w:rsidRPr="001E7AA4" w:rsidRDefault="006F0F6B" w:rsidP="002D7F91">
      <w:pPr>
        <w:pStyle w:val="ListBullet"/>
        <w:rPr>
          <w:rFonts w:ascii="Calibri" w:eastAsia="Times New Roman" w:hAnsi="Calibri" w:cs="Calibri"/>
          <w:lang w:eastAsia="en-AU"/>
        </w:rPr>
      </w:pPr>
      <w:r w:rsidRPr="001E7AA4">
        <w:t>t</w:t>
      </w:r>
      <w:r w:rsidR="00267E5A" w:rsidRPr="001E7AA4">
        <w:t>he higher education funding system must be simple, fair, transparent, secure and enduring</w:t>
      </w:r>
    </w:p>
    <w:p w14:paraId="79573312" w14:textId="1C0F3A1D" w:rsidR="00267E5A" w:rsidRPr="001E7AA4" w:rsidRDefault="006F0F6B" w:rsidP="002D7F91">
      <w:pPr>
        <w:pStyle w:val="ListBullet"/>
        <w:rPr>
          <w:rFonts w:ascii="Calibri" w:eastAsia="Times New Roman" w:hAnsi="Calibri" w:cs="Calibri"/>
          <w:lang w:eastAsia="en-AU"/>
        </w:rPr>
      </w:pPr>
      <w:r w:rsidRPr="001E7AA4">
        <w:t>t</w:t>
      </w:r>
      <w:r w:rsidR="00267E5A" w:rsidRPr="001E7AA4">
        <w:t>he cost of university activities (teaching, research and community engagement) should be accurately measured and made transparent</w:t>
      </w:r>
    </w:p>
    <w:p w14:paraId="214F358C" w14:textId="22A410E5" w:rsidR="00267E5A" w:rsidRPr="001E7AA4" w:rsidRDefault="006F0F6B" w:rsidP="002D7F91">
      <w:pPr>
        <w:pStyle w:val="ListBullet"/>
        <w:rPr>
          <w:rFonts w:ascii="Calibri" w:eastAsia="Times New Roman" w:hAnsi="Calibri" w:cs="Calibri"/>
          <w:lang w:eastAsia="en-AU"/>
        </w:rPr>
      </w:pPr>
      <w:r w:rsidRPr="001E7AA4">
        <w:t>t</w:t>
      </w:r>
      <w:r w:rsidR="00267E5A" w:rsidRPr="001E7AA4">
        <w:t>he higher education</w:t>
      </w:r>
      <w:r w:rsidR="00C024E5" w:rsidRPr="001E7AA4">
        <w:t xml:space="preserve"> system</w:t>
      </w:r>
      <w:r w:rsidR="00756318" w:rsidRPr="001E7AA4">
        <w:t xml:space="preserve"> can be considered as</w:t>
      </w:r>
      <w:r w:rsidR="00267E5A" w:rsidRPr="001E7AA4">
        <w:t xml:space="preserve"> a system with some </w:t>
      </w:r>
      <w:r w:rsidR="00BB1872" w:rsidRPr="001E7AA4">
        <w:t xml:space="preserve">priorities </w:t>
      </w:r>
      <w:r w:rsidR="00267E5A" w:rsidRPr="001E7AA4">
        <w:t xml:space="preserve">funded collectively </w:t>
      </w:r>
    </w:p>
    <w:p w14:paraId="76C60702" w14:textId="0E62428B" w:rsidR="00267E5A" w:rsidRPr="001E7AA4" w:rsidRDefault="006F0F6B" w:rsidP="002D7F91">
      <w:pPr>
        <w:pStyle w:val="ListBullet"/>
        <w:rPr>
          <w:rFonts w:ascii="Calibri" w:eastAsia="Times New Roman" w:hAnsi="Calibri" w:cs="Calibri"/>
          <w:lang w:eastAsia="en-AU"/>
        </w:rPr>
      </w:pPr>
      <w:r w:rsidRPr="001E7AA4">
        <w:rPr>
          <w:rFonts w:ascii="Calibri" w:eastAsia="Times New Roman" w:hAnsi="Calibri" w:cs="Calibri"/>
          <w:lang w:eastAsia="en-AU"/>
        </w:rPr>
        <w:t>t</w:t>
      </w:r>
      <w:r w:rsidR="00267E5A" w:rsidRPr="001E7AA4">
        <w:rPr>
          <w:rFonts w:ascii="Calibri" w:eastAsia="Times New Roman" w:hAnsi="Calibri" w:cs="Calibri"/>
          <w:lang w:eastAsia="en-AU"/>
        </w:rPr>
        <w:t xml:space="preserve">he </w:t>
      </w:r>
      <w:r w:rsidRPr="001E7AA4">
        <w:rPr>
          <w:rFonts w:ascii="Calibri" w:eastAsia="Times New Roman" w:hAnsi="Calibri" w:cs="Calibri"/>
          <w:lang w:eastAsia="en-AU"/>
        </w:rPr>
        <w:t>g</w:t>
      </w:r>
      <w:r w:rsidR="00267E5A" w:rsidRPr="001E7AA4">
        <w:rPr>
          <w:rFonts w:ascii="Calibri" w:eastAsia="Times New Roman" w:hAnsi="Calibri" w:cs="Calibri"/>
          <w:lang w:eastAsia="en-AU"/>
        </w:rPr>
        <w:t xml:space="preserve">overnment provides funds for education and research separately, with funding aligned with the measured cost of that activity as well as with targeted </w:t>
      </w:r>
      <w:r w:rsidR="00D326E7" w:rsidRPr="001E7AA4">
        <w:rPr>
          <w:rFonts w:ascii="Calibri" w:eastAsia="Times New Roman" w:hAnsi="Calibri" w:cs="Calibri"/>
          <w:lang w:eastAsia="en-AU"/>
        </w:rPr>
        <w:t xml:space="preserve">outcomes </w:t>
      </w:r>
      <w:r w:rsidR="00267E5A" w:rsidRPr="001E7AA4">
        <w:rPr>
          <w:rFonts w:ascii="Calibri" w:eastAsia="Times New Roman" w:hAnsi="Calibri" w:cs="Calibri"/>
          <w:lang w:eastAsia="en-AU"/>
        </w:rPr>
        <w:t>over time</w:t>
      </w:r>
    </w:p>
    <w:p w14:paraId="2607DF0D" w14:textId="1404DAA2" w:rsidR="00267E5A" w:rsidRPr="001E7AA4" w:rsidRDefault="006F0F6B" w:rsidP="002D7F91">
      <w:pPr>
        <w:pStyle w:val="ListBullet"/>
        <w:rPr>
          <w:rFonts w:ascii="Calibri" w:eastAsia="Times New Roman" w:hAnsi="Calibri" w:cs="Calibri"/>
          <w:lang w:eastAsia="en-AU"/>
        </w:rPr>
      </w:pPr>
      <w:r w:rsidRPr="001E7AA4">
        <w:rPr>
          <w:rFonts w:ascii="Calibri" w:eastAsia="Times New Roman" w:hAnsi="Calibri" w:cs="Calibri"/>
          <w:lang w:eastAsia="en-AU"/>
        </w:rPr>
        <w:t>u</w:t>
      </w:r>
      <w:r w:rsidR="00267E5A" w:rsidRPr="001E7AA4">
        <w:rPr>
          <w:rFonts w:ascii="Calibri" w:eastAsia="Times New Roman" w:hAnsi="Calibri" w:cs="Calibri"/>
          <w:lang w:eastAsia="en-AU"/>
        </w:rPr>
        <w:t>niversities receive sufficient funding to produce world-class education and research and to be effective contributors to their communities</w:t>
      </w:r>
    </w:p>
    <w:p w14:paraId="1704AB00" w14:textId="6B19F982" w:rsidR="00267E5A" w:rsidRPr="001E7AA4" w:rsidRDefault="006F0F6B" w:rsidP="002D7F91">
      <w:pPr>
        <w:pStyle w:val="ListBullet"/>
        <w:rPr>
          <w:rFonts w:ascii="Calibri" w:eastAsia="Times New Roman" w:hAnsi="Calibri" w:cs="Calibri"/>
          <w:lang w:eastAsia="en-AU"/>
        </w:rPr>
      </w:pPr>
      <w:r w:rsidRPr="001E7AA4">
        <w:rPr>
          <w:rFonts w:ascii="Calibri" w:eastAsia="Times New Roman" w:hAnsi="Calibri" w:cs="Calibri"/>
          <w:lang w:eastAsia="en-AU"/>
        </w:rPr>
        <w:t>i</w:t>
      </w:r>
      <w:r w:rsidR="00267E5A" w:rsidRPr="001E7AA4">
        <w:rPr>
          <w:rFonts w:ascii="Calibri" w:eastAsia="Times New Roman" w:hAnsi="Calibri" w:cs="Calibri"/>
          <w:lang w:eastAsia="en-AU"/>
        </w:rPr>
        <w:t>nstitutions have the resources required to commission and maintain infrastructure to support the delivery of high-quality education and research</w:t>
      </w:r>
    </w:p>
    <w:p w14:paraId="2920D819" w14:textId="50BF1C3A" w:rsidR="00267E5A" w:rsidRPr="001E7AA4" w:rsidRDefault="006F0F6B" w:rsidP="002D7F91">
      <w:pPr>
        <w:pStyle w:val="ListBullet"/>
        <w:rPr>
          <w:lang w:eastAsia="en-AU"/>
        </w:rPr>
      </w:pPr>
      <w:r w:rsidRPr="001E7AA4">
        <w:rPr>
          <w:lang w:eastAsia="en-AU"/>
        </w:rPr>
        <w:t>b</w:t>
      </w:r>
      <w:r w:rsidR="00267E5A" w:rsidRPr="001E7AA4">
        <w:rPr>
          <w:lang w:eastAsia="en-AU"/>
        </w:rPr>
        <w:t>oth collaboration and competition mechanisms are features of the funding system</w:t>
      </w:r>
    </w:p>
    <w:p w14:paraId="6C0EFA4A" w14:textId="093757CA" w:rsidR="00267E5A" w:rsidRPr="001E7AA4" w:rsidRDefault="006F0F6B" w:rsidP="002D7F91">
      <w:pPr>
        <w:pStyle w:val="ListBullet"/>
        <w:rPr>
          <w:lang w:eastAsia="en-AU"/>
        </w:rPr>
      </w:pPr>
      <w:r w:rsidRPr="001E7AA4">
        <w:rPr>
          <w:lang w:eastAsia="en-AU"/>
        </w:rPr>
        <w:lastRenderedPageBreak/>
        <w:t>i</w:t>
      </w:r>
      <w:r w:rsidR="00267E5A" w:rsidRPr="001E7AA4">
        <w:rPr>
          <w:lang w:eastAsia="en-AU"/>
        </w:rPr>
        <w:t>nstitutions are free to use their own funds as they see fit, given legislative requirements are met and spending is guided by the strategic plan of the institution</w:t>
      </w:r>
    </w:p>
    <w:p w14:paraId="15A4E677" w14:textId="5D0B7C4A" w:rsidR="00267E5A" w:rsidRPr="001E7AA4" w:rsidRDefault="006F0F6B" w:rsidP="002D7F91">
      <w:pPr>
        <w:pStyle w:val="ListBullet"/>
        <w:rPr>
          <w:lang w:eastAsia="en-AU"/>
        </w:rPr>
      </w:pPr>
      <w:r w:rsidRPr="001E7AA4">
        <w:rPr>
          <w:lang w:eastAsia="en-AU"/>
        </w:rPr>
        <w:t>r</w:t>
      </w:r>
      <w:r w:rsidR="00267E5A" w:rsidRPr="001E7AA4">
        <w:rPr>
          <w:lang w:eastAsia="en-AU"/>
        </w:rPr>
        <w:t>eflecting the benefits that arise from higher education, funding comes from both public and private sources</w:t>
      </w:r>
    </w:p>
    <w:p w14:paraId="722A2730" w14:textId="1FB2CEC2" w:rsidR="00267E5A" w:rsidRPr="001E7AA4" w:rsidRDefault="006F0F6B" w:rsidP="002D7F91">
      <w:pPr>
        <w:pStyle w:val="ListBullet"/>
        <w:rPr>
          <w:lang w:eastAsia="en-AU"/>
        </w:rPr>
      </w:pPr>
      <w:r w:rsidRPr="001E7AA4">
        <w:rPr>
          <w:lang w:eastAsia="en-AU"/>
        </w:rPr>
        <w:t>s</w:t>
      </w:r>
      <w:r w:rsidR="00267E5A" w:rsidRPr="001E7AA4">
        <w:rPr>
          <w:lang w:eastAsia="en-AU"/>
        </w:rPr>
        <w:t xml:space="preserve">tudents’ contributions to higher education are underpinned by the continued operation of a </w:t>
      </w:r>
      <w:r w:rsidR="00CB09F9" w:rsidRPr="001E7AA4">
        <w:rPr>
          <w:lang w:eastAsia="en-AU"/>
        </w:rPr>
        <w:t xml:space="preserve">fair and </w:t>
      </w:r>
      <w:r w:rsidR="00267E5A" w:rsidRPr="001E7AA4">
        <w:rPr>
          <w:lang w:eastAsia="en-AU"/>
        </w:rPr>
        <w:t xml:space="preserve">sustainable </w:t>
      </w:r>
      <w:r w:rsidR="00817961" w:rsidRPr="001E7AA4">
        <w:rPr>
          <w:lang w:eastAsia="en-AU"/>
        </w:rPr>
        <w:t>ICL</w:t>
      </w:r>
      <w:r w:rsidR="00267E5A" w:rsidRPr="001E7AA4">
        <w:rPr>
          <w:lang w:eastAsia="en-AU"/>
        </w:rPr>
        <w:t xml:space="preserve"> scheme, which does not unnecessarily burden people</w:t>
      </w:r>
    </w:p>
    <w:p w14:paraId="562E52F9" w14:textId="173A2A9E" w:rsidR="00267E5A" w:rsidRPr="001E7AA4" w:rsidRDefault="006F0F6B" w:rsidP="002D7F91">
      <w:pPr>
        <w:pStyle w:val="ListBullet"/>
        <w:rPr>
          <w:lang w:eastAsia="en-AU"/>
        </w:rPr>
      </w:pPr>
      <w:r w:rsidRPr="001E7AA4">
        <w:rPr>
          <w:lang w:eastAsia="en-AU"/>
        </w:rPr>
        <w:t>i</w:t>
      </w:r>
      <w:r w:rsidR="00267E5A" w:rsidRPr="001E7AA4">
        <w:rPr>
          <w:lang w:eastAsia="en-AU"/>
        </w:rPr>
        <w:t xml:space="preserve">f a student is admitted into a course and willing to take on the student contribution, they will receive </w:t>
      </w:r>
      <w:r w:rsidRPr="001E7AA4">
        <w:rPr>
          <w:lang w:eastAsia="en-AU"/>
        </w:rPr>
        <w:t>g</w:t>
      </w:r>
      <w:r w:rsidR="00267E5A" w:rsidRPr="001E7AA4">
        <w:rPr>
          <w:lang w:eastAsia="en-AU"/>
        </w:rPr>
        <w:t>overnment support, which reflects the individual circumstances of the institution and its student cohorts, acknowledging that some students, particularly those from underrepresented backgrounds, require more support than others</w:t>
      </w:r>
    </w:p>
    <w:p w14:paraId="4A320215" w14:textId="19C88476" w:rsidR="00267E5A" w:rsidRPr="001E7AA4" w:rsidRDefault="006F0F6B" w:rsidP="002D7F91">
      <w:pPr>
        <w:pStyle w:val="ListBullet"/>
        <w:rPr>
          <w:lang w:eastAsia="en-AU"/>
        </w:rPr>
      </w:pPr>
      <w:r w:rsidRPr="001E7AA4">
        <w:rPr>
          <w:lang w:eastAsia="en-AU"/>
        </w:rPr>
        <w:t>d</w:t>
      </w:r>
      <w:r w:rsidR="00267E5A" w:rsidRPr="001E7AA4">
        <w:rPr>
          <w:lang w:eastAsia="en-AU"/>
        </w:rPr>
        <w:t xml:space="preserve">irect public research funding is predominantly provided through both the Nationally Competitive Grants and </w:t>
      </w:r>
      <w:r w:rsidR="00D326E7" w:rsidRPr="001E7AA4">
        <w:rPr>
          <w:lang w:eastAsia="en-AU"/>
        </w:rPr>
        <w:t>research b</w:t>
      </w:r>
      <w:r w:rsidR="00267E5A" w:rsidRPr="001E7AA4">
        <w:rPr>
          <w:lang w:eastAsia="en-AU"/>
        </w:rPr>
        <w:t xml:space="preserve">lock </w:t>
      </w:r>
      <w:r w:rsidR="00D326E7" w:rsidRPr="001E7AA4">
        <w:rPr>
          <w:lang w:eastAsia="en-AU"/>
        </w:rPr>
        <w:t>grant mechanisms</w:t>
      </w:r>
    </w:p>
    <w:p w14:paraId="7B86C17B" w14:textId="1A42A154" w:rsidR="00267E5A" w:rsidRPr="001E7AA4" w:rsidRDefault="00267E5A" w:rsidP="002D7F91">
      <w:pPr>
        <w:pStyle w:val="ListBullet"/>
        <w:rPr>
          <w:lang w:eastAsia="en-AU"/>
        </w:rPr>
      </w:pPr>
      <w:r w:rsidRPr="001E7AA4">
        <w:rPr>
          <w:lang w:eastAsia="en-AU"/>
        </w:rPr>
        <w:t xml:space="preserve">Nationally Competitive Grants </w:t>
      </w:r>
      <w:r w:rsidR="00D326E7" w:rsidRPr="001E7AA4">
        <w:rPr>
          <w:lang w:eastAsia="en-AU"/>
        </w:rPr>
        <w:t xml:space="preserve">cover </w:t>
      </w:r>
      <w:r w:rsidRPr="001E7AA4">
        <w:rPr>
          <w:lang w:eastAsia="en-AU"/>
        </w:rPr>
        <w:t xml:space="preserve">the cost of undertaking these projects </w:t>
      </w:r>
    </w:p>
    <w:p w14:paraId="7BB9946D" w14:textId="6C39D428" w:rsidR="00267E5A" w:rsidRPr="001E7AA4" w:rsidRDefault="006F0F6B" w:rsidP="002D7F91">
      <w:pPr>
        <w:pStyle w:val="ListBullet"/>
        <w:rPr>
          <w:lang w:eastAsia="en-AU"/>
        </w:rPr>
      </w:pPr>
      <w:r w:rsidRPr="001E7AA4">
        <w:rPr>
          <w:lang w:eastAsia="en-AU"/>
        </w:rPr>
        <w:t>r</w:t>
      </w:r>
      <w:r w:rsidR="00267E5A" w:rsidRPr="001E7AA4">
        <w:rPr>
          <w:lang w:eastAsia="en-AU"/>
        </w:rPr>
        <w:t xml:space="preserve">esearch training funding mechanisms encourage and incentivise a larger domestic </w:t>
      </w:r>
      <w:r w:rsidR="3C4B0DF1" w:rsidRPr="001E7AA4">
        <w:rPr>
          <w:lang w:eastAsia="en-AU"/>
        </w:rPr>
        <w:t>HDR</w:t>
      </w:r>
      <w:r w:rsidR="00267E5A" w:rsidRPr="001E7AA4">
        <w:rPr>
          <w:lang w:eastAsia="en-AU"/>
        </w:rPr>
        <w:t xml:space="preserve"> cohort to build the advanced skills base particularly in areas of skills need</w:t>
      </w:r>
    </w:p>
    <w:p w14:paraId="19800679" w14:textId="15536A3A" w:rsidR="00267E5A" w:rsidRPr="001E7AA4" w:rsidRDefault="006F0F6B" w:rsidP="002D7F91">
      <w:pPr>
        <w:pStyle w:val="ListBullet"/>
        <w:rPr>
          <w:lang w:eastAsia="en-AU"/>
        </w:rPr>
      </w:pPr>
      <w:r w:rsidRPr="001E7AA4">
        <w:rPr>
          <w:lang w:eastAsia="en-AU"/>
        </w:rPr>
        <w:t>s</w:t>
      </w:r>
      <w:r w:rsidR="00267E5A" w:rsidRPr="001E7AA4">
        <w:rPr>
          <w:lang w:eastAsia="en-AU"/>
        </w:rPr>
        <w:t xml:space="preserve">tudents, including HDR students and postgraduate coursework students, should have access to sufficient financial support to support their study and participation, including when placements and </w:t>
      </w:r>
      <w:r w:rsidR="1ECE42FA" w:rsidRPr="001E7AA4">
        <w:rPr>
          <w:lang w:eastAsia="en-AU"/>
        </w:rPr>
        <w:t xml:space="preserve">WIL </w:t>
      </w:r>
      <w:r w:rsidR="00267E5A" w:rsidRPr="001E7AA4">
        <w:rPr>
          <w:lang w:eastAsia="en-AU"/>
        </w:rPr>
        <w:t xml:space="preserve">is a component of their study. </w:t>
      </w:r>
    </w:p>
    <w:p w14:paraId="5F850095" w14:textId="77777777" w:rsidR="00267E5A" w:rsidRPr="001E7AA4" w:rsidRDefault="4F7E9CFA" w:rsidP="00E40AED">
      <w:pPr>
        <w:pStyle w:val="Heading5"/>
      </w:pPr>
      <w:bookmarkStart w:id="408" w:name="_Toc136169224"/>
      <w:bookmarkStart w:id="409" w:name="_Toc136029935"/>
      <w:bookmarkStart w:id="410" w:name="_Toc137829598"/>
      <w:bookmarkStart w:id="411" w:name="_Toc893738847"/>
      <w:bookmarkStart w:id="412" w:name="_Toc139028930"/>
      <w:r w:rsidRPr="001E7AA4">
        <w:t xml:space="preserve">3.3.2 </w:t>
      </w:r>
      <w:bookmarkEnd w:id="408"/>
      <w:bookmarkEnd w:id="409"/>
      <w:r w:rsidRPr="001E7AA4">
        <w:t>University sector revenue</w:t>
      </w:r>
      <w:bookmarkEnd w:id="410"/>
      <w:bookmarkEnd w:id="411"/>
      <w:bookmarkEnd w:id="412"/>
      <w:r w:rsidRPr="001E7AA4">
        <w:t xml:space="preserve"> </w:t>
      </w:r>
    </w:p>
    <w:p w14:paraId="0C744FEA" w14:textId="0CD8C1FA" w:rsidR="00267E5A" w:rsidRDefault="00267E5A" w:rsidP="00267E5A">
      <w:r w:rsidRPr="001E7AA4">
        <w:t>Overall revenue to the university sector has grown significantly over the past decade, from almost $24 billion in 2011 to almost $39 billion in 2021</w:t>
      </w:r>
      <w:r w:rsidR="001141F0" w:rsidRPr="001E7AA4">
        <w:t xml:space="preserve"> (a real increase of 35% over that pe</w:t>
      </w:r>
      <w:r w:rsidR="00A769E9" w:rsidRPr="001E7AA4">
        <w:t>r</w:t>
      </w:r>
      <w:r w:rsidR="001141F0" w:rsidRPr="001E7AA4">
        <w:t>iod)</w:t>
      </w:r>
      <w:r w:rsidRPr="001E7AA4">
        <w:t>.</w:t>
      </w:r>
      <w:r w:rsidR="008576F3" w:rsidRPr="001E7AA4">
        <w:rPr>
          <w:rStyle w:val="FootnoteReference"/>
        </w:rPr>
        <w:footnoteReference w:id="172"/>
      </w:r>
      <w:r w:rsidRPr="001E7AA4">
        <w:t xml:space="preserve"> Various funding policy changes have been made in this time, and the impact of </w:t>
      </w:r>
      <w:r w:rsidR="00426C19" w:rsidRPr="001E7AA4">
        <w:t>COVID</w:t>
      </w:r>
      <w:r w:rsidRPr="001E7AA4">
        <w:t>-19 can be seen in 2020. This growth in revenue has been the result of increasing funding from a range of public and private sources</w:t>
      </w:r>
      <w:r w:rsidR="00CD61ED" w:rsidRPr="001E7AA4">
        <w:t xml:space="preserve"> (see Figure 3.3-1)</w:t>
      </w:r>
      <w:r w:rsidRPr="001E7AA4">
        <w:t xml:space="preserve">. </w:t>
      </w:r>
    </w:p>
    <w:p w14:paraId="7638C722" w14:textId="77777777" w:rsidR="000F2103" w:rsidRDefault="000F2103">
      <w:pPr>
        <w:spacing w:after="160"/>
      </w:pPr>
      <w:r>
        <w:rPr>
          <w:iCs/>
        </w:rPr>
        <w:br w:type="page"/>
      </w:r>
    </w:p>
    <w:p w14:paraId="652A7A2E" w14:textId="664B6A45" w:rsidR="00267E5A" w:rsidRPr="001E7AA4" w:rsidRDefault="00267E5A" w:rsidP="0093125A">
      <w:pPr>
        <w:pStyle w:val="Caption"/>
      </w:pPr>
      <w:r w:rsidRPr="001E7AA4">
        <w:lastRenderedPageBreak/>
        <w:t>Figure 3.3-1: Categories of university revenue, 200</w:t>
      </w:r>
      <w:r w:rsidR="00CE2887" w:rsidRPr="001E7AA4">
        <w:t>4</w:t>
      </w:r>
      <w:r w:rsidRPr="001E7AA4">
        <w:t xml:space="preserve"> to 2021</w:t>
      </w:r>
    </w:p>
    <w:p w14:paraId="299E1D11" w14:textId="482471FC" w:rsidR="00267E5A" w:rsidRPr="001E7AA4" w:rsidRDefault="009F02A1" w:rsidP="00267E5A">
      <w:pPr>
        <w:spacing w:beforeLines="60" w:before="144" w:afterLines="60" w:after="144" w:line="240" w:lineRule="auto"/>
        <w:rPr>
          <w:rFonts w:ascii="Calibri" w:eastAsia="Calibri" w:hAnsi="Calibri" w:cs="Calibri"/>
          <w:color w:val="000000" w:themeColor="text1"/>
        </w:rPr>
      </w:pPr>
      <w:r w:rsidRPr="001E7AA4">
        <w:rPr>
          <w:noProof/>
        </w:rPr>
        <w:drawing>
          <wp:inline distT="0" distB="0" distL="0" distR="0" wp14:anchorId="3484DE2C" wp14:editId="192B0354">
            <wp:extent cx="5731510" cy="2167686"/>
            <wp:effectExtent l="0" t="0" r="0" b="0"/>
            <wp:docPr id="49" name="Picture 49" descr="Stacked column chart showing growth and diversified funding in sector expenditure, with Australian Government Grants and student fees consistently making up the largest contribution to sector revenue between 2004-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Stacked column chart showing growth and diversified funding in sector expenditure, with Australian Government Grants and student fees consistently making up the largest contribution to sector revenue between 2004-2021."/>
                    <pic:cNvPicPr/>
                  </pic:nvPicPr>
                  <pic:blipFill>
                    <a:blip r:embed="rId75">
                      <a:extLst>
                        <a:ext uri="{28A0092B-C50C-407E-A947-70E740481C1C}">
                          <a14:useLocalDpi xmlns:a14="http://schemas.microsoft.com/office/drawing/2010/main" val="0"/>
                        </a:ext>
                        <a:ext uri="{96DAC541-7B7A-43D3-8B79-37D633B846F1}">
                          <asvg:svgBlip xmlns:asvg="http://schemas.microsoft.com/office/drawing/2016/SVG/main" r:embed="rId76"/>
                        </a:ext>
                      </a:extLst>
                    </a:blip>
                    <a:stretch>
                      <a:fillRect/>
                    </a:stretch>
                  </pic:blipFill>
                  <pic:spPr>
                    <a:xfrm>
                      <a:off x="0" y="0"/>
                      <a:ext cx="5731510" cy="2167686"/>
                    </a:xfrm>
                    <a:prstGeom prst="rect">
                      <a:avLst/>
                    </a:prstGeom>
                  </pic:spPr>
                </pic:pic>
              </a:graphicData>
            </a:graphic>
          </wp:inline>
        </w:drawing>
      </w:r>
    </w:p>
    <w:p w14:paraId="12FED000" w14:textId="30AEBAC2" w:rsidR="00121044" w:rsidRPr="00E96855" w:rsidRDefault="00267E5A" w:rsidP="0093125A">
      <w:pPr>
        <w:pStyle w:val="Source"/>
        <w:rPr>
          <w:rFonts w:ascii="Calibri" w:eastAsia="Times New Roman" w:hAnsi="Calibri" w:cs="Calibri"/>
          <w:color w:val="000000"/>
          <w:lang w:eastAsia="en-AU"/>
        </w:rPr>
      </w:pPr>
      <w:r w:rsidRPr="00E96855">
        <w:t xml:space="preserve">Source: </w:t>
      </w:r>
      <w:r w:rsidR="00121044" w:rsidRPr="00E96855">
        <w:rPr>
          <w:rFonts w:ascii="Calibri" w:eastAsia="Times New Roman" w:hAnsi="Calibri" w:cs="Calibri"/>
          <w:lang w:eastAsia="en-AU"/>
        </w:rPr>
        <w:t xml:space="preserve">Department of Education internal analysis based on Department of Education, </w:t>
      </w:r>
      <w:hyperlink r:id="rId77" w:history="1">
        <w:r w:rsidR="00121044" w:rsidRPr="00DD595B">
          <w:rPr>
            <w:rStyle w:val="Hyperlink"/>
            <w:i/>
            <w:iCs/>
            <w:color w:val="3F224A" w:themeColor="hyperlink" w:themeShade="80"/>
            <w:szCs w:val="18"/>
          </w:rPr>
          <w:t>Finance Publications</w:t>
        </w:r>
      </w:hyperlink>
      <w:r w:rsidR="00121044" w:rsidRPr="00E96855">
        <w:rPr>
          <w:rFonts w:ascii="Calibri" w:eastAsia="Times New Roman" w:hAnsi="Calibri" w:cs="Calibri"/>
          <w:i/>
          <w:iCs/>
          <w:lang w:eastAsia="en-AU"/>
        </w:rPr>
        <w:t xml:space="preserve"> </w:t>
      </w:r>
      <w:r w:rsidR="00121044" w:rsidRPr="00E96855">
        <w:rPr>
          <w:rFonts w:ascii="Calibri" w:eastAsia="Times New Roman" w:hAnsi="Calibri" w:cs="Calibri"/>
          <w:lang w:eastAsia="en-AU"/>
        </w:rPr>
        <w:t>[data set], 2004-2021, accessed 8 June 2023.</w:t>
      </w:r>
    </w:p>
    <w:p w14:paraId="3F49B852" w14:textId="77777777" w:rsidR="00267E5A" w:rsidRPr="001E7AA4" w:rsidRDefault="00267E5A" w:rsidP="00267E5A">
      <w:r w:rsidRPr="001E7AA4">
        <w:t xml:space="preserve">Through the Education portfolio, around $20 billion is provided each year to support learning and teaching and research. This includes over $7 billion in HELP loans on behalf of students. </w:t>
      </w:r>
    </w:p>
    <w:p w14:paraId="0A310838" w14:textId="18CC79A6" w:rsidR="00267E5A" w:rsidRPr="001E7AA4" w:rsidRDefault="00BB1872" w:rsidP="00267E5A">
      <w:r w:rsidRPr="001E7AA4">
        <w:t>I</w:t>
      </w:r>
      <w:r w:rsidR="00267E5A" w:rsidRPr="001E7AA4">
        <w:t>t is estimate</w:t>
      </w:r>
      <w:r w:rsidR="00C61DB5" w:rsidRPr="001E7AA4">
        <w:t>d</w:t>
      </w:r>
      <w:r w:rsidR="00267E5A" w:rsidRPr="001E7AA4">
        <w:t xml:space="preserve"> that in 2022</w:t>
      </w:r>
      <w:r w:rsidR="4186D37D" w:rsidRPr="001E7AA4">
        <w:t>-</w:t>
      </w:r>
      <w:r w:rsidR="00267E5A" w:rsidRPr="001E7AA4">
        <w:t xml:space="preserve">23, the Australian Government is investing $3.9 billion into R&amp;D directly to the higher education </w:t>
      </w:r>
      <w:r w:rsidR="00F051F1" w:rsidRPr="001E7AA4">
        <w:t xml:space="preserve">sector </w:t>
      </w:r>
      <w:r w:rsidR="00267E5A" w:rsidRPr="001E7AA4">
        <w:t>and a further $2.6 billion which is considered ‘multi-sector’, which would include significant funding to universities.</w:t>
      </w:r>
      <w:r w:rsidR="00267E5A" w:rsidRPr="001E7AA4">
        <w:rPr>
          <w:rStyle w:val="FootnoteReference"/>
        </w:rPr>
        <w:footnoteReference w:id="173"/>
      </w:r>
      <w:r w:rsidR="00267E5A" w:rsidRPr="001E7AA4" w:rsidDel="00D216B3">
        <w:t xml:space="preserve"> </w:t>
      </w:r>
    </w:p>
    <w:p w14:paraId="16150B70" w14:textId="613CB038" w:rsidR="00267E5A" w:rsidRPr="001E7AA4" w:rsidRDefault="00267E5A" w:rsidP="00267E5A">
      <w:r w:rsidRPr="001E7AA4">
        <w:t>Fees from international students represent the second largest amount of overall university revenue (around $8.</w:t>
      </w:r>
      <w:r w:rsidR="007040D5" w:rsidRPr="001E7AA4">
        <w:t>7</w:t>
      </w:r>
      <w:r w:rsidRPr="001E7AA4">
        <w:t xml:space="preserve"> billion in 2021).</w:t>
      </w:r>
      <w:r w:rsidR="007040D5" w:rsidRPr="001E7AA4">
        <w:rPr>
          <w:rStyle w:val="FootnoteReference"/>
        </w:rPr>
        <w:footnoteReference w:id="174"/>
      </w:r>
      <w:r w:rsidRPr="001E7AA4">
        <w:t xml:space="preserve"> Universities also receive revenue from sources such as investments and consultancies, while a few institutions receive substantial donations and bequests each year.</w:t>
      </w:r>
    </w:p>
    <w:p w14:paraId="406478EA" w14:textId="7EC80B2D" w:rsidR="00267E5A" w:rsidRPr="001E7AA4" w:rsidRDefault="00267E5A" w:rsidP="00267E5A">
      <w:r w:rsidRPr="001E7AA4">
        <w:t xml:space="preserve">The increases to overall university sector revenue mask difficulties at some institutions. Recent reports indicate that many, and potentially most, universities will be reporting losses for 2022. While at many institutions this may reflect the lingering effects of </w:t>
      </w:r>
      <w:r w:rsidR="00426C19" w:rsidRPr="001E7AA4">
        <w:t>COVID</w:t>
      </w:r>
      <w:r w:rsidRPr="001E7AA4">
        <w:t>-19, and more recently the downturn in student demand arising from strong economic conditions, at others these factors may have exacerbated underlying structural issues. Funding was provided as part of the J</w:t>
      </w:r>
      <w:r w:rsidR="006F0F6B" w:rsidRPr="001E7AA4">
        <w:t>RG</w:t>
      </w:r>
      <w:r w:rsidRPr="001E7AA4">
        <w:t xml:space="preserve"> package to lessen its impact during a transition period to the end of 2023. This included a guarantee of </w:t>
      </w:r>
      <w:r w:rsidR="006F0F6B" w:rsidRPr="001E7AA4">
        <w:t>g</w:t>
      </w:r>
      <w:r w:rsidRPr="001E7AA4">
        <w:t>overnment funding irrespective of enrolments. Given relatively soft demand from students at the moment, the end of this funding could contribute to further financial difficulties in the next few years.</w:t>
      </w:r>
    </w:p>
    <w:p w14:paraId="697F8FCF" w14:textId="40C290F4" w:rsidR="000F2103" w:rsidRDefault="00267E5A" w:rsidP="00267E5A">
      <w:r w:rsidRPr="001E7AA4">
        <w:t xml:space="preserve">This wide range of funding sources reflects the fact universities have multiple activities. Most significantly, and as noted in </w:t>
      </w:r>
      <w:r w:rsidR="00D47387" w:rsidRPr="001E7AA4">
        <w:t>Section</w:t>
      </w:r>
      <w:r w:rsidRPr="001E7AA4">
        <w:t xml:space="preserve"> 3.1, they are expected to undertake both teaching and research. However, universities have different comparative advantages and priorities, leading to cross-subsidisation whereby they direct funding nominally for one activity to another. This c</w:t>
      </w:r>
      <w:r w:rsidR="006F0F6B" w:rsidRPr="001E7AA4">
        <w:t>ross-</w:t>
      </w:r>
      <w:r w:rsidRPr="001E7AA4">
        <w:t>subsidisation has allowed them to invest both more heavily in areas that they see fit and in activities for which they may not have received any funding at all.</w:t>
      </w:r>
    </w:p>
    <w:p w14:paraId="033FBB9C" w14:textId="77777777" w:rsidR="000F2103" w:rsidRDefault="000F2103">
      <w:pPr>
        <w:spacing w:after="160"/>
      </w:pPr>
      <w:r>
        <w:br w:type="page"/>
      </w:r>
    </w:p>
    <w:p w14:paraId="5DBCDA21" w14:textId="2004B4B9" w:rsidR="00267E5A" w:rsidRPr="001E7AA4" w:rsidRDefault="00267E5A" w:rsidP="00267E5A">
      <w:r w:rsidRPr="001E7AA4">
        <w:lastRenderedPageBreak/>
        <w:t>T</w:t>
      </w:r>
      <w:r w:rsidR="006F0F6B" w:rsidRPr="001E7AA4">
        <w:t>he</w:t>
      </w:r>
      <w:r w:rsidRPr="001E7AA4">
        <w:t xml:space="preserve"> issue of cross-subsidisation has been raised in various submissions. The lack of transparency around how institutions use the funding and fees is a cause for concern. </w:t>
      </w:r>
      <w:r w:rsidR="2367F4F0" w:rsidRPr="001E7AA4">
        <w:t>Cross</w:t>
      </w:r>
      <w:r w:rsidRPr="001E7AA4">
        <w:t>-subsidisation</w:t>
      </w:r>
      <w:bookmarkStart w:id="413" w:name="_Hlk138100157"/>
      <w:r w:rsidR="009E61C2" w:rsidRPr="001E7AA4" w:rsidDel="00F920CC">
        <w:t xml:space="preserve"> </w:t>
      </w:r>
      <w:r w:rsidR="005A03BA" w:rsidRPr="001E7AA4">
        <w:t xml:space="preserve">does not promote transparency </w:t>
      </w:r>
      <w:r w:rsidR="00244748" w:rsidRPr="001E7AA4">
        <w:t xml:space="preserve">and can reduce trust from students and the wider community about how </w:t>
      </w:r>
      <w:bookmarkEnd w:id="413"/>
      <w:r w:rsidR="0071526A" w:rsidRPr="001E7AA4">
        <w:t>resources</w:t>
      </w:r>
      <w:r w:rsidR="00244748" w:rsidRPr="001E7AA4">
        <w:t xml:space="preserve"> are being allocated</w:t>
      </w:r>
      <w:r w:rsidR="009E61C2" w:rsidRPr="001E7AA4">
        <w:t>,</w:t>
      </w:r>
      <w:r w:rsidR="005A03BA" w:rsidRPr="001E7AA4">
        <w:t xml:space="preserve"> and </w:t>
      </w:r>
      <w:r w:rsidRPr="001E7AA4" w:rsidDel="00F920CC">
        <w:t>t</w:t>
      </w:r>
      <w:r w:rsidRPr="001E7AA4">
        <w:t>he</w:t>
      </w:r>
      <w:r w:rsidR="00F920CC" w:rsidRPr="001E7AA4">
        <w:t xml:space="preserve"> </w:t>
      </w:r>
      <w:r w:rsidR="44B25773" w:rsidRPr="001E7AA4">
        <w:t>Review considers the</w:t>
      </w:r>
      <w:r w:rsidR="710EE624" w:rsidRPr="001E7AA4">
        <w:t xml:space="preserve"> </w:t>
      </w:r>
      <w:r w:rsidRPr="001E7AA4">
        <w:t>funding system should reduce its prevalence as much as possible.</w:t>
      </w:r>
    </w:p>
    <w:p w14:paraId="31090D57" w14:textId="5E9E8B4F" w:rsidR="00267E5A" w:rsidRPr="001E7AA4" w:rsidRDefault="00267E5A" w:rsidP="00267E5A">
      <w:pPr>
        <w:rPr>
          <w:rFonts w:ascii="Calibri" w:eastAsia="Calibri" w:hAnsi="Calibri" w:cs="Calibri"/>
          <w:color w:val="000000" w:themeColor="text1"/>
        </w:rPr>
      </w:pPr>
      <w:r w:rsidRPr="001E7AA4">
        <w:t xml:space="preserve">An issue raised with the Review is whether </w:t>
      </w:r>
      <w:r w:rsidR="006F0F6B" w:rsidRPr="001E7AA4">
        <w:t>g</w:t>
      </w:r>
      <w:r w:rsidRPr="001E7AA4">
        <w:t xml:space="preserve">overnment funding should be used strictly for the purpose for which it is provided (as happens in some other countries). Given the lack of transparency for students relating to how their fees are expended there needs to be greater transparency about how institutions </w:t>
      </w:r>
      <w:r w:rsidR="00BC7D81" w:rsidRPr="001E7AA4">
        <w:t xml:space="preserve">are </w:t>
      </w:r>
      <w:r w:rsidRPr="001E7AA4">
        <w:t>using this funding and how revenue derived is used for other activities</w:t>
      </w:r>
      <w:r w:rsidR="00557D3F" w:rsidRPr="001E7AA4">
        <w:t>,</w:t>
      </w:r>
      <w:r w:rsidRPr="001E7AA4">
        <w:t xml:space="preserve"> such as research and investment in infrastructure.</w:t>
      </w:r>
      <w:r w:rsidRPr="001E7AA4" w:rsidDel="008878D2">
        <w:t xml:space="preserve"> </w:t>
      </w:r>
    </w:p>
    <w:p w14:paraId="435184EB" w14:textId="2E458280" w:rsidR="00267E5A" w:rsidRPr="001E7AA4" w:rsidRDefault="00267E5A" w:rsidP="00267E5A">
      <w:pPr>
        <w:rPr>
          <w:rFonts w:ascii="Calibri" w:eastAsia="Calibri" w:hAnsi="Calibri" w:cs="Calibri"/>
          <w:color w:val="000000" w:themeColor="text1"/>
        </w:rPr>
      </w:pPr>
      <w:r w:rsidRPr="001E7AA4">
        <w:rPr>
          <w:rFonts w:ascii="Calibri" w:eastAsia="Calibri" w:hAnsi="Calibri" w:cs="Calibri"/>
          <w:color w:val="000000" w:themeColor="text1"/>
        </w:rPr>
        <w:t xml:space="preserve">While there have been attempts to make higher education expenditure on teaching and research more transparent, </w:t>
      </w:r>
      <w:r w:rsidR="34CAE120" w:rsidRPr="001E7AA4">
        <w:rPr>
          <w:rFonts w:ascii="Calibri" w:eastAsia="Calibri" w:hAnsi="Calibri" w:cs="Calibri"/>
          <w:color w:val="000000" w:themeColor="text1"/>
        </w:rPr>
        <w:t xml:space="preserve">the Review considers that </w:t>
      </w:r>
      <w:r w:rsidRPr="001E7AA4">
        <w:rPr>
          <w:rFonts w:ascii="Calibri" w:eastAsia="Calibri" w:hAnsi="Calibri" w:cs="Calibri"/>
          <w:color w:val="000000" w:themeColor="text1"/>
        </w:rPr>
        <w:t xml:space="preserve">doing so to the level that is needed will require better data collection and costing processes. </w:t>
      </w:r>
      <w:r w:rsidR="74A9D036" w:rsidRPr="001E7AA4">
        <w:rPr>
          <w:rFonts w:ascii="Calibri" w:eastAsia="Calibri" w:hAnsi="Calibri" w:cs="Calibri"/>
          <w:color w:val="000000" w:themeColor="text1"/>
        </w:rPr>
        <w:t>Over time, t</w:t>
      </w:r>
      <w:r w:rsidR="22F053AA" w:rsidRPr="001E7AA4">
        <w:rPr>
          <w:rFonts w:ascii="Calibri" w:eastAsia="Calibri" w:hAnsi="Calibri" w:cs="Calibri"/>
          <w:color w:val="000000" w:themeColor="text1"/>
        </w:rPr>
        <w:t>his could</w:t>
      </w:r>
      <w:r w:rsidR="00B31149" w:rsidRPr="001E7AA4">
        <w:rPr>
          <w:rFonts w:ascii="Calibri" w:eastAsia="Calibri" w:hAnsi="Calibri" w:cs="Calibri"/>
          <w:color w:val="000000" w:themeColor="text1"/>
        </w:rPr>
        <w:t xml:space="preserve"> </w:t>
      </w:r>
      <w:r w:rsidRPr="001E7AA4">
        <w:rPr>
          <w:rFonts w:ascii="Calibri" w:eastAsia="Calibri" w:hAnsi="Calibri" w:cs="Calibri"/>
          <w:color w:val="000000" w:themeColor="text1"/>
        </w:rPr>
        <w:t>lead to a better understanding of the cost of university activities</w:t>
      </w:r>
      <w:r w:rsidRPr="001E7AA4" w:rsidDel="009B0EA5">
        <w:rPr>
          <w:rFonts w:ascii="Calibri" w:eastAsia="Calibri" w:hAnsi="Calibri" w:cs="Calibri"/>
          <w:color w:val="000000" w:themeColor="text1"/>
        </w:rPr>
        <w:t xml:space="preserve"> </w:t>
      </w:r>
      <w:r w:rsidRPr="001E7AA4">
        <w:rPr>
          <w:rFonts w:ascii="Calibri" w:eastAsia="Calibri" w:hAnsi="Calibri" w:cs="Calibri"/>
          <w:color w:val="000000" w:themeColor="text1"/>
        </w:rPr>
        <w:t>to better inform government policy making and provide greater clarity to students about the use of their fees.</w:t>
      </w:r>
    </w:p>
    <w:p w14:paraId="2964FBB2" w14:textId="2F05E400" w:rsidR="00267E5A" w:rsidRPr="001E7AA4" w:rsidRDefault="00180D9A" w:rsidP="00467CBB">
      <w:pPr>
        <w:pStyle w:val="Heading6"/>
      </w:pPr>
      <w:r w:rsidRPr="001E7AA4">
        <w:t xml:space="preserve">3.3.2.1 </w:t>
      </w:r>
      <w:r w:rsidR="00267E5A" w:rsidRPr="001E7AA4">
        <w:t xml:space="preserve">Infrastructure funding </w:t>
      </w:r>
    </w:p>
    <w:p w14:paraId="2218AAB7" w14:textId="73AF71E5" w:rsidR="00267E5A" w:rsidRPr="001E7AA4" w:rsidRDefault="00267E5A" w:rsidP="00267E5A">
      <w:r w:rsidRPr="001E7AA4">
        <w:t>While many universities have been able to use other sources of revenue to finance updating and building new infrastructure, the Review is aware that the ability of some institutions to do this is limited by their relatively small income from other sources. High</w:t>
      </w:r>
      <w:r w:rsidR="3F23979E" w:rsidRPr="001E7AA4">
        <w:t>-</w:t>
      </w:r>
      <w:r w:rsidRPr="001E7AA4">
        <w:t xml:space="preserve">quality infrastructure is necessary for teaching and research. </w:t>
      </w:r>
    </w:p>
    <w:p w14:paraId="2759FA29" w14:textId="338579C4" w:rsidR="00267E5A" w:rsidRPr="001E7AA4" w:rsidRDefault="00267E5A" w:rsidP="00267E5A">
      <w:r w:rsidRPr="001E7AA4">
        <w:t>The issue of infrastructure funding is not new. The 2015 Higher Education Infrastructure Working Group found that transformative infrastructure is vital for internationally competitive universities and while universities manage their infrastructure and financial resources well, there is a risk that financial shocks could erode their capacity to do so.</w:t>
      </w:r>
      <w:r w:rsidRPr="001E7AA4">
        <w:rPr>
          <w:rStyle w:val="FootnoteReference"/>
        </w:rPr>
        <w:footnoteReference w:id="175"/>
      </w:r>
      <w:r w:rsidRPr="001E7AA4">
        <w:t xml:space="preserve"> It</w:t>
      </w:r>
      <w:r w:rsidR="00EE7C97" w:rsidRPr="001E7AA4">
        <w:t xml:space="preserve"> was </w:t>
      </w:r>
      <w:r w:rsidRPr="001E7AA4">
        <w:t xml:space="preserve">also </w:t>
      </w:r>
      <w:r w:rsidR="00EE7C97" w:rsidRPr="001E7AA4">
        <w:t>noted that</w:t>
      </w:r>
      <w:r w:rsidRPr="001E7AA4">
        <w:t xml:space="preserve"> some regional and multi-campus outer suburban universities face particular infrastructure difficulties. </w:t>
      </w:r>
    </w:p>
    <w:p w14:paraId="41DEBBE7" w14:textId="58F5C20C" w:rsidR="000F2103" w:rsidRDefault="00267E5A" w:rsidP="00267E5A">
      <w:r w:rsidRPr="001E7AA4">
        <w:t xml:space="preserve">As outlined in </w:t>
      </w:r>
      <w:r w:rsidR="00BA59B6" w:rsidRPr="001E7AA4">
        <w:t xml:space="preserve">Section </w:t>
      </w:r>
      <w:r w:rsidRPr="001E7AA4">
        <w:t>2.7, there is broad support for the ongoing funding of NCRIS. The Review has also heard from a number of stakeholders who are concerned about the lack of Government funding for infrastructure since the end of the EIF. The EIF was established on 1 January 2009 to provide dedicated ongoing capital funding for tertiary education and research infrastructure. It provided $4.2 billion for infrastructure projects though competitive funding rounds held between 2008 and 2011, including projects such as the transformation of Central Queensland University into a dual sector institution, a joint health education facility at Port Macquarie, the Australian Centre for Indigenous Knowledge and Education at Charles Darwin University</w:t>
      </w:r>
      <w:r w:rsidR="00B63DC8" w:rsidRPr="001E7AA4">
        <w:t xml:space="preserve"> jointly with BIITE</w:t>
      </w:r>
      <w:r w:rsidRPr="001E7AA4">
        <w:t xml:space="preserve"> and Australia’s involvement in the Giant Magellan Telescope project.</w:t>
      </w:r>
      <w:r w:rsidRPr="001E7AA4">
        <w:rPr>
          <w:rStyle w:val="FootnoteReference"/>
        </w:rPr>
        <w:footnoteReference w:id="176"/>
      </w:r>
    </w:p>
    <w:p w14:paraId="67222118" w14:textId="77777777" w:rsidR="000F2103" w:rsidRDefault="000F2103">
      <w:pPr>
        <w:spacing w:after="160"/>
      </w:pPr>
      <w:r>
        <w:br w:type="page"/>
      </w:r>
    </w:p>
    <w:p w14:paraId="1E9774DF" w14:textId="4FAD8984" w:rsidR="00C5571C" w:rsidRPr="001E7AA4" w:rsidRDefault="00C5571C" w:rsidP="00C5571C">
      <w:r w:rsidRPr="001E7AA4">
        <w:lastRenderedPageBreak/>
        <w:t>The Review notes various submissions support establishing a</w:t>
      </w:r>
      <w:r w:rsidR="00F920CC" w:rsidRPr="001E7AA4">
        <w:t xml:space="preserve"> </w:t>
      </w:r>
      <w:r w:rsidRPr="001E7AA4" w:rsidDel="00F920CC">
        <w:t>s</w:t>
      </w:r>
      <w:r w:rsidRPr="001E7AA4" w:rsidDel="008D2877">
        <w:t>pecific</w:t>
      </w:r>
      <w:r w:rsidRPr="001E7AA4">
        <w:t xml:space="preserve"> fund </w:t>
      </w:r>
      <w:r w:rsidR="00B32A05" w:rsidRPr="001E7AA4">
        <w:t xml:space="preserve">that could be used for </w:t>
      </w:r>
      <w:r w:rsidRPr="001E7AA4">
        <w:t xml:space="preserve">future infrastructure needs, as well other national priorities. This could include </w:t>
      </w:r>
      <w:r w:rsidR="00467D12" w:rsidRPr="001E7AA4">
        <w:t>consideration of</w:t>
      </w:r>
      <w:r w:rsidRPr="001E7AA4">
        <w:t xml:space="preserve"> a levy on international student</w:t>
      </w:r>
      <w:r w:rsidR="00193C9F" w:rsidRPr="001E7AA4">
        <w:t xml:space="preserve"> </w:t>
      </w:r>
      <w:r w:rsidR="00142EC4" w:rsidRPr="001E7AA4">
        <w:t>fee</w:t>
      </w:r>
      <w:r w:rsidRPr="001E7AA4">
        <w:t xml:space="preserve"> </w:t>
      </w:r>
      <w:r w:rsidR="00193C9F" w:rsidRPr="001E7AA4">
        <w:t>income</w:t>
      </w:r>
      <w:r w:rsidR="00142EC4" w:rsidRPr="001E7AA4">
        <w:t xml:space="preserve">. </w:t>
      </w:r>
      <w:r w:rsidR="00A326D9" w:rsidRPr="001E7AA4">
        <w:t xml:space="preserve">The use of this revenue for sectoral-wide priorities could </w:t>
      </w:r>
      <w:r w:rsidRPr="001E7AA4">
        <w:t xml:space="preserve">reflect the collaborative nature of the sector in building a strong and enduring system. The Review notes further examination is required, including consideration of some level of co-investment from governments.   </w:t>
      </w:r>
    </w:p>
    <w:p w14:paraId="35AE3EE1" w14:textId="1BFE2ABA" w:rsidR="00267E5A" w:rsidRDefault="00267E5A" w:rsidP="00267E5A">
      <w:r w:rsidRPr="001E7AA4">
        <w:t>There is also value in exploring how universities could be better supported to leverage their balance sheets to fund infrastructure projects. Some universities are doing this very effectively already. As the Higher Education Working Group found, there is interest from financial institutions to better leverage university assets and this could be a source of significantly more funding to support infrastructure projects</w:t>
      </w:r>
      <w:r w:rsidR="0080069C" w:rsidRPr="001E7AA4">
        <w:t xml:space="preserve"> if a funding source for </w:t>
      </w:r>
      <w:r w:rsidR="007477B1" w:rsidRPr="001E7AA4">
        <w:t>interest or similar payments</w:t>
      </w:r>
      <w:r w:rsidR="0080069C" w:rsidRPr="001E7AA4">
        <w:t xml:space="preserve"> can be secured</w:t>
      </w:r>
      <w:r w:rsidRPr="001E7AA4">
        <w:t>.</w:t>
      </w:r>
    </w:p>
    <w:tbl>
      <w:tblPr>
        <w:tblStyle w:val="CaseStudy0"/>
        <w:tblW w:w="0" w:type="auto"/>
        <w:tblLook w:val="04A0" w:firstRow="1" w:lastRow="0" w:firstColumn="1" w:lastColumn="0" w:noHBand="0" w:noVBand="1"/>
      </w:tblPr>
      <w:tblGrid>
        <w:gridCol w:w="9016"/>
      </w:tblGrid>
      <w:tr w:rsidR="000F2103" w14:paraId="22E496D1" w14:textId="77777777" w:rsidTr="000F2103">
        <w:tc>
          <w:tcPr>
            <w:tcW w:w="9016" w:type="dxa"/>
          </w:tcPr>
          <w:p w14:paraId="328E4AF8" w14:textId="77777777" w:rsidR="000F2103" w:rsidRPr="000F2103" w:rsidRDefault="000F2103" w:rsidP="000F2103">
            <w:pPr>
              <w:pStyle w:val="CaseStudy-Heading"/>
            </w:pPr>
            <w:r w:rsidRPr="000F2103">
              <w:t>Case study: Western Growth </w:t>
            </w:r>
          </w:p>
          <w:p w14:paraId="17DED873" w14:textId="77777777" w:rsidR="000F2103" w:rsidRPr="001E7AA4" w:rsidRDefault="000F2103" w:rsidP="000F2103">
            <w:pPr>
              <w:spacing w:after="120"/>
              <w:rPr>
                <w:rFonts w:ascii="Segoe UI" w:hAnsi="Segoe UI" w:cs="Segoe UI"/>
                <w:sz w:val="18"/>
                <w:szCs w:val="18"/>
              </w:rPr>
            </w:pPr>
            <w:r w:rsidRPr="001E7AA4">
              <w:rPr>
                <w:rStyle w:val="normaltextrun"/>
                <w:rFonts w:ascii="Calibri" w:hAnsi="Calibri" w:cs="Calibri"/>
              </w:rPr>
              <w:t>Western Sydney University’s ‘Western Growth’ program leverages the university’s balance sheet to deliver world-class infrastructure, with over $1 billion in new facilities over five years. The program:</w:t>
            </w:r>
            <w:r w:rsidRPr="001E7AA4">
              <w:rPr>
                <w:rStyle w:val="eop"/>
                <w:rFonts w:ascii="Calibri" w:hAnsi="Calibri" w:cs="Calibri"/>
              </w:rPr>
              <w:t> </w:t>
            </w:r>
          </w:p>
          <w:p w14:paraId="5B226AC6" w14:textId="77777777" w:rsidR="000F2103" w:rsidRPr="001E7AA4" w:rsidRDefault="000F2103" w:rsidP="000F2103">
            <w:pPr>
              <w:pStyle w:val="ListBullet"/>
            </w:pPr>
            <w:r w:rsidRPr="001E7AA4">
              <w:rPr>
                <w:rStyle w:val="normaltextrun"/>
                <w:rFonts w:ascii="Calibri" w:hAnsi="Calibri" w:cs="Calibri"/>
              </w:rPr>
              <w:t>revitalises the university’s campus network </w:t>
            </w:r>
            <w:r w:rsidRPr="001E7AA4">
              <w:rPr>
                <w:rStyle w:val="eop"/>
                <w:rFonts w:ascii="Calibri" w:hAnsi="Calibri" w:cs="Calibri"/>
              </w:rPr>
              <w:t> </w:t>
            </w:r>
          </w:p>
          <w:p w14:paraId="52671435" w14:textId="77777777" w:rsidR="000F2103" w:rsidRPr="001E7AA4" w:rsidRDefault="000F2103" w:rsidP="000F2103">
            <w:pPr>
              <w:pStyle w:val="ListBullet"/>
            </w:pPr>
            <w:r w:rsidRPr="001E7AA4">
              <w:rPr>
                <w:rStyle w:val="normaltextrun"/>
                <w:rFonts w:ascii="Calibri" w:hAnsi="Calibri" w:cs="Calibri"/>
              </w:rPr>
              <w:t>creates new technology-enabled learning, teaching and research facilities</w:t>
            </w:r>
            <w:r w:rsidRPr="001E7AA4">
              <w:rPr>
                <w:rStyle w:val="eop"/>
                <w:rFonts w:ascii="Calibri" w:hAnsi="Calibri" w:cs="Calibri"/>
              </w:rPr>
              <w:t> </w:t>
            </w:r>
          </w:p>
          <w:p w14:paraId="577F0CC5" w14:textId="77777777" w:rsidR="000F2103" w:rsidRPr="001E7AA4" w:rsidRDefault="000F2103" w:rsidP="000F2103">
            <w:pPr>
              <w:pStyle w:val="ListBullet"/>
            </w:pPr>
            <w:r w:rsidRPr="001E7AA4">
              <w:rPr>
                <w:rStyle w:val="normaltextrun"/>
                <w:rFonts w:ascii="Calibri" w:hAnsi="Calibri" w:cs="Calibri"/>
              </w:rPr>
              <w:t>repurposes existing assets to generate a corpus to reinvest into learning, teaching and research</w:t>
            </w:r>
            <w:r w:rsidRPr="001E7AA4">
              <w:rPr>
                <w:rStyle w:val="eop"/>
                <w:rFonts w:ascii="Calibri" w:hAnsi="Calibri" w:cs="Calibri"/>
              </w:rPr>
              <w:t> </w:t>
            </w:r>
          </w:p>
          <w:p w14:paraId="6B07BCD8" w14:textId="0F3FFDE6" w:rsidR="000F2103" w:rsidRDefault="000F2103" w:rsidP="000F2103">
            <w:pPr>
              <w:pStyle w:val="ListBullet"/>
              <w:spacing w:after="120"/>
            </w:pPr>
            <w:r w:rsidRPr="001E7AA4">
              <w:rPr>
                <w:rStyle w:val="normaltextrun"/>
                <w:rFonts w:ascii="Calibri" w:hAnsi="Calibri" w:cs="Calibri"/>
              </w:rPr>
              <w:t>incorporates its learning, teaching and research projects into real-world environment with living laboratory opportunities.</w:t>
            </w:r>
            <w:r w:rsidRPr="001E7AA4">
              <w:rPr>
                <w:rStyle w:val="eop"/>
                <w:rFonts w:ascii="Calibri" w:hAnsi="Calibri" w:cs="Calibri"/>
              </w:rPr>
              <w:t> </w:t>
            </w:r>
          </w:p>
        </w:tc>
      </w:tr>
    </w:tbl>
    <w:p w14:paraId="78AF16E6" w14:textId="6B90DD1D" w:rsidR="00267E5A" w:rsidRPr="001E7AA4" w:rsidRDefault="4F7E9CFA" w:rsidP="00467CBB">
      <w:pPr>
        <w:pStyle w:val="Heading5"/>
      </w:pPr>
      <w:bookmarkStart w:id="414" w:name="_Toc137829599"/>
      <w:bookmarkStart w:id="415" w:name="_Toc1655712674"/>
      <w:bookmarkStart w:id="416" w:name="_Toc139028931"/>
      <w:r w:rsidRPr="001E7AA4">
        <w:t xml:space="preserve">3.3.3 The Job-ready Graduates </w:t>
      </w:r>
      <w:r w:rsidR="3E427FC1" w:rsidRPr="001E7AA4">
        <w:t xml:space="preserve">(JRG) </w:t>
      </w:r>
      <w:r w:rsidRPr="001E7AA4">
        <w:t>package</w:t>
      </w:r>
      <w:bookmarkEnd w:id="414"/>
      <w:bookmarkEnd w:id="415"/>
      <w:bookmarkEnd w:id="416"/>
    </w:p>
    <w:p w14:paraId="700E7B99" w14:textId="77777777" w:rsidR="00267E5A" w:rsidRPr="001E7AA4" w:rsidRDefault="00267E5A" w:rsidP="00064239">
      <w:pPr>
        <w:spacing w:before="200"/>
      </w:pPr>
      <w:r w:rsidRPr="001E7AA4">
        <w:t>The JRG package was the source of significant concern in many submissions to the Review.</w:t>
      </w:r>
    </w:p>
    <w:p w14:paraId="76A89B22" w14:textId="3E1F0AC8" w:rsidR="00267E5A" w:rsidRPr="001E7AA4" w:rsidRDefault="00267E5A" w:rsidP="00267E5A">
      <w:r w:rsidRPr="001E7AA4">
        <w:t>The JRG package introduced fundamental changes to the funding of learning and teaching. At its core was a redesign of the CGS funding clusters and student contribution bands across different fields of education. The main stated aim of the JRG package was to incentivise students towards fields of expected employment growth, while aligning base funding to the average cost of delivery across different fields of education.</w:t>
      </w:r>
    </w:p>
    <w:p w14:paraId="3D545F9D" w14:textId="2A098D65" w:rsidR="000F2103" w:rsidRDefault="00267E5A" w:rsidP="00267E5A">
      <w:r w:rsidRPr="001E7AA4">
        <w:t xml:space="preserve">The package aimed to be </w:t>
      </w:r>
      <w:r w:rsidR="0061528E" w:rsidRPr="001E7AA4">
        <w:t>‘</w:t>
      </w:r>
      <w:r w:rsidRPr="001E7AA4">
        <w:t>budget neutral</w:t>
      </w:r>
      <w:r w:rsidR="00AE1728" w:rsidRPr="001E7AA4">
        <w:t>’</w:t>
      </w:r>
      <w:r w:rsidRPr="001E7AA4">
        <w:t xml:space="preserve"> – that is, savings were reinvested in other parts of the funding system – but in fact</w:t>
      </w:r>
      <w:r w:rsidR="006076C8" w:rsidRPr="001E7AA4">
        <w:t xml:space="preserve"> the</w:t>
      </w:r>
      <w:r w:rsidRPr="001E7AA4">
        <w:t xml:space="preserve"> JRG package decreased total base funding (the combination of Commonwealth and student contributions) per equivalent full-time student by 5%. This reduction included a decrease in CGS funding per place of 14</w:t>
      </w:r>
      <w:r w:rsidRPr="001E7AA4" w:rsidDel="0002240E">
        <w:t>%</w:t>
      </w:r>
      <w:r w:rsidR="0002240E" w:rsidRPr="001E7AA4">
        <w:t xml:space="preserve"> </w:t>
      </w:r>
      <w:r w:rsidRPr="001E7AA4">
        <w:t>and an aggregate increase in student contribution amounts of 7%. Within these changes, some fields, such as humanities and communications, saw increases in student contribution amounts of up to 113%.</w:t>
      </w:r>
    </w:p>
    <w:p w14:paraId="4B821E27" w14:textId="77777777" w:rsidR="000F2103" w:rsidRDefault="000F2103">
      <w:pPr>
        <w:spacing w:after="160"/>
      </w:pPr>
      <w:r>
        <w:br w:type="page"/>
      </w:r>
    </w:p>
    <w:p w14:paraId="68E4D20A" w14:textId="79AF73EC" w:rsidR="00267E5A" w:rsidRPr="001E7AA4" w:rsidRDefault="00267E5A" w:rsidP="00267E5A">
      <w:r w:rsidRPr="001E7AA4">
        <w:lastRenderedPageBreak/>
        <w:t>In trying to align funding more closely to costs, the JRG package reduced the ratio between funding and estimated costs from around 111</w:t>
      </w:r>
      <w:r w:rsidRPr="001E7AA4" w:rsidDel="0002240E">
        <w:t>%</w:t>
      </w:r>
      <w:r w:rsidR="0002240E" w:rsidRPr="001E7AA4">
        <w:t xml:space="preserve"> </w:t>
      </w:r>
      <w:r w:rsidRPr="001E7AA4">
        <w:t>to 106%</w:t>
      </w:r>
      <w:r w:rsidR="00277B3A" w:rsidRPr="001E7AA4">
        <w:t>.</w:t>
      </w:r>
      <w:r w:rsidR="007761AA" w:rsidRPr="001E7AA4">
        <w:rPr>
          <w:rStyle w:val="FootnoteReference"/>
        </w:rPr>
        <w:footnoteReference w:id="177"/>
      </w:r>
      <w:r w:rsidRPr="001E7AA4">
        <w:t xml:space="preserve"> The costs used to develop the JRG package are based on the Transparency in Higher Education Expenditure process that has occurred annually since 2017, with a reference group including a number of sector representatives providing guidance and advice on its implementation. Through this process universities provided estimates of the cost of teaching and scholarship across a range of fields of education at their institution. However, there are </w:t>
      </w:r>
      <w:r w:rsidR="1C2B9507" w:rsidRPr="001E7AA4">
        <w:t>strong</w:t>
      </w:r>
      <w:r w:rsidRPr="001E7AA4">
        <w:t xml:space="preserve"> concerns that the estimates provided through this process do not reflect the true cost of teaching and scholarship</w:t>
      </w:r>
      <w:r w:rsidR="5A076ADC" w:rsidRPr="001E7AA4">
        <w:t>.</w:t>
      </w:r>
      <w:r w:rsidRPr="001E7AA4">
        <w:t xml:space="preserve"> </w:t>
      </w:r>
      <w:r w:rsidR="5A076ADC" w:rsidRPr="001E7AA4">
        <w:t>Additionally, the decision to determine base funding levels using the</w:t>
      </w:r>
      <w:r w:rsidRPr="001E7AA4">
        <w:t xml:space="preserve"> average costs has meant some universities and disciplines are now underfunded</w:t>
      </w:r>
      <w:r w:rsidR="1B282AD4" w:rsidRPr="001E7AA4">
        <w:t xml:space="preserve">, </w:t>
      </w:r>
      <w:r w:rsidR="4F66C371" w:rsidRPr="001E7AA4">
        <w:t xml:space="preserve">further compounding </w:t>
      </w:r>
      <w:r w:rsidR="1B282AD4" w:rsidRPr="001E7AA4">
        <w:t xml:space="preserve">viability </w:t>
      </w:r>
      <w:r w:rsidR="6DF6FD7F" w:rsidRPr="001E7AA4">
        <w:t>issues</w:t>
      </w:r>
      <w:r w:rsidRPr="001E7AA4">
        <w:t>.</w:t>
      </w:r>
    </w:p>
    <w:p w14:paraId="5920DC2F" w14:textId="2C1AE490" w:rsidR="0016444B" w:rsidRPr="001E7AA4" w:rsidRDefault="0016444B" w:rsidP="0016444B">
      <w:pPr>
        <w:pStyle w:val="Quote"/>
      </w:pPr>
      <w:r w:rsidRPr="001E7AA4">
        <w:t xml:space="preserve">"[U]nder JRG the gap between the cost of delivery and the funding provided has widened. This creates significant problems for universities with vet schools and vet hospitals, and puts at risk the future delivery of underfunded programs. Funding gaps for teaching and research now need to be covered by other revenue sources." </w:t>
      </w:r>
      <w:r w:rsidR="00E61ECB">
        <w:br/>
      </w:r>
      <w:r w:rsidRPr="001E7AA4">
        <w:t>– University of Queensland</w:t>
      </w:r>
    </w:p>
    <w:p w14:paraId="2D5AB8D4" w14:textId="253BB9FB" w:rsidR="00267E5A" w:rsidRPr="001E7AA4" w:rsidRDefault="00267E5A" w:rsidP="00267E5A">
      <w:r w:rsidRPr="001E7AA4">
        <w:t>This reduction in funding, which was primarily achieved through a reduction to the CGS</w:t>
      </w:r>
      <w:r w:rsidR="003E3188" w:rsidRPr="001E7AA4">
        <w:t xml:space="preserve"> </w:t>
      </w:r>
      <w:r w:rsidRPr="001E7AA4">
        <w:t xml:space="preserve">was then used to fund growth in the number of </w:t>
      </w:r>
      <w:r w:rsidR="003E3188" w:rsidRPr="001E7AA4">
        <w:t xml:space="preserve">CSPs </w:t>
      </w:r>
      <w:r w:rsidRPr="001E7AA4">
        <w:t xml:space="preserve">funded in the system, with higher growth provided to campuses in regional areas, and </w:t>
      </w:r>
      <w:r w:rsidR="49CF65CA" w:rsidRPr="001E7AA4">
        <w:t xml:space="preserve">creation of </w:t>
      </w:r>
      <w:r w:rsidRPr="001E7AA4">
        <w:t xml:space="preserve">a new National Priorities and Industry Linkage Fund </w:t>
      </w:r>
      <w:r w:rsidR="00656401" w:rsidRPr="001E7AA4">
        <w:t xml:space="preserve">(NPILF) </w:t>
      </w:r>
      <w:r w:rsidRPr="001E7AA4">
        <w:t xml:space="preserve">to support enhanced engagement between universities and industry to produce job-ready graduates. While </w:t>
      </w:r>
      <w:r w:rsidR="00002E7B">
        <w:t xml:space="preserve">the </w:t>
      </w:r>
      <w:r w:rsidRPr="001E7AA4">
        <w:t>JRG</w:t>
      </w:r>
      <w:r w:rsidR="00002E7B">
        <w:t xml:space="preserve"> package</w:t>
      </w:r>
      <w:r w:rsidRPr="001E7AA4">
        <w:t xml:space="preserve"> did not exactly match funding with estimated costs across all disciplines, with funding still being 6</w:t>
      </w:r>
      <w:r w:rsidRPr="001E7AA4" w:rsidDel="0002240E">
        <w:t>%</w:t>
      </w:r>
      <w:r w:rsidR="0002240E" w:rsidRPr="001E7AA4">
        <w:t xml:space="preserve"> </w:t>
      </w:r>
      <w:r w:rsidRPr="001E7AA4">
        <w:t xml:space="preserve">higher than </w:t>
      </w:r>
      <w:r w:rsidR="0071217F" w:rsidRPr="001E7AA4">
        <w:t xml:space="preserve">costs </w:t>
      </w:r>
      <w:r w:rsidRPr="001E7AA4">
        <w:t>on average, it did mean there is less funding to support other activities such as research, infrastructure and community engagement although no explicit statement is made about how these things are funded under the package and to what extent</w:t>
      </w:r>
      <w:r w:rsidR="00443E76" w:rsidRPr="001E7AA4">
        <w:t>.</w:t>
      </w:r>
      <w:r w:rsidR="00DB519E" w:rsidRPr="001E7AA4">
        <w:rPr>
          <w:rStyle w:val="FootnoteReference"/>
        </w:rPr>
        <w:footnoteReference w:id="178"/>
      </w:r>
    </w:p>
    <w:p w14:paraId="0C7165C6" w14:textId="2A61DEA5" w:rsidR="00267E5A" w:rsidRPr="001E7AA4" w:rsidRDefault="007C5496" w:rsidP="00267E5A">
      <w:r w:rsidRPr="001E7AA4">
        <w:t>T</w:t>
      </w:r>
      <w:r w:rsidR="00267E5A" w:rsidRPr="001E7AA4">
        <w:t xml:space="preserve">hrough consultation and submissions, the Review has noted substantial </w:t>
      </w:r>
      <w:r w:rsidR="5452B940" w:rsidRPr="001E7AA4">
        <w:t xml:space="preserve">and </w:t>
      </w:r>
      <w:r w:rsidR="007D5EC2" w:rsidRPr="001E7AA4">
        <w:t>overwhelming</w:t>
      </w:r>
      <w:r w:rsidR="5452B940" w:rsidRPr="001E7AA4">
        <w:t xml:space="preserve"> </w:t>
      </w:r>
      <w:r w:rsidR="00267E5A" w:rsidRPr="001E7AA4">
        <w:t xml:space="preserve">criticisms of the JRG package and the current funding system. </w:t>
      </w:r>
    </w:p>
    <w:p w14:paraId="755A1EB7" w14:textId="07A719B7" w:rsidR="00267E5A" w:rsidRPr="001E7AA4" w:rsidRDefault="00267E5A" w:rsidP="00267E5A">
      <w:r w:rsidRPr="001E7AA4">
        <w:t>Various stakeholders have pointed out that base funding reductions to several priority fields (such as education, mathematics, science, engineering, nursing, psychology and allied health) have made teaching them financially unsustainable</w:t>
      </w:r>
      <w:r w:rsidR="49E8D4FA" w:rsidRPr="001E7AA4">
        <w:t xml:space="preserve">. This is due to </w:t>
      </w:r>
      <w:r w:rsidRPr="001E7AA4">
        <w:t xml:space="preserve">the high costs associated with teaching these fields not </w:t>
      </w:r>
      <w:r w:rsidR="004B09DD" w:rsidRPr="001E7AA4">
        <w:t xml:space="preserve">being </w:t>
      </w:r>
      <w:r w:rsidRPr="001E7AA4">
        <w:t>covered by the base funding rates.</w:t>
      </w:r>
      <w:r w:rsidR="27B3A837" w:rsidRPr="001E7AA4">
        <w:t xml:space="preserve"> This is of critical concern given the importance of these disciplines to meeting current skills needs. </w:t>
      </w:r>
    </w:p>
    <w:p w14:paraId="1D593EC1" w14:textId="1DD785BA" w:rsidR="00267E5A" w:rsidRPr="001E7AA4" w:rsidRDefault="00267E5A" w:rsidP="00267E5A">
      <w:r w:rsidRPr="001E7AA4">
        <w:t xml:space="preserve">The principle of setting base funding rates in line with the average cost of teaching at the bachelor level has also led to the base funding rates not being appropriately set for a number of </w:t>
      </w:r>
      <w:r w:rsidR="003E3188" w:rsidRPr="001E7AA4">
        <w:t>universities</w:t>
      </w:r>
      <w:r w:rsidRPr="001E7AA4">
        <w:t>, as</w:t>
      </w:r>
      <w:r w:rsidR="4F5340C9" w:rsidRPr="001E7AA4">
        <w:t xml:space="preserve"> </w:t>
      </w:r>
      <w:r w:rsidR="00DB59E3" w:rsidRPr="001E7AA4">
        <w:t>they do</w:t>
      </w:r>
      <w:r w:rsidRPr="001E7AA4">
        <w:t xml:space="preserve"> not recognise the significant variations in per student teaching costs amongst universities. Importantly, these funding rates do not recognise different delivery methods and this affect</w:t>
      </w:r>
      <w:r w:rsidR="00A15B97" w:rsidRPr="001E7AA4">
        <w:t>s</w:t>
      </w:r>
      <w:r w:rsidRPr="001E7AA4">
        <w:t xml:space="preserve"> </w:t>
      </w:r>
      <w:r w:rsidRPr="001E7AA4">
        <w:lastRenderedPageBreak/>
        <w:t xml:space="preserve">students’ learning experience and outcomes, particularly for the </w:t>
      </w:r>
      <w:r w:rsidR="74DEDC8D" w:rsidRPr="001E7AA4">
        <w:t>underrepresented</w:t>
      </w:r>
      <w:r w:rsidRPr="001E7AA4">
        <w:t xml:space="preserve"> students who benefit the most from tailored delivery methods as discussed in </w:t>
      </w:r>
      <w:r w:rsidR="00DB59E3" w:rsidRPr="001E7AA4">
        <w:t xml:space="preserve">Section </w:t>
      </w:r>
      <w:r w:rsidRPr="001E7AA4">
        <w:t xml:space="preserve">2.3. </w:t>
      </w:r>
    </w:p>
    <w:p w14:paraId="2D1E942F" w14:textId="7031E10C" w:rsidR="006F35F1" w:rsidRPr="001E7AA4" w:rsidRDefault="00267E5A" w:rsidP="00267E5A">
      <w:r w:rsidRPr="001E7AA4">
        <w:t xml:space="preserve">The Review has also noted that the attempt to incentivise students to move to fields of national priority and away from fields such as humanities has had little effect on student choice. </w:t>
      </w:r>
      <w:r w:rsidR="00945D90" w:rsidRPr="001E7AA4">
        <w:t xml:space="preserve">This has </w:t>
      </w:r>
      <w:r w:rsidR="003C34C6" w:rsidRPr="001E7AA4">
        <w:t xml:space="preserve">recently been noted by the Productivity Commission, which </w:t>
      </w:r>
      <w:r w:rsidR="00BC62B4" w:rsidRPr="001E7AA4">
        <w:t>found “the overall demand for university enrolment in Australia is unresponsive even to significant price increases given ICLs and existing subsidies</w:t>
      </w:r>
      <w:r w:rsidR="006F35F1" w:rsidRPr="001E7AA4">
        <w:t>.</w:t>
      </w:r>
      <w:r w:rsidR="00BC62B4" w:rsidRPr="001E7AA4">
        <w:t>”</w:t>
      </w:r>
      <w:r w:rsidR="006F35F1" w:rsidRPr="001E7AA4">
        <w:rPr>
          <w:rStyle w:val="FootnoteReference"/>
        </w:rPr>
        <w:footnoteReference w:id="179"/>
      </w:r>
      <w:r w:rsidR="00B15265" w:rsidRPr="001E7AA4">
        <w:t xml:space="preserve"> </w:t>
      </w:r>
      <w:r w:rsidR="00454AA8" w:rsidRPr="001E7AA4">
        <w:t xml:space="preserve">This finding is supported by </w:t>
      </w:r>
      <w:r w:rsidR="00B31149" w:rsidRPr="001E7AA4">
        <w:t>further</w:t>
      </w:r>
      <w:r w:rsidR="006F35F1" w:rsidRPr="001E7AA4">
        <w:t xml:space="preserve"> research which found “university applicants are not highly price sensitive in the context of income-contingent loans… price is not a key consideration for applicants.”</w:t>
      </w:r>
      <w:r w:rsidR="00141396" w:rsidRPr="001E7AA4">
        <w:rPr>
          <w:rStyle w:val="FootnoteReference"/>
        </w:rPr>
        <w:footnoteReference w:id="180"/>
      </w:r>
      <w:r w:rsidR="008B433C" w:rsidRPr="001E7AA4">
        <w:t xml:space="preserve"> This is supported by analysis </w:t>
      </w:r>
      <w:r w:rsidR="00A35722" w:rsidRPr="001E7AA4">
        <w:t>from</w:t>
      </w:r>
      <w:r w:rsidR="008B433C" w:rsidRPr="001E7AA4">
        <w:t xml:space="preserve"> the Department of Education. For example, while student contributions for society and culture more than doubled, </w:t>
      </w:r>
      <w:r w:rsidR="00ED3CD4" w:rsidRPr="001E7AA4">
        <w:t>applications to Tertiary Admissions Centres increased by 3.1</w:t>
      </w:r>
      <w:r w:rsidR="00ED3CD4" w:rsidRPr="001E7AA4" w:rsidDel="0002240E">
        <w:t>%</w:t>
      </w:r>
      <w:r w:rsidR="0002240E" w:rsidRPr="001E7AA4">
        <w:t xml:space="preserve"> </w:t>
      </w:r>
      <w:r w:rsidR="00ED3CD4" w:rsidRPr="001E7AA4">
        <w:t xml:space="preserve">in 2021, while </w:t>
      </w:r>
      <w:r w:rsidR="00D836E0" w:rsidRPr="001E7AA4">
        <w:t>applications direct to universities increased by 63.2%.</w:t>
      </w:r>
      <w:r w:rsidR="007C47C1" w:rsidRPr="001E7AA4">
        <w:rPr>
          <w:rStyle w:val="FootnoteReference"/>
        </w:rPr>
        <w:footnoteReference w:id="181"/>
      </w:r>
      <w:r w:rsidR="00D836E0" w:rsidRPr="001E7AA4">
        <w:t xml:space="preserve"> While applications for society and culture decreased in 2022, </w:t>
      </w:r>
      <w:r w:rsidR="0071380D" w:rsidRPr="001E7AA4">
        <w:t>this was in line with overall reductions across the sector.</w:t>
      </w:r>
    </w:p>
    <w:p w14:paraId="03C937BA" w14:textId="44937734" w:rsidR="00267E5A" w:rsidRPr="001E7AA4" w:rsidRDefault="00267E5A" w:rsidP="00267E5A">
      <w:r w:rsidRPr="001E7AA4">
        <w:t xml:space="preserve">Rather, the student contributions have mainly led to some students incurring significantly higher debts that they are unlikely to repay in reasonable timeframes (if at all). On top of this, increased student contributions are now at historical highs and </w:t>
      </w:r>
      <w:r w:rsidR="006B609F" w:rsidRPr="001E7AA4">
        <w:t>are</w:t>
      </w:r>
      <w:r w:rsidRPr="001E7AA4">
        <w:t xml:space="preserve"> unfairly affecting female students and Indigenous students</w:t>
      </w:r>
      <w:r w:rsidR="00CD61ED" w:rsidRPr="001E7AA4">
        <w:t>, as shown in Figure 3.3-2</w:t>
      </w:r>
      <w:r w:rsidRPr="001E7AA4">
        <w:t>.</w:t>
      </w:r>
      <w:r w:rsidR="65D1C015" w:rsidRPr="001E7AA4">
        <w:t xml:space="preserve"> The Review considers this is </w:t>
      </w:r>
      <w:r w:rsidR="000E2956" w:rsidRPr="001E7AA4">
        <w:t>untenable</w:t>
      </w:r>
      <w:r w:rsidR="65D1C015" w:rsidRPr="001E7AA4">
        <w:t xml:space="preserve">. </w:t>
      </w:r>
    </w:p>
    <w:p w14:paraId="596B843B" w14:textId="03B232EB" w:rsidR="00267E5A" w:rsidRPr="001E7AA4" w:rsidRDefault="00267E5A" w:rsidP="00E74934">
      <w:pPr>
        <w:pStyle w:val="Caption"/>
      </w:pPr>
      <w:r w:rsidRPr="001E7AA4">
        <w:t xml:space="preserve">Figure 3.3-2: Impact of </w:t>
      </w:r>
      <w:r w:rsidR="00A74F74" w:rsidRPr="001E7AA4">
        <w:t xml:space="preserve">the </w:t>
      </w:r>
      <w:r w:rsidRPr="001E7AA4">
        <w:t>JRG</w:t>
      </w:r>
      <w:r w:rsidR="00A74F74" w:rsidRPr="001E7AA4">
        <w:t xml:space="preserve"> package</w:t>
      </w:r>
      <w:r w:rsidRPr="001E7AA4">
        <w:t xml:space="preserve"> on </w:t>
      </w:r>
      <w:r w:rsidR="1C73FE41" w:rsidRPr="001E7AA4">
        <w:t>student contributions paid by</w:t>
      </w:r>
      <w:r w:rsidRPr="001E7AA4">
        <w:t xml:space="preserve"> female and Indigenous students</w:t>
      </w:r>
      <w:r w:rsidR="00F54749" w:rsidRPr="001E7AA4">
        <w:t>.</w:t>
      </w:r>
    </w:p>
    <w:p w14:paraId="0CBCA4FA" w14:textId="034D4778" w:rsidR="00267E5A" w:rsidRPr="001E7AA4" w:rsidRDefault="00904CEE" w:rsidP="00267E5A">
      <w:r w:rsidRPr="001E7AA4">
        <w:rPr>
          <w:noProof/>
        </w:rPr>
        <w:drawing>
          <wp:inline distT="0" distB="0" distL="0" distR="0" wp14:anchorId="7BF1B10D" wp14:editId="46D63D8E">
            <wp:extent cx="5731510" cy="2008477"/>
            <wp:effectExtent l="0" t="0" r="0" b="0"/>
            <wp:docPr id="50" name="Picture 50" descr="Column chart showing the disproportional impacts of the JRG cluster redesign on student contributions for male, female and indigenous students. Aggregated student contribution amounts show female and indigenous students are negatively impacted by the re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Column chart showing the disproportional impacts of the JRG cluster redesign on student contributions for male, female and indigenous students. Aggregated student contribution amounts show female and indigenous students are negatively impacted by the redesign."/>
                    <pic:cNvPicPr/>
                  </pic:nvPicPr>
                  <pic:blipFill>
                    <a:blip r:embed="rId78">
                      <a:extLst>
                        <a:ext uri="{28A0092B-C50C-407E-A947-70E740481C1C}">
                          <a14:useLocalDpi xmlns:a14="http://schemas.microsoft.com/office/drawing/2010/main" val="0"/>
                        </a:ext>
                        <a:ext uri="{96DAC541-7B7A-43D3-8B79-37D633B846F1}">
                          <asvg:svgBlip xmlns:asvg="http://schemas.microsoft.com/office/drawing/2016/SVG/main" r:embed="rId79"/>
                        </a:ext>
                      </a:extLst>
                    </a:blip>
                    <a:stretch>
                      <a:fillRect/>
                    </a:stretch>
                  </pic:blipFill>
                  <pic:spPr>
                    <a:xfrm>
                      <a:off x="0" y="0"/>
                      <a:ext cx="5731510" cy="2008477"/>
                    </a:xfrm>
                    <a:prstGeom prst="rect">
                      <a:avLst/>
                    </a:prstGeom>
                  </pic:spPr>
                </pic:pic>
              </a:graphicData>
            </a:graphic>
          </wp:inline>
        </w:drawing>
      </w:r>
    </w:p>
    <w:p w14:paraId="3C11C09F" w14:textId="39D506C3" w:rsidR="00267E5A" w:rsidRPr="00E96855" w:rsidRDefault="00267E5A" w:rsidP="00E74934">
      <w:pPr>
        <w:pStyle w:val="Source"/>
        <w:rPr>
          <w:color w:val="808080" w:themeColor="background1" w:themeShade="80"/>
          <w:szCs w:val="18"/>
        </w:rPr>
      </w:pPr>
      <w:r w:rsidRPr="00E96855">
        <w:rPr>
          <w:color w:val="808080" w:themeColor="background1" w:themeShade="80"/>
          <w:szCs w:val="18"/>
        </w:rPr>
        <w:t xml:space="preserve">Source: </w:t>
      </w:r>
      <w:r w:rsidR="002373A8" w:rsidRPr="00E96855">
        <w:rPr>
          <w:color w:val="808080" w:themeColor="background1" w:themeShade="80"/>
          <w:szCs w:val="18"/>
        </w:rPr>
        <w:t xml:space="preserve">Department of Education internal analysis based on Department of Education, </w:t>
      </w:r>
      <w:hyperlink r:id="rId80" w:history="1">
        <w:r w:rsidR="002373A8" w:rsidRPr="00E96855">
          <w:rPr>
            <w:rStyle w:val="Hyperlink"/>
            <w:i/>
            <w:szCs w:val="18"/>
          </w:rPr>
          <w:t>Higher Education Statistics - 2021 student data</w:t>
        </w:r>
      </w:hyperlink>
      <w:r w:rsidR="002373A8" w:rsidRPr="00E96855">
        <w:rPr>
          <w:color w:val="808080" w:themeColor="background1" w:themeShade="80"/>
          <w:szCs w:val="18"/>
        </w:rPr>
        <w:t xml:space="preserve"> [data set], 2021, accessed 8 June 2023.</w:t>
      </w:r>
    </w:p>
    <w:p w14:paraId="10175746" w14:textId="3B476164" w:rsidR="00267E5A" w:rsidRPr="001E7AA4" w:rsidRDefault="558A8E02" w:rsidP="00267E5A">
      <w:r w:rsidRPr="001E7AA4">
        <w:t>T</w:t>
      </w:r>
      <w:r w:rsidR="00267E5A" w:rsidRPr="001E7AA4">
        <w:t>he JRG package intended to return growth to the funding system, with universities’ funding being indexed each year in line with CPI and further funding provided on the basis of the location of campuses</w:t>
      </w:r>
      <w:r w:rsidR="7BAEB0F3" w:rsidRPr="001E7AA4">
        <w:t xml:space="preserve">. However, </w:t>
      </w:r>
      <w:r w:rsidR="00267E5A" w:rsidRPr="001E7AA4">
        <w:t xml:space="preserve">the level of funding </w:t>
      </w:r>
      <w:r w:rsidR="00DB59E3" w:rsidRPr="001E7AA4">
        <w:t xml:space="preserve">was </w:t>
      </w:r>
      <w:r w:rsidR="00267E5A" w:rsidRPr="001E7AA4">
        <w:t>not adjust</w:t>
      </w:r>
      <w:r w:rsidR="00DB59E3" w:rsidRPr="001E7AA4">
        <w:t>ed</w:t>
      </w:r>
      <w:r w:rsidR="00A71908" w:rsidRPr="001E7AA4">
        <w:t>,</w:t>
      </w:r>
      <w:r w:rsidR="00267E5A" w:rsidRPr="001E7AA4">
        <w:t xml:space="preserve"> to reflect actual student enrolment numbers. Analysis indicates that while there has been falling enrolments across the sector, these reductions are largest at regional campuses, which receive the largest funding increases under the JRG package. As the distribution of funding across the sector does not respond to student demand, it has led to some universities being </w:t>
      </w:r>
      <w:r w:rsidR="009F3484" w:rsidRPr="001E7AA4">
        <w:t>‘</w:t>
      </w:r>
      <w:r w:rsidR="00267E5A" w:rsidRPr="001E7AA4">
        <w:t>under</w:t>
      </w:r>
      <w:r w:rsidR="00267E5A" w:rsidRPr="001E7AA4">
        <w:noBreakHyphen/>
        <w:t>enrolled</w:t>
      </w:r>
      <w:r w:rsidR="009F3484" w:rsidRPr="001E7AA4">
        <w:t>’</w:t>
      </w:r>
      <w:r w:rsidR="00267E5A" w:rsidRPr="001E7AA4">
        <w:t xml:space="preserve"> and others </w:t>
      </w:r>
      <w:r w:rsidR="009F3484" w:rsidRPr="001E7AA4">
        <w:t>‘</w:t>
      </w:r>
      <w:r w:rsidR="00267E5A" w:rsidRPr="001E7AA4">
        <w:t>over-enrolled</w:t>
      </w:r>
      <w:r w:rsidR="009A59A1" w:rsidRPr="001E7AA4">
        <w:t>’.</w:t>
      </w:r>
      <w:r w:rsidR="00267E5A" w:rsidRPr="001E7AA4">
        <w:t xml:space="preserve"> This inefficiency in </w:t>
      </w:r>
      <w:r w:rsidR="00267E5A" w:rsidRPr="001E7AA4">
        <w:lastRenderedPageBreak/>
        <w:t>funding distribution has led to some universities having inadequate funding for their student load</w:t>
      </w:r>
      <w:r w:rsidR="4875C150" w:rsidRPr="001E7AA4">
        <w:t xml:space="preserve">, </w:t>
      </w:r>
      <w:r w:rsidR="00781596" w:rsidRPr="001E7AA4">
        <w:t xml:space="preserve">as they are </w:t>
      </w:r>
      <w:r w:rsidR="057BC1ED" w:rsidRPr="001E7AA4">
        <w:t>teaching</w:t>
      </w:r>
      <w:r w:rsidR="00267E5A" w:rsidRPr="001E7AA4">
        <w:t xml:space="preserve"> many more students than their funding is calculated to support.</w:t>
      </w:r>
    </w:p>
    <w:p w14:paraId="6B618B67" w14:textId="5817FDA1" w:rsidR="00294EC9" w:rsidRPr="001E7AA4" w:rsidRDefault="717338DE" w:rsidP="00294EC9">
      <w:r w:rsidRPr="001E7AA4">
        <w:t>I</w:t>
      </w:r>
      <w:r w:rsidR="6F789324" w:rsidRPr="001E7AA4">
        <w:t>ssue</w:t>
      </w:r>
      <w:r w:rsidR="734ECFD1" w:rsidRPr="001E7AA4">
        <w:t>s</w:t>
      </w:r>
      <w:r w:rsidR="6F789324" w:rsidRPr="001E7AA4">
        <w:t xml:space="preserve"> </w:t>
      </w:r>
      <w:r w:rsidR="69BBB4B1" w:rsidRPr="001E7AA4">
        <w:t xml:space="preserve">around </w:t>
      </w:r>
      <w:r w:rsidR="6F789324" w:rsidRPr="001E7AA4">
        <w:t xml:space="preserve">the adequacy and certainty </w:t>
      </w:r>
      <w:r w:rsidR="007C1CF1" w:rsidRPr="001E7AA4">
        <w:t>of</w:t>
      </w:r>
      <w:r w:rsidR="6F789324" w:rsidRPr="001E7AA4">
        <w:t xml:space="preserve"> universities’ funding </w:t>
      </w:r>
      <w:r w:rsidR="00294EC9" w:rsidRPr="001E7AA4">
        <w:t xml:space="preserve">is further compounded by the current environment of soft student demand, pricing incentives created by the JRG changes and institutions’ capacity to grow, </w:t>
      </w:r>
      <w:r w:rsidR="7E5F3FA3" w:rsidRPr="001E7AA4">
        <w:t xml:space="preserve">as well as </w:t>
      </w:r>
      <w:r w:rsidR="00294EC9" w:rsidRPr="001E7AA4">
        <w:t xml:space="preserve">the slower recovery </w:t>
      </w:r>
      <w:r w:rsidR="671C4E10" w:rsidRPr="001E7AA4">
        <w:t>of</w:t>
      </w:r>
      <w:r w:rsidR="00132078" w:rsidRPr="001E7AA4">
        <w:t xml:space="preserve"> </w:t>
      </w:r>
      <w:r w:rsidR="00294EC9" w:rsidRPr="001E7AA4">
        <w:t xml:space="preserve">some from the COVID-19 pandemic. </w:t>
      </w:r>
    </w:p>
    <w:p w14:paraId="182DCE07" w14:textId="2607098D" w:rsidR="00294EC9" w:rsidRPr="001E7AA4" w:rsidRDefault="00294EC9" w:rsidP="00294EC9">
      <w:r w:rsidRPr="001E7AA4">
        <w:t xml:space="preserve">The above illustrates the various and significant issues and impacts that have been created by the JRG changes. It is evident that base funding per place and students’ contributions should be redesigned. Funding arrangements must also ensure sufficient growth, stability and certainty, and better allow institutions to pursue their mission and meet their student, industry and community needs.  </w:t>
      </w:r>
    </w:p>
    <w:p w14:paraId="271B777D" w14:textId="3C341CEB" w:rsidR="00294EC9" w:rsidRDefault="00294EC9" w:rsidP="00294EC9">
      <w:r w:rsidRPr="001E7AA4">
        <w:t>The Review notes changes to JRG and the implementation of a new funding model are necessary. As explored in submissions and consultations, the continuation of these current arrangements risk causing long-term and entrenched damage to Australian higher education.</w:t>
      </w:r>
    </w:p>
    <w:p w14:paraId="62751E96" w14:textId="4DE45BB0" w:rsidR="005168F7" w:rsidRDefault="005168F7" w:rsidP="004335D7">
      <w:pPr>
        <w:pStyle w:val="Pulloutboxes"/>
      </w:pPr>
      <w:r w:rsidRPr="00D71585">
        <w:t>The Review is considering new funding models, including to address the negative impacts of the JRG package.</w:t>
      </w:r>
    </w:p>
    <w:p w14:paraId="4B83E07D" w14:textId="4D709A16" w:rsidR="005A03BA" w:rsidRPr="001E7AA4" w:rsidRDefault="005A03BA" w:rsidP="00467CBB">
      <w:pPr>
        <w:pStyle w:val="Heading6"/>
      </w:pPr>
      <w:r w:rsidRPr="001E7AA4">
        <w:t xml:space="preserve">3.3.3.1 Providing funding certainty </w:t>
      </w:r>
    </w:p>
    <w:p w14:paraId="27AE98E7" w14:textId="41975FCA" w:rsidR="00D47101" w:rsidRPr="001E7AA4" w:rsidRDefault="00D47101" w:rsidP="00D47101">
      <w:bookmarkStart w:id="417" w:name="_Hlk138171125"/>
      <w:r w:rsidRPr="001E7AA4">
        <w:t>The Review notes the need to ensure funding certainty for universities until a new funding approach is considered</w:t>
      </w:r>
      <w:r w:rsidR="00A55B3B" w:rsidRPr="001E7AA4">
        <w:t xml:space="preserve">. </w:t>
      </w:r>
      <w:r w:rsidR="00EF1D76" w:rsidRPr="001E7AA4">
        <w:t>In particular, t</w:t>
      </w:r>
      <w:r w:rsidR="00A55B3B" w:rsidRPr="001E7AA4">
        <w:t>he end of the HECG</w:t>
      </w:r>
      <w:r w:rsidRPr="001E7AA4">
        <w:t xml:space="preserve"> may cause unnecessary disruption to staff, students and the sector. New funding arrangements will be proposed in the Final Report and then followed by a period of Government consideration. Interim funding arrangements are needed in advance of a possible new funding system. </w:t>
      </w:r>
    </w:p>
    <w:p w14:paraId="5E1A717E" w14:textId="058F921D" w:rsidR="00D47101" w:rsidRPr="001E7AA4" w:rsidRDefault="00D47101" w:rsidP="00D47101">
      <w:r w:rsidRPr="001E7AA4">
        <w:t>The HECG has provided certainty to universities during the significant upheaval from the COVID-19 pandemic and during the implementation of the JRG package. The Review is concerned that the removal of these arrangements would represent a significant change in the sector’s financing arrangements, especially in anticipation of further future change that could arise from the recommendations of the Final Report. Many institutions, particularly those with smaller domestic and international student numbers, regional universities</w:t>
      </w:r>
      <w:r w:rsidR="00A71908" w:rsidRPr="001E7AA4">
        <w:t>,</w:t>
      </w:r>
      <w:r w:rsidRPr="001E7AA4">
        <w:t xml:space="preserve"> and those with higher costs due to needing to provide students with additional support will find it financially challenging. The end of the </w:t>
      </w:r>
      <w:r w:rsidR="00222ED1" w:rsidRPr="001E7AA4">
        <w:t>HECG</w:t>
      </w:r>
      <w:r w:rsidRPr="001E7AA4">
        <w:t xml:space="preserve"> could see these institutions make </w:t>
      </w:r>
      <w:r w:rsidR="007D2726" w:rsidRPr="001E7AA4">
        <w:t xml:space="preserve">difficult </w:t>
      </w:r>
      <w:r w:rsidRPr="001E7AA4">
        <w:t xml:space="preserve">and premature financial choices, such as reducing staffing numbers, </w:t>
      </w:r>
      <w:r w:rsidR="007D2726" w:rsidRPr="001E7AA4">
        <w:t xml:space="preserve">decreasing </w:t>
      </w:r>
      <w:r w:rsidRPr="001E7AA4">
        <w:t xml:space="preserve">support services or cancelling capital works, that are not in line with the needs of students or staff or the long-term direction of the Accord. </w:t>
      </w:r>
    </w:p>
    <w:p w14:paraId="6805F9F7" w14:textId="1F538C7B" w:rsidR="00C91097" w:rsidRPr="001E7AA4" w:rsidRDefault="00D47101" w:rsidP="00D47101">
      <w:pPr>
        <w:rPr>
          <w:rStyle w:val="normaltextrun"/>
          <w:rFonts w:ascii="Calibri" w:hAnsi="Calibri" w:cs="Calibri"/>
        </w:rPr>
      </w:pPr>
      <w:r w:rsidRPr="001E7AA4">
        <w:t xml:space="preserve">The Review strongly supports stability for the sector, and that institutions should have certainty of their funding into 2024. However, </w:t>
      </w:r>
      <w:r w:rsidR="7DD5BFBF" w:rsidRPr="001E7AA4">
        <w:t xml:space="preserve">given </w:t>
      </w:r>
      <w:r w:rsidRPr="001E7AA4">
        <w:t xml:space="preserve">the imperatives identified by the Review with regard to growth for skills through greater equity, </w:t>
      </w:r>
      <w:r w:rsidRPr="001E7AA4">
        <w:rPr>
          <w:rStyle w:val="normaltextrun"/>
          <w:rFonts w:ascii="Calibri" w:hAnsi="Calibri" w:cs="Calibri"/>
        </w:rPr>
        <w:t xml:space="preserve">universities and </w:t>
      </w:r>
      <w:r w:rsidR="007D2726" w:rsidRPr="001E7AA4">
        <w:rPr>
          <w:rStyle w:val="normaltextrun"/>
          <w:rFonts w:ascii="Calibri" w:hAnsi="Calibri" w:cs="Calibri"/>
        </w:rPr>
        <w:t xml:space="preserve">other </w:t>
      </w:r>
      <w:r w:rsidRPr="001E7AA4">
        <w:rPr>
          <w:rStyle w:val="normaltextrun"/>
          <w:rFonts w:ascii="Calibri" w:hAnsi="Calibri" w:cs="Calibri"/>
        </w:rPr>
        <w:t xml:space="preserve">providers </w:t>
      </w:r>
      <w:r w:rsidR="007012F5" w:rsidRPr="001E7AA4">
        <w:rPr>
          <w:rStyle w:val="normaltextrun"/>
          <w:rFonts w:ascii="Calibri" w:hAnsi="Calibri" w:cs="Calibri"/>
          <w:iCs/>
        </w:rPr>
        <w:t>should be</w:t>
      </w:r>
      <w:r w:rsidR="002504B3" w:rsidRPr="001E7AA4">
        <w:rPr>
          <w:rStyle w:val="normaltextrun"/>
          <w:rFonts w:ascii="Calibri" w:hAnsi="Calibri" w:cs="Calibri"/>
          <w:iCs/>
        </w:rPr>
        <w:t xml:space="preserve"> </w:t>
      </w:r>
      <w:r w:rsidR="00936429" w:rsidRPr="001E7AA4">
        <w:rPr>
          <w:rStyle w:val="normaltextrun"/>
          <w:rFonts w:ascii="Calibri" w:hAnsi="Calibri" w:cs="Calibri"/>
        </w:rPr>
        <w:t>required to direct this towards supporting and enhancing equity outcomes.</w:t>
      </w:r>
    </w:p>
    <w:p w14:paraId="3780CA7D" w14:textId="51B81FEC" w:rsidR="00D47101" w:rsidRDefault="00C17134" w:rsidP="00D47101">
      <w:pPr>
        <w:rPr>
          <w:rStyle w:val="normaltextrun"/>
          <w:rFonts w:ascii="Calibri" w:hAnsi="Calibri" w:cs="Calibri"/>
        </w:rPr>
      </w:pPr>
      <w:r w:rsidRPr="001E7AA4">
        <w:t xml:space="preserve">As stated in </w:t>
      </w:r>
      <w:r w:rsidR="007D2726" w:rsidRPr="001E7AA4">
        <w:t>Section</w:t>
      </w:r>
      <w:r w:rsidRPr="001E7AA4">
        <w:t xml:space="preserve"> 2.3, many equity students need additional support including increased academic advice and learning support</w:t>
      </w:r>
      <w:r w:rsidR="00373DA2" w:rsidRPr="001E7AA4">
        <w:t>,</w:t>
      </w:r>
      <w:r w:rsidRPr="001E7AA4">
        <w:t xml:space="preserve"> </w:t>
      </w:r>
      <w:r w:rsidR="00C56DC1" w:rsidRPr="001E7AA4">
        <w:t xml:space="preserve">and the </w:t>
      </w:r>
      <w:r w:rsidRPr="001E7AA4">
        <w:t xml:space="preserve">delivery of enhanced wraparound services. </w:t>
      </w:r>
      <w:r w:rsidR="00D47101" w:rsidRPr="001E7AA4">
        <w:t xml:space="preserve">The Review </w:t>
      </w:r>
      <w:r w:rsidRPr="001E7AA4">
        <w:t xml:space="preserve">considers </w:t>
      </w:r>
      <w:r w:rsidR="00D47101" w:rsidRPr="001E7AA4">
        <w:t xml:space="preserve">institutions </w:t>
      </w:r>
      <w:r w:rsidRPr="001E7AA4">
        <w:t xml:space="preserve">must </w:t>
      </w:r>
      <w:r w:rsidR="00D47101" w:rsidRPr="001E7AA4">
        <w:t>determine the use of this funding according to their student and local community needs</w:t>
      </w:r>
      <w:r w:rsidR="00493D31" w:rsidRPr="001E7AA4">
        <w:t>.</w:t>
      </w:r>
      <w:r w:rsidR="0077001C" w:rsidRPr="001E7AA4">
        <w:t xml:space="preserve"> </w:t>
      </w:r>
      <w:r w:rsidR="00777B5E" w:rsidRPr="001E7AA4">
        <w:t xml:space="preserve">This </w:t>
      </w:r>
      <w:r w:rsidR="00D5095B" w:rsidRPr="001E7AA4">
        <w:t>should</w:t>
      </w:r>
      <w:r w:rsidR="00D842D1" w:rsidRPr="001E7AA4">
        <w:t xml:space="preserve"> </w:t>
      </w:r>
      <w:r w:rsidR="00493D31" w:rsidRPr="001E7AA4">
        <w:rPr>
          <w:rStyle w:val="normaltextrun"/>
          <w:rFonts w:ascii="Calibri" w:hAnsi="Calibri" w:cs="Calibri"/>
        </w:rPr>
        <w:t xml:space="preserve">include a </w:t>
      </w:r>
      <w:r w:rsidR="00B52C7D" w:rsidRPr="001E7AA4">
        <w:rPr>
          <w:rStyle w:val="normaltextrun"/>
          <w:rFonts w:ascii="Calibri" w:hAnsi="Calibri" w:cs="Calibri"/>
        </w:rPr>
        <w:t>range of assistance and support</w:t>
      </w:r>
      <w:r w:rsidR="009C48D1" w:rsidRPr="001E7AA4">
        <w:rPr>
          <w:rStyle w:val="normaltextrun"/>
          <w:rFonts w:ascii="Calibri" w:hAnsi="Calibri" w:cs="Calibri"/>
        </w:rPr>
        <w:t xml:space="preserve"> mechanisms</w:t>
      </w:r>
      <w:r w:rsidR="002504B3" w:rsidRPr="001E7AA4">
        <w:rPr>
          <w:rStyle w:val="normaltextrun"/>
          <w:rFonts w:ascii="Calibri" w:hAnsi="Calibri" w:cs="Calibri"/>
        </w:rPr>
        <w:t xml:space="preserve"> for students</w:t>
      </w:r>
      <w:r w:rsidR="00B52C7D" w:rsidRPr="001E7AA4">
        <w:rPr>
          <w:rStyle w:val="normaltextrun"/>
          <w:rFonts w:ascii="Calibri" w:hAnsi="Calibri" w:cs="Calibri"/>
        </w:rPr>
        <w:t xml:space="preserve">, such as increased </w:t>
      </w:r>
      <w:r w:rsidR="00F7655B" w:rsidRPr="001E7AA4">
        <w:rPr>
          <w:rStyle w:val="normaltextrun"/>
          <w:rFonts w:ascii="Calibri" w:hAnsi="Calibri" w:cs="Calibri"/>
        </w:rPr>
        <w:t>support for students in</w:t>
      </w:r>
      <w:r w:rsidR="00B52C7D" w:rsidRPr="001E7AA4">
        <w:rPr>
          <w:rStyle w:val="normaltextrun"/>
          <w:rFonts w:ascii="Calibri" w:hAnsi="Calibri" w:cs="Calibri"/>
        </w:rPr>
        <w:t xml:space="preserve"> enabling courses</w:t>
      </w:r>
      <w:r w:rsidR="0081108D" w:rsidRPr="001E7AA4">
        <w:rPr>
          <w:rStyle w:val="normaltextrun"/>
          <w:rFonts w:ascii="Calibri" w:hAnsi="Calibri" w:cs="Calibri"/>
        </w:rPr>
        <w:t xml:space="preserve"> (including additional places within a more </w:t>
      </w:r>
      <w:r w:rsidR="0081108D" w:rsidRPr="001E7AA4">
        <w:rPr>
          <w:rStyle w:val="normaltextrun"/>
          <w:rFonts w:ascii="Calibri" w:hAnsi="Calibri" w:cs="Calibri"/>
        </w:rPr>
        <w:lastRenderedPageBreak/>
        <w:t>flexible funding envelop)</w:t>
      </w:r>
      <w:r w:rsidR="00B52C7D" w:rsidRPr="001E7AA4">
        <w:rPr>
          <w:rStyle w:val="normaltextrun"/>
          <w:rFonts w:ascii="Calibri" w:hAnsi="Calibri" w:cs="Calibri"/>
        </w:rPr>
        <w:t>, improved academic advice and learning support, wraparound services (such as mental health), scholarships or other services.</w:t>
      </w:r>
      <w:r w:rsidR="00777B5E" w:rsidRPr="001E7AA4">
        <w:rPr>
          <w:rStyle w:val="normaltextrun"/>
          <w:rFonts w:ascii="Calibri" w:hAnsi="Calibri" w:cs="Calibri"/>
        </w:rPr>
        <w:t xml:space="preserve"> </w:t>
      </w:r>
    </w:p>
    <w:tbl>
      <w:tblPr>
        <w:tblStyle w:val="ImmediateAction0"/>
        <w:tblW w:w="0" w:type="auto"/>
        <w:tblLook w:val="04A0" w:firstRow="1" w:lastRow="0" w:firstColumn="1" w:lastColumn="0" w:noHBand="0" w:noVBand="1"/>
      </w:tblPr>
      <w:tblGrid>
        <w:gridCol w:w="9016"/>
      </w:tblGrid>
      <w:tr w:rsidR="00734123" w14:paraId="0D35022C" w14:textId="77777777" w:rsidTr="00734123">
        <w:tc>
          <w:tcPr>
            <w:tcW w:w="9016" w:type="dxa"/>
          </w:tcPr>
          <w:p w14:paraId="023965C9" w14:textId="77777777" w:rsidR="00734123" w:rsidRPr="004335D7" w:rsidRDefault="00734123" w:rsidP="00734123">
            <w:pPr>
              <w:pStyle w:val="ImmediateAction-Heading"/>
            </w:pPr>
            <w:r w:rsidRPr="004335D7">
              <w:t xml:space="preserve">Immediate action: </w:t>
            </w:r>
          </w:p>
          <w:p w14:paraId="43040B5F" w14:textId="4551C4EB" w:rsidR="00734123" w:rsidRPr="00734123" w:rsidRDefault="00734123" w:rsidP="00734123">
            <w:pPr>
              <w:spacing w:after="120"/>
              <w:rPr>
                <w:rStyle w:val="normaltextrun"/>
                <w:color w:val="000000" w:themeColor="text1"/>
              </w:rPr>
            </w:pPr>
            <w:r w:rsidRPr="001E7AA4">
              <w:t>Provide funding certainty, through the extension of the Higher Education Continuity Guarantee into 2024 and 2025, to minimise the risk of unnecessary structural adjustment to the sector. Interim funding arrangements must prioritise the delivery of support for equity students to accelerate reform towards a high equity, high participation system.</w:t>
            </w:r>
          </w:p>
        </w:tc>
      </w:tr>
    </w:tbl>
    <w:p w14:paraId="2B5B532F" w14:textId="77777777" w:rsidR="00267E5A" w:rsidRPr="001E7AA4" w:rsidRDefault="4F7E9CFA" w:rsidP="00467CBB">
      <w:pPr>
        <w:pStyle w:val="Heading5"/>
      </w:pPr>
      <w:bookmarkStart w:id="418" w:name="_Toc135741161"/>
      <w:bookmarkStart w:id="419" w:name="_Toc137829600"/>
      <w:bookmarkStart w:id="420" w:name="_Toc1675267765"/>
      <w:bookmarkStart w:id="421" w:name="_Toc139028932"/>
      <w:bookmarkEnd w:id="417"/>
      <w:r w:rsidRPr="001E7AA4">
        <w:t>3.3.4 A student-centred, needs-based funding model</w:t>
      </w:r>
      <w:bookmarkEnd w:id="418"/>
      <w:bookmarkEnd w:id="419"/>
      <w:bookmarkEnd w:id="420"/>
      <w:bookmarkEnd w:id="421"/>
    </w:p>
    <w:p w14:paraId="69930B76" w14:textId="77777777" w:rsidR="00267E5A" w:rsidRPr="001E7AA4" w:rsidRDefault="00267E5A" w:rsidP="00467CBB">
      <w:pPr>
        <w:pStyle w:val="Heading6"/>
      </w:pPr>
      <w:bookmarkStart w:id="422" w:name="_Toc135741162"/>
      <w:bookmarkStart w:id="423" w:name="_Toc136169225"/>
      <w:bookmarkStart w:id="424" w:name="_Toc136029936"/>
      <w:r w:rsidRPr="001E7AA4">
        <w:t>3.3.4.1 Supporting attainment and participation</w:t>
      </w:r>
      <w:bookmarkEnd w:id="422"/>
      <w:bookmarkEnd w:id="423"/>
      <w:bookmarkEnd w:id="424"/>
    </w:p>
    <w:p w14:paraId="492BA275" w14:textId="77777777" w:rsidR="00267E5A" w:rsidRPr="001E7AA4" w:rsidRDefault="00267E5A" w:rsidP="00267E5A">
      <w:pPr>
        <w:rPr>
          <w:i/>
          <w:iCs/>
        </w:rPr>
      </w:pPr>
      <w:r w:rsidRPr="001E7AA4">
        <w:t>As discussed in earlier chapters, Australia’s higher education funding system must operate to increase long-term participation and attainment, including for those students from historically disadvantaged backgrounds.</w:t>
      </w:r>
    </w:p>
    <w:p w14:paraId="2A042E42" w14:textId="23062C7B" w:rsidR="00267E5A" w:rsidRPr="001E7AA4" w:rsidRDefault="1D2CF60D" w:rsidP="00267E5A">
      <w:r w:rsidRPr="001E7AA4">
        <w:rPr>
          <w:rFonts w:ascii="Calibri" w:eastAsia="Calibri" w:hAnsi="Calibri" w:cs="Calibri"/>
          <w:color w:val="000000" w:themeColor="text1"/>
        </w:rPr>
        <w:t xml:space="preserve">If implemented, </w:t>
      </w:r>
      <w:r w:rsidR="72F0DC64" w:rsidRPr="001E7AA4">
        <w:rPr>
          <w:rFonts w:ascii="Calibri" w:eastAsia="Calibri" w:hAnsi="Calibri" w:cs="Calibri"/>
          <w:color w:val="000000" w:themeColor="text1"/>
        </w:rPr>
        <w:t>m</w:t>
      </w:r>
      <w:r w:rsidR="05F77EF3" w:rsidRPr="001E7AA4">
        <w:rPr>
          <w:rFonts w:ascii="Calibri" w:eastAsia="Calibri" w:hAnsi="Calibri" w:cs="Calibri"/>
          <w:color w:val="000000" w:themeColor="text1"/>
        </w:rPr>
        <w:t>eeting</w:t>
      </w:r>
      <w:r w:rsidR="00267E5A" w:rsidRPr="001E7AA4">
        <w:rPr>
          <w:rFonts w:ascii="Calibri" w:eastAsia="Calibri" w:hAnsi="Calibri" w:cs="Calibri"/>
          <w:color w:val="000000" w:themeColor="text1"/>
        </w:rPr>
        <w:t xml:space="preserve"> targets and objectives of higher education participation and attainment </w:t>
      </w:r>
      <w:r w:rsidR="05F77EF3" w:rsidRPr="001E7AA4">
        <w:rPr>
          <w:rFonts w:ascii="Calibri" w:eastAsia="Calibri" w:hAnsi="Calibri" w:cs="Calibri"/>
          <w:color w:val="000000" w:themeColor="text1"/>
        </w:rPr>
        <w:t>w</w:t>
      </w:r>
      <w:r w:rsidR="43C4122F" w:rsidRPr="001E7AA4">
        <w:rPr>
          <w:rFonts w:ascii="Calibri" w:eastAsia="Calibri" w:hAnsi="Calibri" w:cs="Calibri"/>
          <w:color w:val="000000" w:themeColor="text1"/>
        </w:rPr>
        <w:t>ould</w:t>
      </w:r>
      <w:r w:rsidR="00267E5A" w:rsidRPr="001E7AA4">
        <w:rPr>
          <w:rFonts w:ascii="Calibri" w:eastAsia="Calibri" w:hAnsi="Calibri" w:cs="Calibri"/>
          <w:color w:val="000000" w:themeColor="text1"/>
        </w:rPr>
        <w:t xml:space="preserve"> require additional long-term funding and a substantial restructuring of learning </w:t>
      </w:r>
      <w:r w:rsidR="00312540" w:rsidRPr="001E7AA4">
        <w:rPr>
          <w:rFonts w:ascii="Calibri" w:eastAsia="Calibri" w:hAnsi="Calibri" w:cs="Calibri"/>
          <w:color w:val="000000" w:themeColor="text1"/>
        </w:rPr>
        <w:t xml:space="preserve">and teaching </w:t>
      </w:r>
      <w:r w:rsidR="00267E5A" w:rsidRPr="001E7AA4">
        <w:rPr>
          <w:rFonts w:ascii="Calibri" w:eastAsia="Calibri" w:hAnsi="Calibri" w:cs="Calibri"/>
          <w:color w:val="000000" w:themeColor="text1"/>
        </w:rPr>
        <w:t xml:space="preserve">funding to ensure sufficiency, sustainability and stability. </w:t>
      </w:r>
      <w:r w:rsidR="00267E5A" w:rsidRPr="001E7AA4">
        <w:t xml:space="preserve">The funding trajectory for higher education needs </w:t>
      </w:r>
      <w:r w:rsidR="7403B7E0" w:rsidRPr="001E7AA4">
        <w:t xml:space="preserve">to be dynamic </w:t>
      </w:r>
      <w:r w:rsidR="00267E5A" w:rsidRPr="001E7AA4">
        <w:t xml:space="preserve">to meet the attainment needs of the nation and parity of participation. </w:t>
      </w:r>
    </w:p>
    <w:p w14:paraId="74977D4C" w14:textId="35FB562A" w:rsidR="00465FF2" w:rsidRPr="001E7AA4" w:rsidRDefault="7BE957BE" w:rsidP="00037431">
      <w:r w:rsidRPr="001E7AA4">
        <w:t>The Review’s ambition is</w:t>
      </w:r>
      <w:r w:rsidR="123EEAEB" w:rsidRPr="001E7AA4">
        <w:t xml:space="preserve"> that </w:t>
      </w:r>
      <w:r w:rsidR="6E015B6C" w:rsidRPr="001E7AA4">
        <w:t>a new</w:t>
      </w:r>
      <w:r w:rsidR="123EEAEB" w:rsidRPr="001E7AA4">
        <w:t xml:space="preserve"> funding system </w:t>
      </w:r>
      <w:r w:rsidR="4DF0AC30" w:rsidRPr="001E7AA4">
        <w:t xml:space="preserve">for learning and teaching </w:t>
      </w:r>
      <w:r w:rsidR="123EEAEB" w:rsidRPr="001E7AA4">
        <w:t xml:space="preserve">can </w:t>
      </w:r>
      <w:r w:rsidR="494C27B3" w:rsidRPr="001E7AA4">
        <w:t>achieve multiple objectives –</w:t>
      </w:r>
      <w:r w:rsidR="00267E5A" w:rsidRPr="001E7AA4">
        <w:t xml:space="preserve"> that</w:t>
      </w:r>
      <w:r w:rsidR="494C27B3" w:rsidRPr="001E7AA4">
        <w:t xml:space="preserve"> institutions can deliver</w:t>
      </w:r>
      <w:r w:rsidR="00267E5A" w:rsidRPr="001E7AA4">
        <w:t xml:space="preserve"> courses that align well with their mission and purpose, </w:t>
      </w:r>
      <w:r w:rsidR="49BD0F37" w:rsidRPr="001E7AA4">
        <w:t xml:space="preserve">can meet Australia’s future skills needs, and that </w:t>
      </w:r>
      <w:r w:rsidR="00267E5A" w:rsidRPr="001E7AA4">
        <w:t xml:space="preserve">students </w:t>
      </w:r>
      <w:r w:rsidR="30843A2A" w:rsidRPr="001E7AA4">
        <w:t xml:space="preserve">can </w:t>
      </w:r>
      <w:r w:rsidR="56F5A7ED" w:rsidRPr="001E7AA4">
        <w:t>pursue</w:t>
      </w:r>
      <w:r w:rsidR="00267E5A" w:rsidRPr="001E7AA4">
        <w:t xml:space="preserve"> courses</w:t>
      </w:r>
      <w:r w:rsidR="001C25B0" w:rsidRPr="001E7AA4">
        <w:t xml:space="preserve"> </w:t>
      </w:r>
      <w:r w:rsidR="00944509" w:rsidRPr="001E7AA4">
        <w:t>which</w:t>
      </w:r>
      <w:r w:rsidR="00267E5A" w:rsidRPr="001E7AA4">
        <w:t xml:space="preserve"> </w:t>
      </w:r>
      <w:r w:rsidR="266A8517" w:rsidRPr="001E7AA4">
        <w:t>align with their abilities and interests</w:t>
      </w:r>
      <w:r w:rsidR="00267E5A" w:rsidRPr="001E7AA4">
        <w:t>. This should occur within a</w:t>
      </w:r>
      <w:r w:rsidR="00B64D82" w:rsidRPr="001E7AA4">
        <w:t xml:space="preserve"> </w:t>
      </w:r>
      <w:r w:rsidR="00267E5A" w:rsidRPr="001E7AA4">
        <w:t xml:space="preserve">system that takes account </w:t>
      </w:r>
      <w:r w:rsidR="007E0D3A" w:rsidRPr="001E7AA4">
        <w:t xml:space="preserve">of </w:t>
      </w:r>
      <w:r w:rsidR="00267E5A" w:rsidRPr="001E7AA4">
        <w:t xml:space="preserve">the national interest in the overall supply of a highly talented, highly skilled, well-located workforce, which meets the changing requirements of the economy. </w:t>
      </w:r>
    </w:p>
    <w:p w14:paraId="323CC744" w14:textId="062550BE" w:rsidR="00465FF2" w:rsidRPr="001E7AA4" w:rsidRDefault="3D883202" w:rsidP="23811EAD">
      <w:pPr>
        <w:spacing w:line="257" w:lineRule="auto"/>
        <w:rPr>
          <w:rFonts w:ascii="Calibri" w:eastAsia="Calibri" w:hAnsi="Calibri" w:cs="Calibri"/>
        </w:rPr>
      </w:pPr>
      <w:r w:rsidRPr="001E7AA4">
        <w:rPr>
          <w:rFonts w:ascii="Calibri" w:eastAsia="Calibri" w:hAnsi="Calibri" w:cs="Calibri"/>
        </w:rPr>
        <w:t xml:space="preserve">As outlined in </w:t>
      </w:r>
      <w:r w:rsidR="000B7E2B" w:rsidRPr="001E7AA4">
        <w:rPr>
          <w:rFonts w:ascii="Calibri" w:eastAsia="Calibri" w:hAnsi="Calibri" w:cs="Calibri"/>
        </w:rPr>
        <w:t xml:space="preserve">Section </w:t>
      </w:r>
      <w:r w:rsidRPr="001E7AA4">
        <w:rPr>
          <w:rFonts w:ascii="Calibri" w:eastAsia="Calibri" w:hAnsi="Calibri" w:cs="Calibri"/>
        </w:rPr>
        <w:t xml:space="preserve">2.1, a universal </w:t>
      </w:r>
      <w:r w:rsidR="00E37C62" w:rsidRPr="001E7AA4">
        <w:rPr>
          <w:rFonts w:ascii="Calibri" w:eastAsia="Calibri" w:hAnsi="Calibri" w:cs="Calibri"/>
        </w:rPr>
        <w:t xml:space="preserve">learning </w:t>
      </w:r>
      <w:r w:rsidRPr="001E7AA4">
        <w:rPr>
          <w:rFonts w:ascii="Calibri" w:eastAsia="Calibri" w:hAnsi="Calibri" w:cs="Calibri"/>
        </w:rPr>
        <w:t xml:space="preserve">entitlement to high-quality tertiary education (higher education and VET) may be needed. As part of this overall ambition, a universal </w:t>
      </w:r>
      <w:r w:rsidR="00E37C62" w:rsidRPr="001E7AA4">
        <w:rPr>
          <w:rFonts w:ascii="Calibri" w:eastAsia="Calibri" w:hAnsi="Calibri" w:cs="Calibri"/>
        </w:rPr>
        <w:t xml:space="preserve">learning </w:t>
      </w:r>
      <w:r w:rsidRPr="001E7AA4">
        <w:rPr>
          <w:rFonts w:ascii="Calibri" w:eastAsia="Calibri" w:hAnsi="Calibri" w:cs="Calibri"/>
        </w:rPr>
        <w:t>entitlement should sit at the centre of the higher education funding system and any capable student would receive a CSP in a higher education course of their choosing.</w:t>
      </w:r>
      <w:r w:rsidR="00113218" w:rsidRPr="001E7AA4">
        <w:rPr>
          <w:rFonts w:ascii="Calibri" w:eastAsia="Calibri" w:hAnsi="Calibri" w:cs="Calibri"/>
        </w:rPr>
        <w:t xml:space="preserve"> As a first step, a priority element of the universal learning entitlement should ensure all students from equity cohorts are eligible for a funded place at university.</w:t>
      </w:r>
    </w:p>
    <w:p w14:paraId="38A7C83B" w14:textId="79B49103" w:rsidR="00734123" w:rsidRDefault="00CA2AD0" w:rsidP="00CA2AD0">
      <w:r w:rsidRPr="001E7AA4">
        <w:t>While th</w:t>
      </w:r>
      <w:r w:rsidR="00A301A7" w:rsidRPr="001E7AA4">
        <w:t xml:space="preserve">ere are similarities between a universal </w:t>
      </w:r>
      <w:r w:rsidR="00E37C62" w:rsidRPr="001E7AA4">
        <w:t xml:space="preserve">learning </w:t>
      </w:r>
      <w:r w:rsidR="00A301A7" w:rsidRPr="001E7AA4">
        <w:t>entitlement and demand driven funding, t</w:t>
      </w:r>
      <w:r w:rsidRPr="001E7AA4">
        <w:t>he Review sees the concept of ‘demand</w:t>
      </w:r>
      <w:r w:rsidR="006B6BF8" w:rsidRPr="001E7AA4">
        <w:t xml:space="preserve"> </w:t>
      </w:r>
      <w:r w:rsidRPr="001E7AA4">
        <w:t>driven funding’ as no longer reflective of current requirements</w:t>
      </w:r>
      <w:r w:rsidR="00F914E1" w:rsidRPr="001E7AA4">
        <w:t>, as it focuses only on the willingness of a student to learn, and the willingness of a provider to enrol. National skills needs and balanced tertiary provision across regional and metropolitan areas, are both important objectives that also need to be met through better planning than demand</w:t>
      </w:r>
      <w:r w:rsidR="006B6BF8" w:rsidRPr="001E7AA4">
        <w:t xml:space="preserve"> </w:t>
      </w:r>
      <w:r w:rsidR="00F914E1" w:rsidRPr="001E7AA4">
        <w:t xml:space="preserve">driven </w:t>
      </w:r>
      <w:r w:rsidR="00F914E1" w:rsidRPr="001E7AA4" w:rsidDel="00F920CC">
        <w:t>funding</w:t>
      </w:r>
      <w:r w:rsidR="00223BF7" w:rsidRPr="001E7AA4">
        <w:t>.</w:t>
      </w:r>
      <w:r w:rsidR="00F920CC" w:rsidRPr="001E7AA4">
        <w:t xml:space="preserve"> </w:t>
      </w:r>
      <w:r w:rsidR="1D11285B" w:rsidRPr="001E7AA4">
        <w:t xml:space="preserve">The role of </w:t>
      </w:r>
      <w:r w:rsidR="00865CE8" w:rsidRPr="001E7AA4">
        <w:t xml:space="preserve">the </w:t>
      </w:r>
      <w:r w:rsidR="75043215" w:rsidRPr="001E7AA4">
        <w:t>T</w:t>
      </w:r>
      <w:r w:rsidR="006B0E5F" w:rsidRPr="001E7AA4">
        <w:t xml:space="preserve">ertiary </w:t>
      </w:r>
      <w:r w:rsidR="75043215" w:rsidRPr="001E7AA4">
        <w:t>E</w:t>
      </w:r>
      <w:r w:rsidR="006B0E5F" w:rsidRPr="001E7AA4">
        <w:t xml:space="preserve">ducation </w:t>
      </w:r>
      <w:r w:rsidR="75043215" w:rsidRPr="001E7AA4">
        <w:t>C</w:t>
      </w:r>
      <w:r w:rsidR="006B0E5F" w:rsidRPr="001E7AA4">
        <w:t>ommission</w:t>
      </w:r>
      <w:r w:rsidR="1D11285B" w:rsidRPr="001E7AA4">
        <w:t xml:space="preserve"> and its relationship with JSA</w:t>
      </w:r>
      <w:r w:rsidR="507FEDF1" w:rsidRPr="001E7AA4">
        <w:t xml:space="preserve"> could be an important </w:t>
      </w:r>
      <w:r w:rsidR="5D7807A0" w:rsidRPr="001E7AA4">
        <w:t>part of this</w:t>
      </w:r>
      <w:r w:rsidR="7DBD45B5" w:rsidRPr="001E7AA4">
        <w:t>, ensuring</w:t>
      </w:r>
      <w:r w:rsidR="507FEDF1" w:rsidRPr="001E7AA4">
        <w:t xml:space="preserve"> </w:t>
      </w:r>
      <w:r w:rsidR="5D7807A0" w:rsidRPr="001E7AA4">
        <w:t xml:space="preserve">the higher education </w:t>
      </w:r>
      <w:r w:rsidR="7CBFC537" w:rsidRPr="001E7AA4">
        <w:t>system</w:t>
      </w:r>
      <w:r w:rsidR="5D7807A0" w:rsidRPr="001E7AA4">
        <w:t xml:space="preserve"> respond</w:t>
      </w:r>
      <w:r w:rsidR="2C6D93A6" w:rsidRPr="001E7AA4">
        <w:t>s</w:t>
      </w:r>
      <w:r w:rsidR="5D7807A0" w:rsidRPr="001E7AA4">
        <w:t xml:space="preserve"> to economy-wide s</w:t>
      </w:r>
      <w:r w:rsidR="2A9FA657" w:rsidRPr="001E7AA4">
        <w:t>kills requirements, and deliver</w:t>
      </w:r>
      <w:r w:rsidR="6657CBD5" w:rsidRPr="001E7AA4">
        <w:t>s</w:t>
      </w:r>
      <w:r w:rsidR="2A9FA657" w:rsidRPr="001E7AA4">
        <w:t xml:space="preserve"> against new participation and attainment targets including for equity cohorts.</w:t>
      </w:r>
    </w:p>
    <w:p w14:paraId="1F2C1667" w14:textId="77777777" w:rsidR="00734123" w:rsidRDefault="00734123">
      <w:pPr>
        <w:spacing w:after="160"/>
      </w:pPr>
      <w:r>
        <w:br w:type="page"/>
      </w:r>
    </w:p>
    <w:p w14:paraId="76F7C626" w14:textId="431F1FD8" w:rsidR="000B2A63" w:rsidRPr="001E7AA4" w:rsidRDefault="001F6287" w:rsidP="00267E5A">
      <w:r w:rsidRPr="001E7AA4">
        <w:lastRenderedPageBreak/>
        <w:t>T</w:t>
      </w:r>
      <w:r w:rsidR="1B28C482" w:rsidRPr="001E7AA4">
        <w:t xml:space="preserve">he Review </w:t>
      </w:r>
      <w:r w:rsidR="4426DF7D" w:rsidRPr="001E7AA4">
        <w:t>notes</w:t>
      </w:r>
      <w:r w:rsidR="0E426FB9" w:rsidRPr="001E7AA4">
        <w:t xml:space="preserve"> </w:t>
      </w:r>
      <w:r w:rsidR="74CDDBAF" w:rsidRPr="001E7AA4">
        <w:t xml:space="preserve">that </w:t>
      </w:r>
      <w:r w:rsidR="0E426FB9" w:rsidRPr="001E7AA4">
        <w:t>it is important to</w:t>
      </w:r>
      <w:r w:rsidR="47E3C05E" w:rsidRPr="001E7AA4">
        <w:t xml:space="preserve"> </w:t>
      </w:r>
      <w:r w:rsidR="4C821347" w:rsidRPr="001E7AA4">
        <w:t xml:space="preserve">learn </w:t>
      </w:r>
      <w:r w:rsidR="39A3281E" w:rsidRPr="001E7AA4">
        <w:t xml:space="preserve">from previous </w:t>
      </w:r>
      <w:r w:rsidR="005A03BA" w:rsidRPr="001E7AA4">
        <w:t xml:space="preserve">experience and </w:t>
      </w:r>
      <w:r w:rsidR="37E01B74" w:rsidRPr="001E7AA4">
        <w:t xml:space="preserve">suggests </w:t>
      </w:r>
      <w:r w:rsidR="005A03BA" w:rsidRPr="001E7AA4">
        <w:t xml:space="preserve">that a universal learning entitlement could be designed and delivered in an optimal </w:t>
      </w:r>
      <w:r w:rsidR="007B1238" w:rsidRPr="001E7AA4">
        <w:t>way</w:t>
      </w:r>
      <w:r w:rsidR="013B6403" w:rsidRPr="001E7AA4">
        <w:t>.</w:t>
      </w:r>
      <w:r w:rsidR="4C821347" w:rsidRPr="001E7AA4">
        <w:t xml:space="preserve"> </w:t>
      </w:r>
      <w:r w:rsidR="01710A74" w:rsidRPr="001E7AA4">
        <w:t xml:space="preserve">There have been various </w:t>
      </w:r>
      <w:r w:rsidR="4DF14DD0" w:rsidRPr="001E7AA4">
        <w:t xml:space="preserve">examples of </w:t>
      </w:r>
      <w:r w:rsidR="01710A74" w:rsidRPr="001E7AA4">
        <w:t>policies in the tertiary education system that have implemented</w:t>
      </w:r>
      <w:r w:rsidR="005A03BA" w:rsidRPr="001E7AA4">
        <w:t xml:space="preserve"> </w:t>
      </w:r>
      <w:r w:rsidR="01710A74" w:rsidRPr="001E7AA4">
        <w:t xml:space="preserve">demand driven funding in higher education and a similar entitlement for those enrolling in Certificate </w:t>
      </w:r>
      <w:r w:rsidR="009A7BE7" w:rsidRPr="001E7AA4">
        <w:t xml:space="preserve">3 </w:t>
      </w:r>
      <w:r w:rsidR="01710A74" w:rsidRPr="001E7AA4">
        <w:t xml:space="preserve">and above in the VET system. As the Productivity Commission has recently </w:t>
      </w:r>
      <w:r w:rsidR="3011675D" w:rsidRPr="001E7AA4">
        <w:t>no</w:t>
      </w:r>
      <w:r w:rsidR="289E5DB2" w:rsidRPr="001E7AA4">
        <w:t>ted</w:t>
      </w:r>
      <w:r w:rsidR="01710A74" w:rsidRPr="001E7AA4">
        <w:t>, these policies led to budget blowouts and affected the balance of enrolments between VET and higher education.</w:t>
      </w:r>
      <w:r w:rsidR="00267E5A" w:rsidRPr="001E7AA4">
        <w:rPr>
          <w:rStyle w:val="FootnoteReference"/>
        </w:rPr>
        <w:footnoteReference w:id="182"/>
      </w:r>
      <w:r w:rsidR="01710A74" w:rsidRPr="001E7AA4">
        <w:t xml:space="preserve"> </w:t>
      </w:r>
    </w:p>
    <w:p w14:paraId="67E44346" w14:textId="2F6A7DAB" w:rsidR="00267E5A" w:rsidRPr="001E7AA4" w:rsidRDefault="008F1621" w:rsidP="00267E5A">
      <w:r w:rsidRPr="001E7AA4">
        <w:t>Although</w:t>
      </w:r>
      <w:r w:rsidR="009F6BB7" w:rsidRPr="001E7AA4">
        <w:t xml:space="preserve"> the</w:t>
      </w:r>
      <w:r w:rsidR="48881B6B" w:rsidRPr="001E7AA4">
        <w:t xml:space="preserve"> 201</w:t>
      </w:r>
      <w:r w:rsidR="00002E7B">
        <w:t>4</w:t>
      </w:r>
      <w:r w:rsidR="009F6BB7" w:rsidRPr="001E7AA4">
        <w:t xml:space="preserve"> </w:t>
      </w:r>
      <w:r w:rsidR="009F6BB7" w:rsidRPr="001E7AA4">
        <w:rPr>
          <w:i/>
        </w:rPr>
        <w:t>Review of the Demand Driven Funding System</w:t>
      </w:r>
      <w:r w:rsidR="009F6BB7" w:rsidRPr="001E7AA4">
        <w:t xml:space="preserve"> </w:t>
      </w:r>
      <w:r w:rsidR="00D9006D" w:rsidRPr="001E7AA4">
        <w:t>found the system had responded well to skills shortages</w:t>
      </w:r>
      <w:r w:rsidR="00E22878" w:rsidRPr="001E7AA4">
        <w:t>,</w:t>
      </w:r>
      <w:r w:rsidR="00A75B34" w:rsidRPr="001E7AA4">
        <w:rPr>
          <w:rStyle w:val="FootnoteReference"/>
        </w:rPr>
        <w:footnoteReference w:id="183"/>
      </w:r>
      <w:r w:rsidR="00E22878" w:rsidRPr="001E7AA4">
        <w:t xml:space="preserve"> it also fo</w:t>
      </w:r>
      <w:r w:rsidR="00AD0C90" w:rsidRPr="001E7AA4">
        <w:t>und that “the rapid increase in science enrolments is leading to employment problems for graduates.”</w:t>
      </w:r>
      <w:r w:rsidR="00AD0C90" w:rsidRPr="001E7AA4">
        <w:rPr>
          <w:rStyle w:val="FootnoteReference"/>
        </w:rPr>
        <w:footnoteReference w:id="184"/>
      </w:r>
      <w:r w:rsidR="00DD7949" w:rsidRPr="001E7AA4">
        <w:t xml:space="preserve"> </w:t>
      </w:r>
      <w:r w:rsidR="00A2657B" w:rsidRPr="001E7AA4">
        <w:t xml:space="preserve">Comparing </w:t>
      </w:r>
      <w:r w:rsidR="00655F0E" w:rsidRPr="001E7AA4">
        <w:t xml:space="preserve">domestic </w:t>
      </w:r>
      <w:r w:rsidR="00A2657B" w:rsidRPr="001E7AA4">
        <w:t>bachelor</w:t>
      </w:r>
      <w:r w:rsidR="00002E7B">
        <w:t>-</w:t>
      </w:r>
      <w:r w:rsidR="00A2657B" w:rsidRPr="001E7AA4">
        <w:t xml:space="preserve">level enrolments in 2009 and 2017 shows that </w:t>
      </w:r>
      <w:r w:rsidR="0097218D" w:rsidRPr="001E7AA4">
        <w:t xml:space="preserve">growth was higher than average in health, </w:t>
      </w:r>
      <w:r w:rsidR="00380024" w:rsidRPr="001E7AA4">
        <w:t>IT, science and society and culture.</w:t>
      </w:r>
      <w:r w:rsidR="009B7EF4" w:rsidRPr="001E7AA4">
        <w:rPr>
          <w:rStyle w:val="FootnoteReference"/>
        </w:rPr>
        <w:footnoteReference w:id="185"/>
      </w:r>
      <w:r w:rsidR="00380024" w:rsidRPr="001E7AA4">
        <w:t xml:space="preserve"> While labour market outcomes for</w:t>
      </w:r>
      <w:r w:rsidR="00324811" w:rsidRPr="001E7AA4">
        <w:t xml:space="preserve"> health and IT graduates have been above average, this is not true for graduates from science</w:t>
      </w:r>
      <w:r w:rsidR="00DD0D4D" w:rsidRPr="001E7AA4">
        <w:t>,</w:t>
      </w:r>
      <w:r w:rsidR="00324811" w:rsidRPr="001E7AA4">
        <w:t xml:space="preserve"> and </w:t>
      </w:r>
      <w:r w:rsidR="00CA39DA" w:rsidRPr="001E7AA4">
        <w:t>society and culture degrees.</w:t>
      </w:r>
      <w:r w:rsidR="00DD2FD0" w:rsidRPr="001E7AA4">
        <w:t xml:space="preserve"> While student choice is </w:t>
      </w:r>
      <w:r w:rsidR="006D6FE3" w:rsidRPr="001E7AA4">
        <w:t>essential, i</w:t>
      </w:r>
      <w:r w:rsidR="00267E5A" w:rsidRPr="001E7AA4">
        <w:t xml:space="preserve">n exploring different funding policies, the Review is conscious </w:t>
      </w:r>
      <w:r w:rsidR="006D6FE3" w:rsidRPr="001E7AA4">
        <w:t xml:space="preserve">of ensuring this is </w:t>
      </w:r>
      <w:r w:rsidR="00537F7F" w:rsidRPr="001E7AA4">
        <w:t xml:space="preserve">balanced with the </w:t>
      </w:r>
      <w:r w:rsidR="004745D9" w:rsidRPr="001E7AA4">
        <w:t xml:space="preserve">system needing to supply graduates </w:t>
      </w:r>
      <w:r w:rsidR="000B7E2B" w:rsidRPr="001E7AA4">
        <w:t xml:space="preserve">who </w:t>
      </w:r>
      <w:r w:rsidR="004745D9" w:rsidRPr="001E7AA4">
        <w:t>meet the societal and economic needs of their region and the nation</w:t>
      </w:r>
      <w:r w:rsidR="00267E5A" w:rsidRPr="001E7AA4">
        <w:t>.</w:t>
      </w:r>
    </w:p>
    <w:p w14:paraId="14618E6E" w14:textId="79A8AE9A" w:rsidR="00B52A09" w:rsidRPr="001E7AA4" w:rsidRDefault="00AF3F17" w:rsidP="00267E5A">
      <w:r w:rsidRPr="001E7AA4">
        <w:t xml:space="preserve">A new funding model must be able to support multiple policy objectives. It should create an environment where all students, regardless of their background, have equal opportunities to access higher education. It must also provide institutions with certainty and stability. Institutions should have a clear understanding of their learning and teaching funding over the medium-term and </w:t>
      </w:r>
      <w:r w:rsidR="00C75629" w:rsidRPr="001E7AA4">
        <w:rPr>
          <w:rFonts w:eastAsia="Times New Roman"/>
        </w:rPr>
        <w:t>be confident that they would be supported to adjust should there be significant changes in enrolments across the sector.</w:t>
      </w:r>
      <w:r w:rsidR="002057B9" w:rsidRPr="001E7AA4">
        <w:t xml:space="preserve"> </w:t>
      </w:r>
      <w:r w:rsidR="00E25202" w:rsidRPr="001E7AA4">
        <w:t xml:space="preserve">The role of a potential </w:t>
      </w:r>
      <w:r w:rsidR="00046F73" w:rsidRPr="001E7AA4">
        <w:t>Tertiary Education Commission</w:t>
      </w:r>
      <w:r w:rsidR="00E25202" w:rsidRPr="001E7AA4">
        <w:t xml:space="preserve"> and JSA is likely to be central to </w:t>
      </w:r>
      <w:r w:rsidR="00FA14CA" w:rsidRPr="001E7AA4">
        <w:t>this system and t</w:t>
      </w:r>
      <w:r w:rsidR="00A7127A" w:rsidRPr="001E7AA4">
        <w:t>he Re</w:t>
      </w:r>
      <w:r w:rsidR="00AB57BA" w:rsidRPr="001E7AA4">
        <w:t>view will continue to deliberate</w:t>
      </w:r>
      <w:r w:rsidR="00D21576" w:rsidRPr="001E7AA4">
        <w:t xml:space="preserve"> on how such a system </w:t>
      </w:r>
      <w:r w:rsidR="79FAB079" w:rsidRPr="001E7AA4">
        <w:t xml:space="preserve">might </w:t>
      </w:r>
      <w:r w:rsidR="00D21576" w:rsidRPr="001E7AA4">
        <w:t>be implemented</w:t>
      </w:r>
      <w:r w:rsidR="00CA740E" w:rsidRPr="001E7AA4">
        <w:t xml:space="preserve"> between now and the </w:t>
      </w:r>
      <w:r w:rsidR="61C876ED" w:rsidRPr="001E7AA4">
        <w:t>F</w:t>
      </w:r>
      <w:r w:rsidR="00CA740E" w:rsidRPr="001E7AA4">
        <w:t xml:space="preserve">inal </w:t>
      </w:r>
      <w:r w:rsidR="1DF52776" w:rsidRPr="001E7AA4">
        <w:t>R</w:t>
      </w:r>
      <w:r w:rsidR="00CA740E" w:rsidRPr="001E7AA4">
        <w:t xml:space="preserve">eport. </w:t>
      </w:r>
    </w:p>
    <w:p w14:paraId="746A386C" w14:textId="77777777" w:rsidR="00267E5A" w:rsidRPr="001E7AA4" w:rsidRDefault="00267E5A" w:rsidP="00B820DA">
      <w:pPr>
        <w:pStyle w:val="Heading6"/>
      </w:pPr>
      <w:bookmarkStart w:id="425" w:name="_Toc135741163"/>
      <w:bookmarkStart w:id="426" w:name="_Toc136169226"/>
      <w:bookmarkStart w:id="427" w:name="_Toc136029937"/>
      <w:r w:rsidRPr="001E7AA4">
        <w:t>3.3.4.2 Funding a high-quality education</w:t>
      </w:r>
      <w:bookmarkEnd w:id="425"/>
      <w:bookmarkEnd w:id="426"/>
      <w:bookmarkEnd w:id="427"/>
    </w:p>
    <w:p w14:paraId="2A037634" w14:textId="573F5037" w:rsidR="00267E5A" w:rsidRPr="001E7AA4" w:rsidRDefault="00267E5A" w:rsidP="00267E5A">
      <w:pPr>
        <w:rPr>
          <w:rFonts w:ascii="Calibri" w:eastAsia="Calibri" w:hAnsi="Calibri" w:cs="Calibri"/>
          <w:color w:val="000000" w:themeColor="text1"/>
        </w:rPr>
      </w:pPr>
      <w:r w:rsidRPr="001E7AA4">
        <w:t>To ensure all higher education students receive a high-quality education, it is important that per-place funding rates are appropriate.</w:t>
      </w:r>
      <w:r w:rsidRPr="001E7AA4">
        <w:rPr>
          <w:rFonts w:ascii="Calibri" w:eastAsia="Calibri" w:hAnsi="Calibri" w:cs="Calibri"/>
          <w:color w:val="000000" w:themeColor="text1"/>
        </w:rPr>
        <w:t xml:space="preserve"> </w:t>
      </w:r>
      <w:r w:rsidR="034FF232" w:rsidRPr="001E7AA4">
        <w:rPr>
          <w:rFonts w:ascii="Calibri" w:eastAsia="Calibri" w:hAnsi="Calibri" w:cs="Calibri"/>
          <w:color w:val="000000" w:themeColor="text1"/>
        </w:rPr>
        <w:t>Any</w:t>
      </w:r>
      <w:r w:rsidRPr="001E7AA4">
        <w:rPr>
          <w:rFonts w:ascii="Calibri" w:eastAsia="Calibri" w:hAnsi="Calibri" w:cs="Calibri"/>
          <w:color w:val="000000" w:themeColor="text1"/>
        </w:rPr>
        <w:t xml:space="preserve"> new pricing model must be dynamic, able to adjust to reflect changes and innovation in delivery costs, teaching practice and curriculum, while also recognising that the cost of teaching differs by student cohort (low</w:t>
      </w:r>
      <w:r w:rsidR="00487B59" w:rsidRPr="001E7AA4">
        <w:rPr>
          <w:rFonts w:ascii="Calibri" w:eastAsia="Calibri" w:hAnsi="Calibri" w:cs="Calibri"/>
          <w:color w:val="000000" w:themeColor="text1"/>
        </w:rPr>
        <w:t xml:space="preserve"> </w:t>
      </w:r>
      <w:r w:rsidRPr="001E7AA4">
        <w:rPr>
          <w:rFonts w:ascii="Calibri" w:eastAsia="Calibri" w:hAnsi="Calibri" w:cs="Calibri"/>
          <w:color w:val="000000" w:themeColor="text1"/>
        </w:rPr>
        <w:t xml:space="preserve">SES, regional and remote, Indigenous and under-prepared) and location. These funding rates need to be informed by accurate and ongoing analysis of costs and resourcing requirements and be sufficient to support continued improvement in quality. </w:t>
      </w:r>
    </w:p>
    <w:p w14:paraId="61DA832D" w14:textId="48028457" w:rsidR="00734123" w:rsidRDefault="00267E5A" w:rsidP="00267E5A">
      <w:pPr>
        <w:rPr>
          <w:rFonts w:ascii="Calibri" w:eastAsia="Calibri" w:hAnsi="Calibri" w:cs="Calibri"/>
          <w:color w:val="000000" w:themeColor="text1"/>
        </w:rPr>
      </w:pPr>
      <w:r w:rsidRPr="001E7AA4">
        <w:rPr>
          <w:rFonts w:ascii="Calibri" w:eastAsia="Calibri" w:hAnsi="Calibri" w:cs="Calibri"/>
          <w:color w:val="000000" w:themeColor="text1"/>
        </w:rPr>
        <w:t xml:space="preserve">As highlighted above, the Review notes further examination of activity costings for teaching, learning and research </w:t>
      </w:r>
      <w:r w:rsidR="00471885" w:rsidRPr="001E7AA4">
        <w:rPr>
          <w:rFonts w:ascii="Calibri" w:eastAsia="Calibri" w:hAnsi="Calibri" w:cs="Calibri"/>
          <w:color w:val="000000" w:themeColor="text1"/>
        </w:rPr>
        <w:t>is</w:t>
      </w:r>
      <w:r w:rsidRPr="001E7AA4">
        <w:rPr>
          <w:rFonts w:ascii="Calibri" w:eastAsia="Calibri" w:hAnsi="Calibri" w:cs="Calibri"/>
          <w:color w:val="000000" w:themeColor="text1"/>
        </w:rPr>
        <w:t xml:space="preserve"> required. This should include examination of why costs differ across institutions, including the impact of different student cohorts and locations.</w:t>
      </w:r>
    </w:p>
    <w:p w14:paraId="239BDC2B" w14:textId="77777777" w:rsidR="00734123" w:rsidRDefault="00734123">
      <w:pPr>
        <w:spacing w:after="160"/>
        <w:rPr>
          <w:rFonts w:ascii="Calibri" w:eastAsia="Calibri" w:hAnsi="Calibri" w:cs="Calibri"/>
          <w:color w:val="000000" w:themeColor="text1"/>
        </w:rPr>
      </w:pPr>
      <w:r>
        <w:rPr>
          <w:rFonts w:ascii="Calibri" w:eastAsia="Calibri" w:hAnsi="Calibri" w:cs="Calibri"/>
          <w:color w:val="000000" w:themeColor="text1"/>
        </w:rPr>
        <w:br w:type="page"/>
      </w:r>
    </w:p>
    <w:p w14:paraId="16E750D5" w14:textId="77777777" w:rsidR="00267E5A" w:rsidRPr="001E7AA4" w:rsidRDefault="00267E5A" w:rsidP="00B65F5B">
      <w:pPr>
        <w:pStyle w:val="Heading6"/>
      </w:pPr>
      <w:r w:rsidRPr="001E7AA4">
        <w:lastRenderedPageBreak/>
        <w:t>3.3.4.3 Discipline funding rates</w:t>
      </w:r>
    </w:p>
    <w:p w14:paraId="4314BC0B" w14:textId="0C844424" w:rsidR="00267E5A" w:rsidRPr="001E7AA4" w:rsidRDefault="00267E5A" w:rsidP="00267E5A">
      <w:r w:rsidRPr="001E7AA4">
        <w:t xml:space="preserve">A shared concern across the sector is the impact of the JRG funding changes on the capability of institutions to deliver a high-quality education. As noted above, this is particularly noticeable in the STEM disciplines, which are essential to many of the technical skills graduates will require in the future. The Review notes that funding for these disciplines </w:t>
      </w:r>
      <w:r w:rsidR="321D4165" w:rsidRPr="001E7AA4">
        <w:t>c</w:t>
      </w:r>
      <w:r w:rsidRPr="001E7AA4">
        <w:t>ould be adjusted to better reflect the cost of delivery.</w:t>
      </w:r>
    </w:p>
    <w:p w14:paraId="0D7EC279" w14:textId="6CCEBEC4" w:rsidR="00267E5A" w:rsidRPr="001E7AA4" w:rsidRDefault="00267E5A" w:rsidP="00267E5A">
      <w:pPr>
        <w:rPr>
          <w:rFonts w:ascii="Calibri" w:eastAsia="Calibri" w:hAnsi="Calibri" w:cs="Calibri"/>
          <w:color w:val="000000" w:themeColor="text1"/>
        </w:rPr>
      </w:pPr>
      <w:r w:rsidRPr="001E7AA4">
        <w:rPr>
          <w:rFonts w:ascii="Calibri" w:eastAsia="Calibri" w:hAnsi="Calibri" w:cs="Calibri"/>
          <w:color w:val="000000" w:themeColor="text1"/>
        </w:rPr>
        <w:t xml:space="preserve">The use of the average cost of delivery across the sector has led to several universities noting that the current base funding levels for some fields of education do not adequately reflect their cost of delivery (see </w:t>
      </w:r>
      <w:r w:rsidR="008147BA" w:rsidRPr="001E7AA4">
        <w:rPr>
          <w:rFonts w:ascii="Calibri" w:eastAsia="Calibri" w:hAnsi="Calibri" w:cs="Calibri"/>
          <w:color w:val="000000" w:themeColor="text1"/>
        </w:rPr>
        <w:t>F</w:t>
      </w:r>
      <w:r w:rsidRPr="001E7AA4">
        <w:rPr>
          <w:rFonts w:ascii="Calibri" w:eastAsia="Calibri" w:hAnsi="Calibri" w:cs="Calibri"/>
          <w:color w:val="000000" w:themeColor="text1"/>
        </w:rPr>
        <w:t xml:space="preserve">igure 3.3-3 below comparing base funding with the range of costs across the sector). This can be particularly problematic for those universities </w:t>
      </w:r>
      <w:r w:rsidR="000B7E2B" w:rsidRPr="001E7AA4">
        <w:rPr>
          <w:rFonts w:ascii="Calibri" w:eastAsia="Calibri" w:hAnsi="Calibri" w:cs="Calibri"/>
          <w:color w:val="000000" w:themeColor="text1"/>
        </w:rPr>
        <w:t xml:space="preserve">which </w:t>
      </w:r>
      <w:r w:rsidRPr="001E7AA4">
        <w:rPr>
          <w:rFonts w:ascii="Calibri" w:eastAsia="Calibri" w:hAnsi="Calibri" w:cs="Calibri"/>
          <w:color w:val="000000" w:themeColor="text1"/>
        </w:rPr>
        <w:t>do not have large international student fee revenue to bridge the gap between the funding and costs of teaching. Changes to base funding levels have also made it difficult for institutions to pursue teaching excellence, or to implement the changes needed to support new types of teaching delivery.</w:t>
      </w:r>
      <w:r w:rsidRPr="001E7AA4">
        <w:rPr>
          <w:rStyle w:val="FootnoteReference"/>
          <w:rFonts w:ascii="Calibri" w:eastAsia="Calibri" w:hAnsi="Calibri" w:cs="Calibri"/>
          <w:color w:val="000000" w:themeColor="text1"/>
        </w:rPr>
        <w:footnoteReference w:id="186"/>
      </w:r>
      <w:r w:rsidRPr="001E7AA4">
        <w:rPr>
          <w:rFonts w:ascii="Calibri" w:eastAsia="Calibri" w:hAnsi="Calibri" w:cs="Calibri"/>
          <w:color w:val="000000" w:themeColor="text1"/>
        </w:rPr>
        <w:t xml:space="preserve"> </w:t>
      </w:r>
    </w:p>
    <w:p w14:paraId="52F75294" w14:textId="5C8EF277" w:rsidR="00267E5A" w:rsidRPr="001E7AA4" w:rsidRDefault="00267E5A" w:rsidP="00E74934">
      <w:pPr>
        <w:pStyle w:val="Caption"/>
        <w:rPr>
          <w:vertAlign w:val="superscript"/>
        </w:rPr>
      </w:pPr>
      <w:r w:rsidRPr="001E7AA4">
        <w:t>Figure 3.3-3: Comparison of costs and base funding under</w:t>
      </w:r>
      <w:r w:rsidR="0024750A" w:rsidRPr="001E7AA4">
        <w:t xml:space="preserve"> the</w:t>
      </w:r>
      <w:r w:rsidR="00BC138E" w:rsidRPr="001E7AA4">
        <w:t xml:space="preserve"> </w:t>
      </w:r>
      <w:r w:rsidRPr="001E7AA4">
        <w:t>JRG</w:t>
      </w:r>
      <w:r w:rsidR="0024750A" w:rsidRPr="001E7AA4">
        <w:t xml:space="preserve"> package</w:t>
      </w:r>
      <w:r w:rsidR="00634F7D" w:rsidRPr="001E7AA4">
        <w:t>.</w:t>
      </w:r>
      <w:r w:rsidR="006A5742" w:rsidRPr="001E7AA4">
        <w:t>*</w:t>
      </w:r>
    </w:p>
    <w:p w14:paraId="425A1C3F" w14:textId="50C9EFEB" w:rsidR="00127E90" w:rsidRPr="001E7AA4" w:rsidRDefault="007815BB" w:rsidP="00127E90">
      <w:pPr>
        <w:spacing w:after="0" w:line="240" w:lineRule="auto"/>
        <w:rPr>
          <w:rFonts w:ascii="Times New Roman" w:eastAsia="Times New Roman" w:hAnsi="Times New Roman" w:cs="Times New Roman"/>
          <w:sz w:val="24"/>
          <w:szCs w:val="24"/>
          <w:lang w:eastAsia="en-AU"/>
        </w:rPr>
      </w:pPr>
      <w:r w:rsidRPr="001E7AA4">
        <w:rPr>
          <w:noProof/>
        </w:rPr>
        <w:drawing>
          <wp:inline distT="0" distB="0" distL="0" distR="0" wp14:anchorId="2AFBF181" wp14:editId="4A708014">
            <wp:extent cx="5629835" cy="3801342"/>
            <wp:effectExtent l="0" t="0" r="0" b="0"/>
            <wp:docPr id="52" name="Picture 52" descr="Combination chart showing alignment of the average of cost of delivery across Australian Universities and qualifications levels to base funding provided per equivalent full-time student load (EFTSL) in 2023, using indexed expenditure from Transparency in Higher Education Expenditure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Combination chart showing alignment of the average of cost of delivery across Australian Universities and qualifications levels to base funding provided per equivalent full-time student load (EFTSL) in 2023, using indexed expenditure from Transparency in Higher Education Expenditure 2022"/>
                    <pic:cNvPicPr/>
                  </pic:nvPicPr>
                  <pic:blipFill>
                    <a:blip r:embed="rId81">
                      <a:extLst>
                        <a:ext uri="{28A0092B-C50C-407E-A947-70E740481C1C}">
                          <a14:useLocalDpi xmlns:a14="http://schemas.microsoft.com/office/drawing/2010/main" val="0"/>
                        </a:ext>
                        <a:ext uri="{96DAC541-7B7A-43D3-8B79-37D633B846F1}">
                          <asvg:svgBlip xmlns:asvg="http://schemas.microsoft.com/office/drawing/2016/SVG/main" r:embed="rId82"/>
                        </a:ext>
                      </a:extLst>
                    </a:blip>
                    <a:stretch>
                      <a:fillRect/>
                    </a:stretch>
                  </pic:blipFill>
                  <pic:spPr>
                    <a:xfrm>
                      <a:off x="0" y="0"/>
                      <a:ext cx="5642789" cy="3810089"/>
                    </a:xfrm>
                    <a:prstGeom prst="rect">
                      <a:avLst/>
                    </a:prstGeom>
                  </pic:spPr>
                </pic:pic>
              </a:graphicData>
            </a:graphic>
          </wp:inline>
        </w:drawing>
      </w:r>
    </w:p>
    <w:p w14:paraId="0618941C" w14:textId="03473D9B" w:rsidR="00734123" w:rsidRDefault="009115D1" w:rsidP="00E74934">
      <w:pPr>
        <w:pStyle w:val="Source"/>
      </w:pPr>
      <w:r w:rsidRPr="001E7AA4">
        <w:rPr>
          <w:lang w:eastAsia="en-AU"/>
        </w:rPr>
        <w:t>* Error bars provide a range for the cost of delivery for an equivalent full-time student load (EFTSL), with lower and upper bounds representing the 25th and 75th percentile. Average costs for all levels were reported in 2020, and have been indexed to 2023.</w:t>
      </w:r>
      <w:r>
        <w:br/>
      </w:r>
      <w:r w:rsidR="63E2D0D7" w:rsidRPr="001E7AA4">
        <w:t xml:space="preserve">Source: </w:t>
      </w:r>
      <w:r w:rsidR="207E75BA" w:rsidRPr="001E7AA4">
        <w:t xml:space="preserve">Department of Education internal analysis based on </w:t>
      </w:r>
      <w:r w:rsidR="002F427E" w:rsidRPr="001E7AA4">
        <w:rPr>
          <w:lang w:eastAsia="en-AU"/>
        </w:rPr>
        <w:t>Deloitte Access Economics</w:t>
      </w:r>
      <w:r w:rsidR="00F36FE8" w:rsidRPr="001E7AA4">
        <w:rPr>
          <w:lang w:eastAsia="en-AU"/>
        </w:rPr>
        <w:t xml:space="preserve">, </w:t>
      </w:r>
      <w:r w:rsidR="00F36FE8" w:rsidRPr="001E7AA4">
        <w:rPr>
          <w:i/>
          <w:iCs/>
          <w:lang w:eastAsia="en-AU"/>
        </w:rPr>
        <w:t>Transparency in Higher Education Expenditure</w:t>
      </w:r>
      <w:r w:rsidR="00F36FE8" w:rsidRPr="001E7AA4">
        <w:rPr>
          <w:lang w:eastAsia="en-AU"/>
        </w:rPr>
        <w:t xml:space="preserve"> [unpublished dataset], Department of Education Skills and Employment, 2022, accessed 8 June 2023</w:t>
      </w:r>
      <w:r w:rsidR="005D3E85" w:rsidRPr="001E7AA4">
        <w:t>.</w:t>
      </w:r>
    </w:p>
    <w:p w14:paraId="5F131117" w14:textId="77777777" w:rsidR="00734123" w:rsidRDefault="00734123">
      <w:pPr>
        <w:spacing w:after="160"/>
        <w:rPr>
          <w:color w:val="757679"/>
          <w:sz w:val="18"/>
        </w:rPr>
      </w:pPr>
      <w:r>
        <w:br w:type="page"/>
      </w:r>
    </w:p>
    <w:p w14:paraId="6212A95C" w14:textId="77777777" w:rsidR="00267E5A" w:rsidRPr="001E7AA4" w:rsidRDefault="00267E5A" w:rsidP="00B65F5B">
      <w:pPr>
        <w:pStyle w:val="Heading6"/>
      </w:pPr>
      <w:r w:rsidRPr="001E7AA4">
        <w:lastRenderedPageBreak/>
        <w:t>3.3.4.4 Funding to support expansion and success in participation</w:t>
      </w:r>
    </w:p>
    <w:p w14:paraId="00F806B1" w14:textId="7BF53070" w:rsidR="00267E5A" w:rsidRPr="001E7AA4" w:rsidRDefault="00267E5A" w:rsidP="00267E5A">
      <w:r w:rsidRPr="001E7AA4">
        <w:t xml:space="preserve">It is also critical that institutions receive enough funding to support the learning needs of different students. A significant expansion in the system will increase enrolments of students from traditionally underrepresented backgrounds. The funding system must be adequate to support these students to complete their studies successfully and in </w:t>
      </w:r>
      <w:r w:rsidR="000B7E2B" w:rsidRPr="001E7AA4">
        <w:t xml:space="preserve">minimum </w:t>
      </w:r>
      <w:r w:rsidRPr="001E7AA4">
        <w:t>time.</w:t>
      </w:r>
    </w:p>
    <w:p w14:paraId="462566BA" w14:textId="39EC4F5E" w:rsidR="00267E5A" w:rsidRPr="001E7AA4" w:rsidRDefault="00267E5A" w:rsidP="00267E5A">
      <w:r w:rsidRPr="001E7AA4">
        <w:t>The School</w:t>
      </w:r>
      <w:r w:rsidR="00371FD2" w:rsidRPr="001E7AA4">
        <w:t>ing</w:t>
      </w:r>
      <w:r w:rsidRPr="001E7AA4">
        <w:t xml:space="preserve"> Resourc</w:t>
      </w:r>
      <w:r w:rsidR="00371FD2" w:rsidRPr="001E7AA4">
        <w:t>e</w:t>
      </w:r>
      <w:r w:rsidRPr="001E7AA4">
        <w:t xml:space="preserve"> Standard (SRS) that forms the basis of Australia’s schools funding system is useful to examine is this context. The SRS comprises a base amount for every primary and secondary student and six equity loadings. The aim of the equity loadings is to provide additional financial support to schools with higher concentrations of need so that all students can achieve good outcomes. The equity loadings are for students with disabilities, students with low English language proficiency, Indigenous students, students with socio-educational disadvantage, students in regional and remote areas and small schools.</w:t>
      </w:r>
      <w:r w:rsidRPr="001E7AA4">
        <w:rPr>
          <w:rStyle w:val="FootnoteReference"/>
        </w:rPr>
        <w:footnoteReference w:id="187"/>
      </w:r>
    </w:p>
    <w:p w14:paraId="23E2D0C7" w14:textId="4936CAD5" w:rsidR="00267E5A" w:rsidRDefault="00267E5A" w:rsidP="00267E5A">
      <w:r w:rsidRPr="001E7AA4">
        <w:t xml:space="preserve">The Review notes that while the higher education context is significantly different to schools, where for the most part all students are taught the same curriculum, using different loadings to reflect differential costs of adequately supporting different student cohorts </w:t>
      </w:r>
      <w:r w:rsidR="005B1E1D" w:rsidRPr="001E7AA4">
        <w:t>c</w:t>
      </w:r>
      <w:r w:rsidRPr="001E7AA4">
        <w:t>ould be explored in the higher education context. This will require a better understanding of the costs of supporting different student cohorts to ensure the loading amounts are appropriate.</w:t>
      </w:r>
    </w:p>
    <w:p w14:paraId="2CD6B7D6" w14:textId="0FE6E4C4" w:rsidR="004335D7" w:rsidRDefault="004335D7" w:rsidP="004335D7">
      <w:pPr>
        <w:pStyle w:val="Pulloutboxes"/>
      </w:pPr>
      <w:r w:rsidRPr="00D71585">
        <w:t>The Review is examining the potential benefits of a student-centred, needs-based funding model for learning and teaching in universities, similar to that now used for schools, which takes into account the costs of different courses and the socio-economic mix of students at each institution</w:t>
      </w:r>
      <w:r>
        <w:t>.</w:t>
      </w:r>
    </w:p>
    <w:p w14:paraId="4F70341D" w14:textId="77777777" w:rsidR="00267E5A" w:rsidRPr="001E7AA4" w:rsidRDefault="00267E5A" w:rsidP="00B65F5B">
      <w:pPr>
        <w:pStyle w:val="Heading6"/>
      </w:pPr>
      <w:r w:rsidRPr="001E7AA4">
        <w:t>3.3.4.5 Funding base research capacity</w:t>
      </w:r>
    </w:p>
    <w:p w14:paraId="1E8C23DD" w14:textId="33F08567" w:rsidR="00267E5A" w:rsidRPr="001E7AA4" w:rsidRDefault="00267E5A" w:rsidP="00267E5A">
      <w:pPr>
        <w:rPr>
          <w:rFonts w:eastAsia="Times New Roman"/>
        </w:rPr>
      </w:pPr>
      <w:r w:rsidRPr="001E7AA4">
        <w:rPr>
          <w:rFonts w:eastAsia="Times New Roman"/>
        </w:rPr>
        <w:t xml:space="preserve">A central aim of a new funding system </w:t>
      </w:r>
      <w:r w:rsidR="596D2F1A" w:rsidRPr="001E7AA4">
        <w:rPr>
          <w:rFonts w:eastAsia="Times New Roman"/>
        </w:rPr>
        <w:t>c</w:t>
      </w:r>
      <w:r w:rsidR="1168CD4B" w:rsidRPr="001E7AA4">
        <w:rPr>
          <w:rFonts w:eastAsia="Times New Roman"/>
        </w:rPr>
        <w:t>ould</w:t>
      </w:r>
      <w:r w:rsidR="15BD9467" w:rsidRPr="001E7AA4">
        <w:rPr>
          <w:rFonts w:eastAsia="Times New Roman"/>
        </w:rPr>
        <w:t xml:space="preserve"> also</w:t>
      </w:r>
      <w:r w:rsidRPr="001E7AA4">
        <w:rPr>
          <w:rFonts w:eastAsia="Times New Roman"/>
        </w:rPr>
        <w:t xml:space="preserve"> be to remove any existing cross-subsidy from learning and teaching to research. That most academics undertake teaching, research and scholarship is reflected notionally in the current base funding for CSPs. This could be removed from funding for learning and teaching, and provided explicitly for scholarship, research</w:t>
      </w:r>
      <w:r w:rsidR="00A822FC" w:rsidRPr="001E7AA4">
        <w:rPr>
          <w:rFonts w:eastAsia="Times New Roman"/>
        </w:rPr>
        <w:t>,</w:t>
      </w:r>
      <w:r w:rsidRPr="001E7AA4">
        <w:rPr>
          <w:rFonts w:eastAsia="Times New Roman"/>
        </w:rPr>
        <w:t xml:space="preserve"> and innovation through a separate funding stream</w:t>
      </w:r>
      <w:r w:rsidR="00C215CB" w:rsidRPr="001E7AA4">
        <w:rPr>
          <w:rFonts w:eastAsia="Times New Roman"/>
        </w:rPr>
        <w:t xml:space="preserve"> (potentially a new research block grant)</w:t>
      </w:r>
      <w:r w:rsidRPr="001E7AA4">
        <w:rPr>
          <w:rFonts w:eastAsia="Times New Roman"/>
        </w:rPr>
        <w:t>, but with a distribution that retains the wide distribution between institutions that is currently in place.</w:t>
      </w:r>
    </w:p>
    <w:p w14:paraId="01489B46" w14:textId="77777777" w:rsidR="00267E5A" w:rsidRPr="001E7AA4" w:rsidRDefault="4F7E9CFA" w:rsidP="00B65F5B">
      <w:pPr>
        <w:pStyle w:val="Heading5"/>
      </w:pPr>
      <w:bookmarkStart w:id="428" w:name="_Toc135741164"/>
      <w:bookmarkStart w:id="429" w:name="_Toc137829601"/>
      <w:bookmarkStart w:id="430" w:name="_Toc487605036"/>
      <w:bookmarkStart w:id="431" w:name="_Toc139028933"/>
      <w:r w:rsidRPr="001E7AA4">
        <w:t xml:space="preserve">3.3.5 </w:t>
      </w:r>
      <w:bookmarkEnd w:id="428"/>
      <w:r w:rsidRPr="001E7AA4">
        <w:t>Improving affordability for students</w:t>
      </w:r>
      <w:bookmarkEnd w:id="429"/>
      <w:bookmarkEnd w:id="430"/>
      <w:bookmarkEnd w:id="431"/>
    </w:p>
    <w:p w14:paraId="59797291" w14:textId="66D9339F" w:rsidR="00267E5A" w:rsidRPr="001E7AA4" w:rsidRDefault="00267E5A" w:rsidP="00267E5A">
      <w:r w:rsidRPr="001E7AA4">
        <w:t xml:space="preserve">Since the introduction of HECS in 1989, </w:t>
      </w:r>
      <w:r w:rsidR="00D538AE" w:rsidRPr="001E7AA4">
        <w:t xml:space="preserve">(now replaced </w:t>
      </w:r>
      <w:r w:rsidR="00C96B63" w:rsidRPr="001E7AA4">
        <w:t xml:space="preserve">by HELP), </w:t>
      </w:r>
      <w:r w:rsidRPr="001E7AA4">
        <w:t>the Australian higher education system has been based on the principle that given the public and private benefits that arise from higher education, student places should be funded by both the Government and students. This mix of funding has facilitated the significant expansion the higher education system experienced over the previous 35 years and should continue.</w:t>
      </w:r>
    </w:p>
    <w:p w14:paraId="232D0FFA" w14:textId="719C2227" w:rsidR="00267E5A" w:rsidRPr="001E7AA4" w:rsidRDefault="00267E5A" w:rsidP="00267E5A">
      <w:r w:rsidRPr="001E7AA4">
        <w:t xml:space="preserve">In considering this issue, the Review is receiving significant advice from </w:t>
      </w:r>
      <w:r w:rsidR="00D7548F" w:rsidRPr="001E7AA4">
        <w:t>Emeritus</w:t>
      </w:r>
      <w:r w:rsidR="009B586F" w:rsidRPr="001E7AA4">
        <w:t xml:space="preserve"> </w:t>
      </w:r>
      <w:r w:rsidRPr="001E7AA4">
        <w:t>Professor Bruce Chapman AO, the architect of HECS.</w:t>
      </w:r>
    </w:p>
    <w:p w14:paraId="12CAACF6" w14:textId="24FA41D9" w:rsidR="00267E5A" w:rsidRPr="001E7AA4" w:rsidRDefault="00B820DA" w:rsidP="00B820DA">
      <w:pPr>
        <w:pStyle w:val="Heading6"/>
      </w:pPr>
      <w:bookmarkStart w:id="432" w:name="_Hlk138084190"/>
      <w:r>
        <w:lastRenderedPageBreak/>
        <w:t xml:space="preserve">3.3.5.1 </w:t>
      </w:r>
      <w:r w:rsidR="00267E5A" w:rsidRPr="001E7AA4">
        <w:t>Fair and affordable student contributions</w:t>
      </w:r>
    </w:p>
    <w:p w14:paraId="5CEB5908" w14:textId="13D5CCC8" w:rsidR="00905316" w:rsidRPr="001E7AA4" w:rsidRDefault="00905316" w:rsidP="00905316">
      <w:pPr>
        <w:rPr>
          <w:rFonts w:ascii="Calibri" w:eastAsia="Calibri" w:hAnsi="Calibri" w:cs="Calibri"/>
          <w:color w:val="000000" w:themeColor="text1"/>
        </w:rPr>
      </w:pPr>
      <w:r w:rsidRPr="001E7AA4">
        <w:rPr>
          <w:rFonts w:ascii="Calibri" w:eastAsia="Calibri" w:hAnsi="Calibri" w:cs="Calibri"/>
          <w:color w:val="000000" w:themeColor="text1"/>
        </w:rPr>
        <w:t xml:space="preserve">According to the latest OECD Education at a Glance publication, tuition fees for full-time domestic students studying a bachelor degree and a master’s degree at a public university in Australia were the </w:t>
      </w:r>
      <w:r w:rsidR="001D0DC8" w:rsidRPr="001E7AA4">
        <w:rPr>
          <w:rFonts w:ascii="Calibri" w:eastAsia="Calibri" w:hAnsi="Calibri" w:cs="Calibri"/>
          <w:color w:val="000000" w:themeColor="text1"/>
        </w:rPr>
        <w:t xml:space="preserve">sixth and the </w:t>
      </w:r>
      <w:r w:rsidRPr="001E7AA4">
        <w:rPr>
          <w:rFonts w:ascii="Calibri" w:eastAsia="Calibri" w:hAnsi="Calibri" w:cs="Calibri"/>
          <w:color w:val="000000" w:themeColor="text1"/>
        </w:rPr>
        <w:t xml:space="preserve">fourth highest </w:t>
      </w:r>
      <w:r w:rsidR="00BE0993" w:rsidRPr="001E7AA4">
        <w:rPr>
          <w:rFonts w:ascii="Calibri" w:eastAsia="Calibri" w:hAnsi="Calibri" w:cs="Calibri"/>
          <w:color w:val="000000" w:themeColor="text1"/>
        </w:rPr>
        <w:t xml:space="preserve">respectively </w:t>
      </w:r>
      <w:r w:rsidRPr="001E7AA4">
        <w:rPr>
          <w:rFonts w:ascii="Calibri" w:eastAsia="Calibri" w:hAnsi="Calibri" w:cs="Calibri"/>
          <w:color w:val="000000" w:themeColor="text1"/>
        </w:rPr>
        <w:t>of the OECD countries</w:t>
      </w:r>
      <w:r w:rsidR="00ED356D" w:rsidRPr="001E7AA4">
        <w:rPr>
          <w:rFonts w:ascii="Calibri" w:eastAsia="Calibri" w:hAnsi="Calibri" w:cs="Calibri"/>
          <w:color w:val="000000" w:themeColor="text1"/>
        </w:rPr>
        <w:t>.</w:t>
      </w:r>
      <w:r w:rsidR="00B7213A" w:rsidRPr="001E7AA4">
        <w:rPr>
          <w:rStyle w:val="FootnoteReference"/>
          <w:rFonts w:ascii="Calibri" w:eastAsia="Calibri" w:hAnsi="Calibri" w:cs="Calibri"/>
          <w:color w:val="000000" w:themeColor="text1"/>
        </w:rPr>
        <w:footnoteReference w:id="188"/>
      </w:r>
    </w:p>
    <w:p w14:paraId="4BC36BB6" w14:textId="3DA87F6B" w:rsidR="00905316" w:rsidRPr="001E7AA4" w:rsidRDefault="00905316" w:rsidP="00905316">
      <w:pPr>
        <w:rPr>
          <w:rFonts w:ascii="Calibri" w:eastAsia="Calibri" w:hAnsi="Calibri" w:cs="Calibri"/>
          <w:color w:val="000000" w:themeColor="text1"/>
        </w:rPr>
      </w:pPr>
      <w:r w:rsidRPr="001E7AA4">
        <w:t xml:space="preserve">The Review has consistently heard, through submissions and direct consultations, that changes to student contribution rates </w:t>
      </w:r>
      <w:r w:rsidR="4289E1E5" w:rsidRPr="001E7AA4">
        <w:t xml:space="preserve">as a result of </w:t>
      </w:r>
      <w:r w:rsidRPr="001E7AA4">
        <w:t>the JRG package are unfair and not based on sound or consistent principles</w:t>
      </w:r>
      <w:r w:rsidRPr="001E7AA4">
        <w:rPr>
          <w:rFonts w:ascii="Calibri" w:eastAsia="Calibri" w:hAnsi="Calibri" w:cs="Calibri"/>
          <w:color w:val="000000" w:themeColor="text1"/>
        </w:rPr>
        <w:t xml:space="preserve">. </w:t>
      </w:r>
      <w:r w:rsidR="75414628" w:rsidRPr="001E7AA4">
        <w:rPr>
          <w:rFonts w:ascii="Calibri" w:eastAsia="Calibri" w:hAnsi="Calibri" w:cs="Calibri"/>
          <w:color w:val="000000" w:themeColor="text1"/>
        </w:rPr>
        <w:t xml:space="preserve">The Review’s analysis supports this position. </w:t>
      </w:r>
    </w:p>
    <w:p w14:paraId="2307FCDC" w14:textId="51FA9699" w:rsidR="00905316" w:rsidRPr="001E7AA4" w:rsidRDefault="00905316" w:rsidP="00905316">
      <w:pPr>
        <w:rPr>
          <w:rFonts w:ascii="Calibri" w:eastAsia="Calibri" w:hAnsi="Calibri" w:cs="Calibri"/>
          <w:color w:val="000000" w:themeColor="text1"/>
        </w:rPr>
      </w:pPr>
      <w:r w:rsidRPr="001E7AA4">
        <w:rPr>
          <w:rFonts w:ascii="Calibri" w:eastAsia="Calibri" w:hAnsi="Calibri" w:cs="Calibri"/>
          <w:color w:val="000000" w:themeColor="text1"/>
        </w:rPr>
        <w:t>There are a range of considerations and options in considering what future student contributions should be set at. Submissions have proposed a number of principles that should inform the development of new arrangements including that students should not be unfairly subjected to excessive debts</w:t>
      </w:r>
      <w:r w:rsidR="001B2FB0" w:rsidRPr="001E7AA4">
        <w:rPr>
          <w:rFonts w:ascii="Calibri" w:eastAsia="Calibri" w:hAnsi="Calibri" w:cs="Calibri"/>
          <w:color w:val="000000" w:themeColor="text1"/>
        </w:rPr>
        <w:t xml:space="preserve">; and </w:t>
      </w:r>
      <w:r w:rsidRPr="001E7AA4">
        <w:rPr>
          <w:rFonts w:ascii="Calibri" w:eastAsia="Calibri" w:hAnsi="Calibri" w:cs="Calibri"/>
          <w:color w:val="000000" w:themeColor="text1"/>
        </w:rPr>
        <w:t xml:space="preserve">that setting fairer contribution rates could increase access to higher education, help incentivise lifelong learning, and reduce the amount of debt never repaid. </w:t>
      </w:r>
    </w:p>
    <w:p w14:paraId="047C524D" w14:textId="77777777" w:rsidR="00905316" w:rsidRPr="001E7AA4" w:rsidRDefault="00905316" w:rsidP="00C46836">
      <w:pPr>
        <w:spacing w:after="120"/>
        <w:rPr>
          <w:rFonts w:ascii="Calibri" w:eastAsia="Calibri" w:hAnsi="Calibri" w:cs="Calibri"/>
          <w:color w:val="000000" w:themeColor="text1"/>
        </w:rPr>
      </w:pPr>
      <w:r w:rsidRPr="001E7AA4">
        <w:rPr>
          <w:rFonts w:ascii="Calibri" w:eastAsia="Calibri" w:hAnsi="Calibri" w:cs="Calibri"/>
          <w:color w:val="000000" w:themeColor="text1"/>
        </w:rPr>
        <w:t xml:space="preserve">These are complex issues that will be the subject of more detailed analysis in advance of the Final report. </w:t>
      </w:r>
    </w:p>
    <w:p w14:paraId="4A04F0D3" w14:textId="6DED6213" w:rsidR="007B5432" w:rsidRPr="001E7AA4" w:rsidRDefault="007B5432" w:rsidP="00734123">
      <w:pPr>
        <w:pStyle w:val="ListBullet"/>
      </w:pPr>
      <w:r w:rsidRPr="001E7AA4">
        <w:t>Various submissions, including from Universities Australia and the National Union of Students, recommend replacing or reversing changes introduced by the JRG package.</w:t>
      </w:r>
      <w:r w:rsidRPr="001E7AA4">
        <w:rPr>
          <w:rStyle w:val="FootnoteReference"/>
          <w:rFonts w:ascii="Calibri" w:eastAsia="Calibri" w:hAnsi="Calibri" w:cs="Calibri"/>
          <w:color w:val="000000" w:themeColor="text1"/>
        </w:rPr>
        <w:footnoteReference w:id="189"/>
      </w:r>
      <w:r w:rsidRPr="001E7AA4">
        <w:t xml:space="preserve"> This would include reducing fees for students undertaking humanities, communications and society and culture courses. Initial </w:t>
      </w:r>
      <w:r w:rsidR="0087096D" w:rsidRPr="001E7AA4">
        <w:t>Department</w:t>
      </w:r>
      <w:r w:rsidRPr="001E7AA4">
        <w:t xml:space="preserve"> of </w:t>
      </w:r>
      <w:r w:rsidR="0087096D" w:rsidRPr="001E7AA4">
        <w:t xml:space="preserve">Education </w:t>
      </w:r>
      <w:r w:rsidRPr="001E7AA4">
        <w:t>estimates suggest this could cost in the order of $1 billion per year.</w:t>
      </w:r>
    </w:p>
    <w:p w14:paraId="081AD8B6" w14:textId="46D86A7D" w:rsidR="00905316" w:rsidRPr="001E7AA4" w:rsidRDefault="00905316" w:rsidP="00734123">
      <w:pPr>
        <w:pStyle w:val="ListBullet"/>
      </w:pPr>
      <w:r w:rsidRPr="001E7AA4">
        <w:t>Other stakeholders such as the Group of Eight and Australian Technology Network of Universities have suggested exploring a single student contribution rate.</w:t>
      </w:r>
      <w:r w:rsidR="00032D28" w:rsidRPr="001E7AA4">
        <w:rPr>
          <w:rStyle w:val="FootnoteReference"/>
          <w:rFonts w:ascii="Calibri" w:eastAsia="Calibri" w:hAnsi="Calibri" w:cs="Calibri"/>
          <w:color w:val="000000" w:themeColor="text1"/>
        </w:rPr>
        <w:footnoteReference w:id="190"/>
      </w:r>
      <w:r w:rsidRPr="001E7AA4">
        <w:t xml:space="preserve"> Depending on the level of this contribution, it is likely to represent significant increases in contributions for some students, while decreasing for others. While this approach would charge students equally, regardless of their course, it also risks unfair trade-offs. Student contributions would be likely to increase on average for women, First Nations people, regional and remote, and low</w:t>
      </w:r>
      <w:r w:rsidR="00487B59" w:rsidRPr="001E7AA4">
        <w:t xml:space="preserve"> </w:t>
      </w:r>
      <w:r w:rsidRPr="001E7AA4">
        <w:t xml:space="preserve">SES students, or Government would need to provide additional funding and the overall share paid by students decrease. </w:t>
      </w:r>
    </w:p>
    <w:p w14:paraId="08F87964" w14:textId="777A135A" w:rsidR="00905316" w:rsidRPr="001E7AA4" w:rsidRDefault="00905316" w:rsidP="00734123">
      <w:pPr>
        <w:pStyle w:val="ListBullet"/>
      </w:pPr>
      <w:r w:rsidRPr="001E7AA4">
        <w:t>The NSW Vice-Chancellors</w:t>
      </w:r>
      <w:r w:rsidR="007661E4" w:rsidRPr="001E7AA4">
        <w:t>’</w:t>
      </w:r>
      <w:r w:rsidRPr="001E7AA4">
        <w:t xml:space="preserve"> Committee and University of Technology Sydney also suggested examining increased fees for Commonwealth supported postgraduate students.</w:t>
      </w:r>
      <w:r w:rsidR="009D5FAA" w:rsidRPr="001E7AA4">
        <w:rPr>
          <w:rStyle w:val="FootnoteReference"/>
          <w:rFonts w:ascii="Calibri" w:eastAsia="Calibri" w:hAnsi="Calibri" w:cs="Calibri"/>
          <w:color w:val="000000" w:themeColor="text1"/>
        </w:rPr>
        <w:footnoteReference w:id="191"/>
      </w:r>
      <w:r w:rsidRPr="001E7AA4">
        <w:t xml:space="preserve"> The latest transparency of higher education expenditure survey indicates the cost of teaching postgraduate students in 2020 was around 20</w:t>
      </w:r>
      <w:r w:rsidRPr="001E7AA4" w:rsidDel="0002240E">
        <w:t>%</w:t>
      </w:r>
      <w:r w:rsidR="0002240E" w:rsidRPr="001E7AA4">
        <w:t xml:space="preserve"> </w:t>
      </w:r>
      <w:r w:rsidRPr="001E7AA4">
        <w:t>higher than the cost of delivering bachelor degrees.</w:t>
      </w:r>
      <w:r w:rsidR="00524DB5" w:rsidRPr="001E7AA4">
        <w:rPr>
          <w:rStyle w:val="FootnoteReference"/>
          <w:rFonts w:ascii="Calibri" w:eastAsia="Calibri" w:hAnsi="Calibri" w:cs="Calibri"/>
          <w:color w:val="000000" w:themeColor="text1"/>
        </w:rPr>
        <w:footnoteReference w:id="192"/>
      </w:r>
    </w:p>
    <w:p w14:paraId="30E2B687" w14:textId="7A4D8BF5" w:rsidR="00805127" w:rsidRPr="001E7AA4" w:rsidRDefault="00905316" w:rsidP="00734123">
      <w:pPr>
        <w:pStyle w:val="ListBullet"/>
      </w:pPr>
      <w:r w:rsidRPr="001E7AA4">
        <w:t>The University of Canberra suggested that student contributions should align</w:t>
      </w:r>
      <w:r w:rsidR="007661E4" w:rsidRPr="001E7AA4">
        <w:t xml:space="preserve"> </w:t>
      </w:r>
      <w:r w:rsidRPr="001E7AA4">
        <w:t>with graduates’ future earnings potential</w:t>
      </w:r>
      <w:r w:rsidR="007661E4" w:rsidRPr="001E7AA4">
        <w:t xml:space="preserve"> as well as course costs</w:t>
      </w:r>
      <w:r w:rsidRPr="001E7AA4">
        <w:t>.</w:t>
      </w:r>
      <w:r w:rsidR="006B14F3" w:rsidRPr="001E7AA4">
        <w:rPr>
          <w:rStyle w:val="FootnoteReference"/>
          <w:rFonts w:ascii="Calibri" w:eastAsia="Calibri" w:hAnsi="Calibri" w:cs="Calibri"/>
          <w:color w:val="000000" w:themeColor="text1"/>
        </w:rPr>
        <w:footnoteReference w:id="193"/>
      </w:r>
      <w:r w:rsidRPr="001E7AA4">
        <w:t xml:space="preserve"> It is clear from graduate earnings data that contributions from students in certain disciplines, particularly creative arts, social studies, humanities and communications, are not in line with expected earnings for these students.</w:t>
      </w:r>
      <w:r w:rsidR="006B0D04" w:rsidRPr="001E7AA4">
        <w:rPr>
          <w:rStyle w:val="FootnoteReference"/>
          <w:rFonts w:ascii="Calibri" w:eastAsia="Calibri" w:hAnsi="Calibri" w:cs="Calibri"/>
          <w:color w:val="000000" w:themeColor="text1"/>
        </w:rPr>
        <w:footnoteReference w:id="194"/>
      </w:r>
      <w:r w:rsidRPr="001E7AA4">
        <w:t xml:space="preserve">  </w:t>
      </w:r>
    </w:p>
    <w:p w14:paraId="51C5F9D9" w14:textId="1E8134E3" w:rsidR="00905316" w:rsidRPr="001E7AA4" w:rsidRDefault="00905316" w:rsidP="00734123">
      <w:pPr>
        <w:pStyle w:val="ListBullet"/>
      </w:pPr>
      <w:r w:rsidRPr="001E7AA4">
        <w:lastRenderedPageBreak/>
        <w:t>The JRG changes increased the average student share from 42</w:t>
      </w:r>
      <w:r w:rsidR="001B2FB0" w:rsidRPr="001E7AA4">
        <w:t>%</w:t>
      </w:r>
      <w:r w:rsidRPr="001E7AA4">
        <w:t xml:space="preserve"> to 48</w:t>
      </w:r>
      <w:r w:rsidR="001B2FB0" w:rsidRPr="001E7AA4">
        <w:t>%</w:t>
      </w:r>
      <w:r w:rsidRPr="001E7AA4">
        <w:t>, with the Commonwealth’s share adjusting from 58</w:t>
      </w:r>
      <w:r w:rsidR="001B2FB0" w:rsidRPr="001E7AA4">
        <w:t>%</w:t>
      </w:r>
      <w:r w:rsidRPr="001E7AA4">
        <w:t xml:space="preserve"> to 52</w:t>
      </w:r>
      <w:r w:rsidR="001B2FB0" w:rsidRPr="001E7AA4">
        <w:t>%</w:t>
      </w:r>
      <w:r w:rsidRPr="001E7AA4">
        <w:t>. This has meant students now, on average</w:t>
      </w:r>
      <w:r w:rsidR="00B31E03" w:rsidRPr="001E7AA4">
        <w:t>,</w:t>
      </w:r>
      <w:r w:rsidRPr="001E7AA4">
        <w:t xml:space="preserve"> pay closer to 50</w:t>
      </w:r>
      <w:r w:rsidR="001B2FB0" w:rsidRPr="001E7AA4">
        <w:t>%</w:t>
      </w:r>
      <w:r w:rsidRPr="001E7AA4">
        <w:t xml:space="preserve"> of base funding costs. However, based on a discipline level, there are some cases where students </w:t>
      </w:r>
      <w:r w:rsidR="00D2089D" w:rsidRPr="001E7AA4">
        <w:t xml:space="preserve">pay </w:t>
      </w:r>
      <w:r w:rsidRPr="001E7AA4">
        <w:t>closer to 90</w:t>
      </w:r>
      <w:r w:rsidR="001B2FB0" w:rsidRPr="001E7AA4">
        <w:t>%</w:t>
      </w:r>
      <w:r w:rsidRPr="001E7AA4">
        <w:t>, including in business, law and humanities. It is not fair for some students to make such a high contribution, even if expected earnings are likely to be higher than average.</w:t>
      </w:r>
    </w:p>
    <w:p w14:paraId="77196C8E" w14:textId="63853C24" w:rsidR="00DD3008" w:rsidRDefault="00905316" w:rsidP="00905316">
      <w:pPr>
        <w:rPr>
          <w:rFonts w:ascii="Calibri" w:eastAsia="Calibri" w:hAnsi="Calibri" w:cs="Calibri"/>
          <w:color w:val="000000" w:themeColor="text1"/>
        </w:rPr>
      </w:pPr>
      <w:r w:rsidRPr="001E7AA4">
        <w:rPr>
          <w:rFonts w:ascii="Calibri" w:eastAsia="Calibri" w:hAnsi="Calibri" w:cs="Calibri"/>
          <w:color w:val="000000" w:themeColor="text1"/>
        </w:rPr>
        <w:t xml:space="preserve">Fundamental reform is required to address the perverse outcomes created by the JRG package. This needs to be considered in the context of the design of any new funding model for teaching and learning. A key priority for the </w:t>
      </w:r>
      <w:r w:rsidR="00023879" w:rsidRPr="001E7AA4">
        <w:rPr>
          <w:rFonts w:ascii="Calibri" w:eastAsia="Calibri" w:hAnsi="Calibri" w:cs="Calibri"/>
          <w:color w:val="000000" w:themeColor="text1"/>
        </w:rPr>
        <w:t xml:space="preserve">Review </w:t>
      </w:r>
      <w:r w:rsidRPr="001E7AA4">
        <w:rPr>
          <w:rFonts w:ascii="Calibri" w:eastAsia="Calibri" w:hAnsi="Calibri" w:cs="Calibri"/>
          <w:color w:val="000000" w:themeColor="text1"/>
        </w:rPr>
        <w:t xml:space="preserve">is ensuring student contributions are fair and do not place undue burden on students. In making recommendations, the Review will also consider an appropriate transition, including options to implement changes over time to minimise impacts to students studying now. </w:t>
      </w:r>
    </w:p>
    <w:p w14:paraId="3BEF61C2" w14:textId="7D583FD9" w:rsidR="004335D7" w:rsidRPr="001E7AA4" w:rsidRDefault="004335D7" w:rsidP="004335D7">
      <w:pPr>
        <w:pStyle w:val="Pulloutboxes"/>
        <w:rPr>
          <w:rFonts w:eastAsia="Calibri"/>
        </w:rPr>
      </w:pPr>
      <w:r w:rsidRPr="00D71585">
        <w:rPr>
          <w:rFonts w:eastAsia="Calibri"/>
        </w:rPr>
        <w:t xml:space="preserve">The Review is examining </w:t>
      </w:r>
      <w:r w:rsidRPr="00D71585">
        <w:t>potential changes to student contributions to reduce long-term financial burden for individuals and sustain successful increased participation in higher education.</w:t>
      </w:r>
    </w:p>
    <w:p w14:paraId="7B736CF7" w14:textId="649FC1F6" w:rsidR="00267E5A" w:rsidRPr="001E7AA4" w:rsidRDefault="00267E5A" w:rsidP="00E40AED">
      <w:pPr>
        <w:pStyle w:val="Heading6"/>
      </w:pPr>
      <w:bookmarkStart w:id="433" w:name="_Toc135739837"/>
      <w:bookmarkStart w:id="434" w:name="_Toc135741165"/>
      <w:bookmarkStart w:id="435" w:name="_Toc136169227"/>
      <w:bookmarkStart w:id="436" w:name="_Toc136029938"/>
      <w:r w:rsidRPr="001E7AA4">
        <w:t>3.3.5.2 Building on the world-leading success of the HELP system</w:t>
      </w:r>
      <w:bookmarkStart w:id="437" w:name="_Toc135419664"/>
      <w:bookmarkEnd w:id="432"/>
      <w:bookmarkEnd w:id="433"/>
      <w:bookmarkEnd w:id="434"/>
      <w:bookmarkEnd w:id="435"/>
      <w:bookmarkEnd w:id="436"/>
    </w:p>
    <w:bookmarkEnd w:id="437"/>
    <w:p w14:paraId="16283226" w14:textId="2885DF64" w:rsidR="00267E5A" w:rsidRPr="001E7AA4" w:rsidRDefault="00267E5A" w:rsidP="00267E5A">
      <w:pPr>
        <w:rPr>
          <w:rStyle w:val="normaltextrun"/>
          <w:rFonts w:ascii="Calibri" w:hAnsi="Calibri" w:cs="Calibri"/>
          <w:u w:val="single"/>
        </w:rPr>
      </w:pPr>
      <w:r w:rsidRPr="001E7AA4">
        <w:t xml:space="preserve">The HELP system is a critical pillar of the funding system for higher education and has served Australia well. The scheme is designed to both expand access to higher education without substantially burdening the budget, and to eliminate the upfront cost of tuition for students. The Review believes the HELP system remains a highly effective approach to funding higher education, and the overall approach of this system remains sound in terms of affordability, sustainability and equity. </w:t>
      </w:r>
      <w:r w:rsidRPr="001E7AA4">
        <w:rPr>
          <w:rStyle w:val="normaltextrun"/>
          <w:rFonts w:ascii="Calibri" w:hAnsi="Calibri" w:cs="Calibri"/>
        </w:rPr>
        <w:t>However,</w:t>
      </w:r>
      <w:r w:rsidR="009F0A5E" w:rsidRPr="001E7AA4">
        <w:rPr>
          <w:rStyle w:val="normaltextrun"/>
          <w:rFonts w:ascii="Calibri" w:hAnsi="Calibri" w:cs="Calibri"/>
        </w:rPr>
        <w:t xml:space="preserve"> </w:t>
      </w:r>
      <w:r w:rsidRPr="001E7AA4">
        <w:rPr>
          <w:rStyle w:val="normaltextrun"/>
          <w:rFonts w:ascii="Calibri" w:hAnsi="Calibri" w:cs="Calibri"/>
        </w:rPr>
        <w:t>recent focus on the size of debts incurred by some graduates (which should be improved by a redesign of student contributions), repayment burdens and the effects of high inflation on accumulated debts</w:t>
      </w:r>
      <w:r w:rsidR="002E3C0D" w:rsidRPr="001E7AA4">
        <w:rPr>
          <w:rStyle w:val="normaltextrun"/>
          <w:rFonts w:ascii="Calibri" w:hAnsi="Calibri" w:cs="Calibri"/>
        </w:rPr>
        <w:t xml:space="preserve"> leads the Review to consider </w:t>
      </w:r>
      <w:r w:rsidR="4E8134C1" w:rsidRPr="001E7AA4">
        <w:rPr>
          <w:rStyle w:val="normaltextrun"/>
          <w:rFonts w:ascii="Calibri" w:hAnsi="Calibri" w:cs="Calibri"/>
        </w:rPr>
        <w:t>it</w:t>
      </w:r>
      <w:r w:rsidR="167CF482" w:rsidRPr="001E7AA4">
        <w:rPr>
          <w:rStyle w:val="normaltextrun"/>
          <w:rFonts w:ascii="Calibri" w:hAnsi="Calibri" w:cs="Calibri"/>
        </w:rPr>
        <w:t xml:space="preserve"> i</w:t>
      </w:r>
      <w:r w:rsidR="4E8134C1" w:rsidRPr="001E7AA4">
        <w:rPr>
          <w:rStyle w:val="normaltextrun"/>
          <w:rFonts w:ascii="Calibri" w:hAnsi="Calibri" w:cs="Calibri"/>
        </w:rPr>
        <w:t>s</w:t>
      </w:r>
      <w:r w:rsidR="002E3C0D" w:rsidRPr="001E7AA4">
        <w:rPr>
          <w:rStyle w:val="normaltextrun"/>
          <w:rFonts w:ascii="Calibri" w:hAnsi="Calibri" w:cs="Calibri"/>
        </w:rPr>
        <w:t xml:space="preserve"> time for the HELP system to be examined</w:t>
      </w:r>
      <w:r w:rsidRPr="001E7AA4">
        <w:rPr>
          <w:rStyle w:val="normaltextrun"/>
          <w:rFonts w:ascii="Calibri" w:hAnsi="Calibri" w:cs="Calibri"/>
        </w:rPr>
        <w:t xml:space="preserve">. The Review is hearing evidence of the impacts </w:t>
      </w:r>
      <w:r w:rsidR="00023879" w:rsidRPr="001E7AA4">
        <w:rPr>
          <w:rStyle w:val="normaltextrun"/>
          <w:rFonts w:ascii="Calibri" w:hAnsi="Calibri" w:cs="Calibri"/>
        </w:rPr>
        <w:t xml:space="preserve">these issues </w:t>
      </w:r>
      <w:r w:rsidRPr="001E7AA4">
        <w:rPr>
          <w:rStyle w:val="normaltextrun"/>
          <w:rFonts w:ascii="Calibri" w:hAnsi="Calibri" w:cs="Calibri"/>
        </w:rPr>
        <w:t>could have on peoples</w:t>
      </w:r>
      <w:r w:rsidR="00942B75" w:rsidRPr="001E7AA4">
        <w:rPr>
          <w:rStyle w:val="normaltextrun"/>
          <w:rFonts w:ascii="Calibri" w:hAnsi="Calibri" w:cs="Calibri"/>
        </w:rPr>
        <w:t>’</w:t>
      </w:r>
      <w:r w:rsidRPr="001E7AA4">
        <w:rPr>
          <w:rStyle w:val="normaltextrun"/>
          <w:rFonts w:ascii="Calibri" w:hAnsi="Calibri" w:cs="Calibri"/>
        </w:rPr>
        <w:t xml:space="preserve"> lives. It is time to review current policy settings to ensure they remain appropriate for a modern education system, workforce and economy.</w:t>
      </w:r>
      <w:r w:rsidRPr="001E7AA4">
        <w:rPr>
          <w:rStyle w:val="normaltextrun"/>
          <w:rFonts w:ascii="Calibri" w:hAnsi="Calibri" w:cs="Calibri"/>
          <w:u w:val="single"/>
        </w:rPr>
        <w:t xml:space="preserve"> </w:t>
      </w:r>
    </w:p>
    <w:p w14:paraId="1F189D5F" w14:textId="77777777" w:rsidR="00267E5A" w:rsidRPr="00734123" w:rsidRDefault="00267E5A" w:rsidP="00E40AED">
      <w:pPr>
        <w:pStyle w:val="Heading7"/>
        <w:rPr>
          <w:color w:val="757679"/>
        </w:rPr>
      </w:pPr>
      <w:bookmarkStart w:id="438" w:name="_Toc135741166"/>
      <w:r w:rsidRPr="00734123">
        <w:rPr>
          <w:color w:val="757679"/>
        </w:rPr>
        <w:t>3.3.5.2.1 Ensuring debts are manageable</w:t>
      </w:r>
      <w:bookmarkEnd w:id="438"/>
    </w:p>
    <w:p w14:paraId="0E59F685" w14:textId="32D7D7AB" w:rsidR="00267E5A" w:rsidRPr="001E7AA4" w:rsidRDefault="00267E5A" w:rsidP="00267E5A">
      <w:r w:rsidRPr="001E7AA4">
        <w:t xml:space="preserve">HELP debts are </w:t>
      </w:r>
      <w:r w:rsidR="009334FB" w:rsidRPr="001E7AA4">
        <w:t xml:space="preserve">not subject to interest but are </w:t>
      </w:r>
      <w:r w:rsidRPr="001E7AA4">
        <w:t>indexed to retain the real value of the debts over time. This is to ensure that the value of the HELP asset to taxpayers does not decline over time and safeguards the sustainability of the HELP system.</w:t>
      </w:r>
    </w:p>
    <w:p w14:paraId="2C52F7DA" w14:textId="3688CD63" w:rsidR="00267E5A" w:rsidRPr="001E7AA4" w:rsidRDefault="00267E5A" w:rsidP="00267E5A">
      <w:r w:rsidRPr="001E7AA4">
        <w:t>Since the introduction of HECS, outstanding debts have been indexed by CPI. In most years this has resulted in a rate of indexation below wages growth and the long-term costs of Government borrowing. However, in the modern context of much higher average debts for graduates, and the current economic climate of high inflation and modest wage growth, indexation has caused larger than typical increases in outstanding debt. The Review is aware that graduates are concerned when they make repayments but see no nominal decrease in their HELP balance. This raises concerns from HELP debtors around holding larger HELP debts for longer.</w:t>
      </w:r>
    </w:p>
    <w:p w14:paraId="0F196A25" w14:textId="65576F16" w:rsidR="005568CD" w:rsidRPr="001E7AA4" w:rsidRDefault="005568CD" w:rsidP="005568CD">
      <w:pPr>
        <w:pStyle w:val="Quote"/>
      </w:pPr>
      <w:r w:rsidRPr="001E7AA4">
        <w:t xml:space="preserve">"Students are now more indebted than ever before." </w:t>
      </w:r>
      <w:r w:rsidR="00552DC2">
        <w:br/>
      </w:r>
      <w:r w:rsidRPr="001E7AA4">
        <w:t>– Sydney University Postgraduate Representative Association</w:t>
      </w:r>
    </w:p>
    <w:p w14:paraId="05FB2E21" w14:textId="3CEFC079" w:rsidR="00267E5A" w:rsidRPr="001E7AA4" w:rsidRDefault="00267E5A" w:rsidP="00267E5A">
      <w:r w:rsidRPr="001E7AA4">
        <w:lastRenderedPageBreak/>
        <w:t>CPI indexation has been volatile recently, increasing from a rate of 0.6 in 2021 to a rate of 7.1 in 2023. High CPI growth in conjunction with relatively more modest wage growth has meant debtors’ real wages have decreased.</w:t>
      </w:r>
      <w:r w:rsidRPr="001E7AA4">
        <w:rPr>
          <w:rStyle w:val="FootnoteReference"/>
        </w:rPr>
        <w:footnoteReference w:id="195"/>
      </w:r>
      <w:r w:rsidRPr="001E7AA4">
        <w:t xml:space="preserve"> Using the Wage Price Index (WPI) as a measure for indexation has been suggested by stakeholders as it ensures that the cost of HELP is correlated to the private benefits received by debtors. Alternatively, using the lower of Government </w:t>
      </w:r>
      <w:r w:rsidR="00023879" w:rsidRPr="001E7AA4">
        <w:t>Long</w:t>
      </w:r>
      <w:r w:rsidR="00D5217A" w:rsidRPr="001E7AA4">
        <w:t>-</w:t>
      </w:r>
      <w:r w:rsidR="00023879" w:rsidRPr="001E7AA4">
        <w:t>Term Bond Rate</w:t>
      </w:r>
      <w:r w:rsidRPr="001E7AA4">
        <w:t xml:space="preserve"> (LTBR) and CPI as it ensures that HELP debt is always concessional to the Government’s long-term costs of borrowing.</w:t>
      </w:r>
    </w:p>
    <w:p w14:paraId="102569DA" w14:textId="2561ED2A" w:rsidR="00267E5A" w:rsidRPr="001E7AA4" w:rsidRDefault="00267E5A" w:rsidP="00267E5A">
      <w:r w:rsidRPr="001E7AA4">
        <w:t xml:space="preserve">The Review is considering the most appropriate way to reduce the volatility of the current indexation method. However, it must </w:t>
      </w:r>
      <w:r w:rsidR="00023879" w:rsidRPr="001E7AA4">
        <w:t>simultaneously</w:t>
      </w:r>
      <w:r w:rsidRPr="001E7AA4">
        <w:t xml:space="preserve"> consider the appropriate size and sustainability of accumulated debts and the earning capacity of graduates.</w:t>
      </w:r>
    </w:p>
    <w:p w14:paraId="065A9D13" w14:textId="40CF5D38" w:rsidR="00267E5A" w:rsidRPr="001E7AA4" w:rsidRDefault="00267E5A" w:rsidP="00267E5A">
      <w:r w:rsidRPr="001E7AA4">
        <w:t xml:space="preserve">The Review is also aware of concerns around the timing of indexation on 1 June each year and the perception that income withheld for HELP repayment is not immediately applied to reducing debts. The Review welcomes the work of Australian Government </w:t>
      </w:r>
      <w:r w:rsidR="006A31A1" w:rsidRPr="001E7AA4">
        <w:t>d</w:t>
      </w:r>
      <w:r w:rsidRPr="001E7AA4">
        <w:t xml:space="preserve">epartments and the Australian Taxation Office (which administers repayments of HELP debt) </w:t>
      </w:r>
      <w:r w:rsidR="0087734D" w:rsidRPr="001E7AA4">
        <w:t>in considering</w:t>
      </w:r>
      <w:r w:rsidRPr="001E7AA4">
        <w:t xml:space="preserve"> this issue and whether changes are necessary and feasible given the complexities of tax administration. </w:t>
      </w:r>
    </w:p>
    <w:p w14:paraId="5D48A350" w14:textId="77777777" w:rsidR="00267E5A" w:rsidRPr="00734123" w:rsidRDefault="00267E5A" w:rsidP="00E40AED">
      <w:pPr>
        <w:pStyle w:val="Heading7"/>
        <w:rPr>
          <w:color w:val="757679"/>
        </w:rPr>
      </w:pPr>
      <w:bookmarkStart w:id="439" w:name="_Toc135741167"/>
      <w:r w:rsidRPr="00734123">
        <w:rPr>
          <w:color w:val="757679"/>
        </w:rPr>
        <w:t>3.3.5.2.2 Ensuring repayments are not overly burdensome</w:t>
      </w:r>
      <w:bookmarkEnd w:id="439"/>
    </w:p>
    <w:p w14:paraId="46AE23DB" w14:textId="2A95C772" w:rsidR="00267E5A" w:rsidRPr="001E7AA4" w:rsidRDefault="00267E5A" w:rsidP="00267E5A">
      <w:r w:rsidRPr="001E7AA4">
        <w:t>Repayment of HELP debt occurs when a debtor’s repayment income exceeds the minimum repayment threshold. In 2022-23 this minimum threshold is $48,361</w:t>
      </w:r>
      <w:r w:rsidR="00030F88" w:rsidRPr="001E7AA4">
        <w:t xml:space="preserve"> and increases to $</w:t>
      </w:r>
      <w:r w:rsidR="00D336E0" w:rsidRPr="001E7AA4">
        <w:t>51,550</w:t>
      </w:r>
      <w:r w:rsidR="00C85432" w:rsidRPr="001E7AA4">
        <w:t xml:space="preserve"> </w:t>
      </w:r>
      <w:r w:rsidR="00030F88" w:rsidRPr="001E7AA4">
        <w:t>in 2023-24</w:t>
      </w:r>
      <w:r w:rsidRPr="001E7AA4">
        <w:t>. Above this threshold the individual’s repayment amount is 1</w:t>
      </w:r>
      <w:r w:rsidRPr="001E7AA4" w:rsidDel="0002240E">
        <w:t>%</w:t>
      </w:r>
      <w:r w:rsidR="0002240E" w:rsidRPr="001E7AA4">
        <w:t xml:space="preserve"> </w:t>
      </w:r>
      <w:r w:rsidRPr="001E7AA4">
        <w:t>of their total repayment income, with this rate increasing progressively with income.</w:t>
      </w:r>
      <w:r w:rsidRPr="001E7AA4">
        <w:rPr>
          <w:rStyle w:val="FootnoteReference"/>
        </w:rPr>
        <w:footnoteReference w:id="196"/>
      </w:r>
      <w:r w:rsidRPr="001E7AA4">
        <w:t xml:space="preserve"> Basing repayment on total income means that the amount of debt that a person repays can increase significantly over small income ranges (a repayment ‘cliff’). This is particularly noticeable at the first repayment threshold where earning $1 more means a person must repay $483.</w:t>
      </w:r>
    </w:p>
    <w:p w14:paraId="21A262B3" w14:textId="6E3814F8" w:rsidR="00267E5A" w:rsidRPr="001E7AA4" w:rsidRDefault="00267E5A" w:rsidP="00267E5A">
      <w:r w:rsidRPr="001E7AA4">
        <w:t>Previous studies have found evidence of clustering of repayment incomes just below HELP repayment thresholds.</w:t>
      </w:r>
      <w:r w:rsidRPr="001E7AA4">
        <w:rPr>
          <w:rStyle w:val="FootnoteReference"/>
          <w:rFonts w:ascii="Calibri" w:eastAsia="Calibri" w:hAnsi="Calibri" w:cs="Calibri"/>
          <w:color w:val="000000" w:themeColor="text1"/>
        </w:rPr>
        <w:footnoteReference w:id="197"/>
      </w:r>
      <w:r w:rsidRPr="001E7AA4">
        <w:t xml:space="preserve"> Analysis supports these findings, particularly for lower income thresholds, and those where the relative increase in the repayment rate is higher (the first </w:t>
      </w:r>
      <w:r w:rsidR="00DF25AC" w:rsidRPr="001E7AA4">
        <w:t>two</w:t>
      </w:r>
      <w:r w:rsidRPr="001E7AA4">
        <w:t xml:space="preserve"> thresholds in 2019-20 increased by 1pp, rather than 0.5pp at higher thresholds).</w:t>
      </w:r>
    </w:p>
    <w:p w14:paraId="6DB13435" w14:textId="6D8647AF" w:rsidR="006D7095" w:rsidRDefault="00267E5A" w:rsidP="00267E5A">
      <w:r w:rsidRPr="001E7AA4">
        <w:t>A system based on marginal repayment would reduce these repayment cliffs by basing the repayment calculation on income only above the repayment threshold. This would generally mean a person could no longer pay more in HELP repayments than they earn in additional work. A marginal repayment system could also be structured in a way that reduces the burden of HELP repayment of low-income earners, improving the outcomes of the system, as well as reducing negative interactions with other parts of the tax and transfer system.</w:t>
      </w:r>
    </w:p>
    <w:p w14:paraId="5378E5E8" w14:textId="77777777" w:rsidR="006D7095" w:rsidRDefault="006D7095">
      <w:pPr>
        <w:spacing w:after="160"/>
      </w:pPr>
      <w:r>
        <w:br w:type="page"/>
      </w:r>
    </w:p>
    <w:p w14:paraId="422CC486" w14:textId="50E4BCF1" w:rsidR="00267E5A" w:rsidRPr="001E7AA4" w:rsidRDefault="00267E5A" w:rsidP="00267E5A">
      <w:pPr>
        <w:pStyle w:val="Quote"/>
      </w:pPr>
      <w:r w:rsidRPr="001E7AA4">
        <w:lastRenderedPageBreak/>
        <w:t>“The ability to improve the equity of repayment arrangements, to increase the incentive to work and to remove poverty traps are good reasons to change to a marginal rate approach.</w:t>
      </w:r>
      <w:r w:rsidR="002E676D" w:rsidRPr="001E7AA4">
        <w:t>”</w:t>
      </w:r>
      <w:r w:rsidRPr="001E7AA4">
        <w:rPr>
          <w:rStyle w:val="FootnoteReference"/>
        </w:rPr>
        <w:footnoteReference w:id="198"/>
      </w:r>
      <w:r w:rsidRPr="001E7AA4">
        <w:t xml:space="preserve"> </w:t>
      </w:r>
      <w:r w:rsidR="00B820DA">
        <w:br/>
      </w:r>
      <w:r w:rsidR="007D252A" w:rsidRPr="001E7AA4">
        <w:t xml:space="preserve">– </w:t>
      </w:r>
      <w:r w:rsidR="00467B37" w:rsidRPr="001E7AA4">
        <w:t xml:space="preserve">Emeritus Professor </w:t>
      </w:r>
      <w:r w:rsidR="007D252A" w:rsidRPr="001E7AA4">
        <w:t>Bruce Chapman</w:t>
      </w:r>
      <w:r w:rsidR="00467B37" w:rsidRPr="001E7AA4">
        <w:t xml:space="preserve"> AO</w:t>
      </w:r>
    </w:p>
    <w:p w14:paraId="4A7C187A" w14:textId="46CCFFCF" w:rsidR="00267E5A" w:rsidRPr="001E7AA4" w:rsidRDefault="00267E5A" w:rsidP="00267E5A">
      <w:r w:rsidRPr="001E7AA4">
        <w:t xml:space="preserve">The impact of a marginal system on both individual debtors and on the cost </w:t>
      </w:r>
      <w:r w:rsidR="007C6F05" w:rsidRPr="001E7AA4">
        <w:t xml:space="preserve">to </w:t>
      </w:r>
      <w:r w:rsidRPr="001E7AA4">
        <w:t>the system (in terms of debt not expected to be repaid (DNER)) would depend on the specific thresholds and repayment rates chosen. It would be possible to introduce a marginal repayment schedule that results in the same amount of HELP repayments, potentially by lowering the minimum threshold or by having relatively high marginal repayment rates that step up quickly. While a marginal system would likely reduce repayments for those at lower incomes and therefore increase their disposable income, the income contingent nature of the HELP scheme means these people are likely to repay for longer as their annual repayments are lower.</w:t>
      </w:r>
    </w:p>
    <w:p w14:paraId="15C3EB52" w14:textId="77777777" w:rsidR="00267E5A" w:rsidRPr="002D7F91" w:rsidRDefault="00267E5A" w:rsidP="00E40AED">
      <w:pPr>
        <w:pStyle w:val="Heading7"/>
        <w:rPr>
          <w:color w:val="757679"/>
        </w:rPr>
      </w:pPr>
      <w:bookmarkStart w:id="440" w:name="_Toc135741168"/>
      <w:r w:rsidRPr="002D7F91">
        <w:rPr>
          <w:color w:val="757679"/>
        </w:rPr>
        <w:t xml:space="preserve">3.3.5.2.3 HELP debt forgiveness </w:t>
      </w:r>
      <w:bookmarkEnd w:id="440"/>
    </w:p>
    <w:p w14:paraId="18276AF4" w14:textId="77777777" w:rsidR="00267E5A" w:rsidRPr="001E7AA4" w:rsidRDefault="00267E5A" w:rsidP="00267E5A">
      <w:r w:rsidRPr="001E7AA4">
        <w:t>HELP debts are generally only written off when debtors die, but the circumstances where debt is forgiven could be expanded. Larger scale student loan forgiveness is already utilised internationally. Domestically, different programs have recently been implemented which reduce the debts for some health workers.</w:t>
      </w:r>
    </w:p>
    <w:p w14:paraId="3B3ED507" w14:textId="417E7CA5" w:rsidR="00267E5A" w:rsidRPr="001E7AA4" w:rsidRDefault="00267E5A" w:rsidP="00267E5A">
      <w:r w:rsidRPr="001E7AA4">
        <w:t xml:space="preserve">Broad approaches to writing off HELP debts, like debt forgiveness after a certain period, can be </w:t>
      </w:r>
      <w:r w:rsidR="006F6466" w:rsidRPr="001E7AA4">
        <w:t xml:space="preserve">very </w:t>
      </w:r>
      <w:r w:rsidRPr="001E7AA4">
        <w:t xml:space="preserve">expensive. The United Kingdom has such a system but has pushed out the point at which debts are forgiven multiple times due to the cost, reaching 40 years </w:t>
      </w:r>
      <w:r w:rsidR="00114387" w:rsidRPr="001E7AA4">
        <w:t>for new loans</w:t>
      </w:r>
      <w:r w:rsidRPr="001E7AA4">
        <w:t xml:space="preserve"> from August 2023. Expanded write offs would also limit options for other policy changes to HELP, as anything which increases repayment times would come at an even greater cost. This would constrain the capacity for more precise affordability measures.</w:t>
      </w:r>
    </w:p>
    <w:p w14:paraId="747F44D5" w14:textId="7C4135FE" w:rsidR="00267E5A" w:rsidRPr="001E7AA4" w:rsidRDefault="00267E5A" w:rsidP="00267E5A">
      <w:r w:rsidRPr="001E7AA4">
        <w:t xml:space="preserve">Governments </w:t>
      </w:r>
      <w:r w:rsidR="7AA2F0BA" w:rsidRPr="001E7AA4">
        <w:t>c</w:t>
      </w:r>
      <w:r w:rsidRPr="001E7AA4">
        <w:t xml:space="preserve">ould focus on targeted approaches to debt write offs, for debtors who work in industries and/or regions facing shortages. For example, the Australian Government is already reducing the HELP debts of doctors and nurse practitioners in rural and remote areas. Such programs may be better handled by </w:t>
      </w:r>
      <w:r w:rsidR="541C4C82" w:rsidRPr="001E7AA4">
        <w:t>jurisdictions</w:t>
      </w:r>
      <w:r w:rsidRPr="001E7AA4">
        <w:t xml:space="preserve"> for occupations like nursing and teaching, as the primary employer</w:t>
      </w:r>
      <w:r w:rsidR="006F6466" w:rsidRPr="001E7AA4">
        <w:t>s</w:t>
      </w:r>
      <w:r w:rsidRPr="001E7AA4">
        <w:t xml:space="preserve"> of these debtors. Issues with employment in these occupations are not purely from a lack of qualified people</w:t>
      </w:r>
      <w:r w:rsidR="004D65DF" w:rsidRPr="001E7AA4">
        <w:t>.</w:t>
      </w:r>
      <w:r w:rsidRPr="001E7AA4">
        <w:t xml:space="preserve"> The shortages are </w:t>
      </w:r>
      <w:r w:rsidR="00D65B38" w:rsidRPr="001E7AA4">
        <w:t xml:space="preserve">also </w:t>
      </w:r>
      <w:r w:rsidRPr="001E7AA4">
        <w:t xml:space="preserve">driven by poor retention within the occupation, so the incentive </w:t>
      </w:r>
      <w:r w:rsidR="4B698F85" w:rsidRPr="001E7AA4">
        <w:t>c</w:t>
      </w:r>
      <w:r w:rsidRPr="001E7AA4">
        <w:t>ould be tied to continuous employment.</w:t>
      </w:r>
    </w:p>
    <w:p w14:paraId="518090AB" w14:textId="77777777" w:rsidR="00267E5A" w:rsidRPr="002D7F91" w:rsidRDefault="00267E5A" w:rsidP="00E40AED">
      <w:pPr>
        <w:pStyle w:val="Heading7"/>
        <w:rPr>
          <w:color w:val="757679"/>
        </w:rPr>
      </w:pPr>
      <w:r w:rsidRPr="002D7F91">
        <w:rPr>
          <w:color w:val="757679"/>
        </w:rPr>
        <w:t>3.3.5.2.4 HELP debts and home lending</w:t>
      </w:r>
    </w:p>
    <w:p w14:paraId="451905B0" w14:textId="5BD24099" w:rsidR="00E138FE" w:rsidRPr="001E7AA4" w:rsidRDefault="0714A47B" w:rsidP="00D90653">
      <w:pPr>
        <w:spacing w:line="257" w:lineRule="auto"/>
        <w:rPr>
          <w:rFonts w:ascii="Calibri" w:eastAsia="Calibri" w:hAnsi="Calibri" w:cs="Calibri"/>
        </w:rPr>
      </w:pPr>
      <w:r w:rsidRPr="001E7AA4">
        <w:rPr>
          <w:rFonts w:ascii="Calibri" w:eastAsia="Calibri" w:hAnsi="Calibri" w:cs="Calibri"/>
        </w:rPr>
        <w:t>The Review is aware of concerns that large HELP debts may impact graduates</w:t>
      </w:r>
      <w:r w:rsidR="000340AB" w:rsidRPr="001E7AA4">
        <w:rPr>
          <w:rFonts w:ascii="Calibri" w:eastAsia="Calibri" w:hAnsi="Calibri" w:cs="Calibri"/>
        </w:rPr>
        <w:t>’</w:t>
      </w:r>
      <w:r w:rsidRPr="001E7AA4">
        <w:rPr>
          <w:rFonts w:ascii="Calibri" w:eastAsia="Calibri" w:hAnsi="Calibri" w:cs="Calibri"/>
        </w:rPr>
        <w:t xml:space="preserve"> ability to enter the property market. Discussions with the Australian Prudential Regulation Authority confirm the issue of housing affordability is complex. </w:t>
      </w:r>
    </w:p>
    <w:p w14:paraId="15878D5D" w14:textId="3A77ECFD" w:rsidR="0714A47B" w:rsidRPr="001E7AA4" w:rsidRDefault="0714A47B" w:rsidP="00D90653">
      <w:pPr>
        <w:spacing w:line="257" w:lineRule="auto"/>
        <w:rPr>
          <w:rFonts w:ascii="Calibri" w:eastAsia="Calibri" w:hAnsi="Calibri" w:cs="Calibri"/>
        </w:rPr>
      </w:pPr>
      <w:r w:rsidRPr="001E7AA4">
        <w:rPr>
          <w:rFonts w:ascii="Calibri" w:eastAsia="Calibri" w:hAnsi="Calibri" w:cs="Calibri"/>
        </w:rPr>
        <w:t xml:space="preserve">It involves the intersection of a range of factors, such as supply issues, prices and rising interest costs and individual bank policies and practices. Nevertheless, large HELP debts that take longer to repay debts can impact debt servicing capacity for longer. This issue will be examined in the next phase. </w:t>
      </w:r>
    </w:p>
    <w:p w14:paraId="4290FAA0" w14:textId="4A61E380" w:rsidR="00ED4B8E" w:rsidRPr="002D7F91" w:rsidRDefault="00ED4B8E" w:rsidP="00E40AED">
      <w:pPr>
        <w:pStyle w:val="Heading7"/>
        <w:rPr>
          <w:color w:val="757679"/>
        </w:rPr>
      </w:pPr>
      <w:r w:rsidRPr="002D7F91">
        <w:rPr>
          <w:color w:val="757679"/>
        </w:rPr>
        <w:t>3.3.5.2.5 Loan fees on FEE-HELP loans</w:t>
      </w:r>
    </w:p>
    <w:p w14:paraId="6CEB48BB" w14:textId="0C0CF9D1" w:rsidR="00734123" w:rsidRDefault="00ED4B8E" w:rsidP="00ED4B8E">
      <w:r w:rsidRPr="001E7AA4">
        <w:t>Since 2005 students studying in full fee-paying places</w:t>
      </w:r>
      <w:r w:rsidR="00482B49" w:rsidRPr="001E7AA4">
        <w:t xml:space="preserve"> </w:t>
      </w:r>
      <w:r w:rsidRPr="001E7AA4">
        <w:t>have been eligible to receive support through a FEE-HELP loan. These loans currently attract a fee set at 20</w:t>
      </w:r>
      <w:r w:rsidR="001B2FB0" w:rsidRPr="001E7AA4">
        <w:t>%</w:t>
      </w:r>
      <w:r w:rsidRPr="001E7AA4">
        <w:t xml:space="preserve"> of the loan amount. HELP loans for </w:t>
      </w:r>
      <w:r w:rsidRPr="001E7AA4">
        <w:lastRenderedPageBreak/>
        <w:t>students in CSPs do not attract a</w:t>
      </w:r>
      <w:r w:rsidR="00045C0D" w:rsidRPr="001E7AA4">
        <w:t xml:space="preserve"> similar</w:t>
      </w:r>
      <w:r w:rsidRPr="001E7AA4">
        <w:t xml:space="preserve"> loan fee. </w:t>
      </w:r>
      <w:r w:rsidR="00322D43" w:rsidRPr="001E7AA4">
        <w:t>Some s</w:t>
      </w:r>
      <w:r w:rsidRPr="001E7AA4">
        <w:t>ubmissions to the Accord</w:t>
      </w:r>
      <w:r w:rsidR="00322D43" w:rsidRPr="001E7AA4">
        <w:t xml:space="preserve"> from independent providers</w:t>
      </w:r>
      <w:r w:rsidRPr="001E7AA4">
        <w:t xml:space="preserve"> have argued that the loan fee is </w:t>
      </w:r>
      <w:r w:rsidR="00322D43" w:rsidRPr="001E7AA4">
        <w:t>inequitable</w:t>
      </w:r>
      <w:r w:rsidRPr="001E7AA4">
        <w:t xml:space="preserve"> and have advocated for it to be removed from FEE-HELP loans (as well as from VET student loans).</w:t>
      </w:r>
    </w:p>
    <w:p w14:paraId="51FEB248" w14:textId="12C71663" w:rsidR="00F63771" w:rsidRPr="001E7AA4" w:rsidRDefault="00C02605" w:rsidP="00FC48E8">
      <w:pPr>
        <w:pStyle w:val="Quote"/>
      </w:pPr>
      <w:r w:rsidRPr="001E7AA4">
        <w:t>“</w:t>
      </w:r>
      <w:r w:rsidR="00F63771" w:rsidRPr="001E7AA4">
        <w:t>It is a great farce of Australia’s tertiary education system that a student accessing either a FEE-HELP Loan for undergraduate study, or a VET Student Loan in an unsubsidised place, will be required to pay a student loan tax on top of the amount that they borrow for study. This tax is discriminatory, levied largely on the basis of the student’s choice of provider and has no relationship to likelihood they will repay the loan.</w:t>
      </w:r>
      <w:r w:rsidR="0011277C" w:rsidRPr="001E7AA4">
        <w:t>”</w:t>
      </w:r>
      <w:r w:rsidR="00F63771" w:rsidRPr="001E7AA4">
        <w:t xml:space="preserve"> </w:t>
      </w:r>
      <w:r w:rsidR="00B820DA">
        <w:br/>
      </w:r>
      <w:r w:rsidR="0011277C" w:rsidRPr="001E7AA4">
        <w:t>–</w:t>
      </w:r>
      <w:r w:rsidR="00F63771" w:rsidRPr="001E7AA4">
        <w:t xml:space="preserve"> </w:t>
      </w:r>
      <w:r w:rsidR="00F13D6D" w:rsidRPr="001E7AA4">
        <w:t>Independent Tertiary Education Council Australia</w:t>
      </w:r>
    </w:p>
    <w:p w14:paraId="27BEBBD9" w14:textId="27C166C7" w:rsidR="00F63771" w:rsidRPr="001E7AA4" w:rsidRDefault="00F63771" w:rsidP="00ED4B8E">
      <w:r w:rsidRPr="001E7AA4">
        <w:t xml:space="preserve">The loan fee increases the amount of HELP a student </w:t>
      </w:r>
      <w:r w:rsidR="00875938" w:rsidRPr="001E7AA4">
        <w:t>must</w:t>
      </w:r>
      <w:r w:rsidRPr="001E7AA4">
        <w:t xml:space="preserve"> repay</w:t>
      </w:r>
      <w:r w:rsidR="00F13D6D" w:rsidRPr="001E7AA4">
        <w:t>,</w:t>
      </w:r>
      <w:r w:rsidR="006B52F9" w:rsidRPr="001E7AA4">
        <w:t xml:space="preserve"> and will therefore extend the amount of time a student takes to repay this debt</w:t>
      </w:r>
      <w:r w:rsidRPr="001E7AA4">
        <w:t xml:space="preserve"> after finishing their course. </w:t>
      </w:r>
      <w:r w:rsidR="006B52F9" w:rsidRPr="001E7AA4">
        <w:t>This can have an adverse impact particularly on those who require longer periods to repay their debts, including women working part time.</w:t>
      </w:r>
    </w:p>
    <w:p w14:paraId="4EEB9D32" w14:textId="4F1E60F7" w:rsidR="00ED4B8E" w:rsidRPr="001E7AA4" w:rsidRDefault="00ED4B8E" w:rsidP="00ED4B8E">
      <w:r w:rsidRPr="001E7AA4">
        <w:t xml:space="preserve">The </w:t>
      </w:r>
      <w:r w:rsidR="00C27641" w:rsidRPr="001E7AA4">
        <w:t>Review</w:t>
      </w:r>
      <w:r w:rsidRPr="001E7AA4">
        <w:t xml:space="preserve"> will consider the rationale and continuing suitability of loan fees for FEE-HELP loans ahead of the final report.</w:t>
      </w:r>
    </w:p>
    <w:p w14:paraId="5DD96929" w14:textId="5C84606F" w:rsidR="00267E5A" w:rsidRPr="001E7AA4" w:rsidRDefault="00045EB9" w:rsidP="00B65F5B">
      <w:pPr>
        <w:pStyle w:val="Heading5"/>
        <w:rPr>
          <w:color w:val="008599"/>
        </w:rPr>
      </w:pPr>
      <w:bookmarkStart w:id="441" w:name="_Toc139028934"/>
      <w:r w:rsidRPr="001E7AA4">
        <w:t>Considerations for change</w:t>
      </w:r>
      <w:bookmarkEnd w:id="441"/>
    </w:p>
    <w:p w14:paraId="4AF36211" w14:textId="703F8311" w:rsidR="00267E5A" w:rsidRPr="001E7AA4" w:rsidRDefault="00267E5A" w:rsidP="008D2AE2">
      <w:pPr>
        <w:spacing w:after="160" w:line="240" w:lineRule="auto"/>
      </w:pPr>
      <w:r w:rsidRPr="001E7AA4">
        <w:t xml:space="preserve">To ensure an enduring and sustainable funding model for higher education, </w:t>
      </w:r>
      <w:r w:rsidR="00EB663A" w:rsidRPr="001E7AA4">
        <w:t xml:space="preserve">the Review will continue to give consideration </w:t>
      </w:r>
      <w:r w:rsidRPr="001E7AA4">
        <w:t>to</w:t>
      </w:r>
      <w:r w:rsidR="008F7283" w:rsidRPr="001E7AA4">
        <w:t xml:space="preserve"> the following policy areas</w:t>
      </w:r>
      <w:r w:rsidRPr="001E7AA4">
        <w:t>:</w:t>
      </w:r>
    </w:p>
    <w:p w14:paraId="69AEDD84" w14:textId="77777777" w:rsidR="00027F86" w:rsidRPr="001E7AA4" w:rsidRDefault="00027F86" w:rsidP="00A025B1">
      <w:pPr>
        <w:pStyle w:val="ListParagraph"/>
        <w:numPr>
          <w:ilvl w:val="0"/>
          <w:numId w:val="6"/>
        </w:numPr>
        <w:spacing w:after="0" w:line="240" w:lineRule="auto"/>
      </w:pPr>
      <w:r w:rsidRPr="001E7AA4">
        <w:t>establishing a framework of strong values and clear principles for public and private investment that underpins the higher education funding system</w:t>
      </w:r>
    </w:p>
    <w:p w14:paraId="7474F2A8" w14:textId="77777777" w:rsidR="00027F86" w:rsidRPr="001E7AA4" w:rsidRDefault="00027F86" w:rsidP="00A025B1">
      <w:pPr>
        <w:pStyle w:val="ListParagraph"/>
        <w:numPr>
          <w:ilvl w:val="0"/>
          <w:numId w:val="6"/>
        </w:numPr>
        <w:spacing w:after="0" w:line="240" w:lineRule="auto"/>
      </w:pPr>
      <w:r w:rsidRPr="001E7AA4">
        <w:t>how best to design a funding model which provides longer-term stability, that is dynamic in responding to changes in student mix and demand, and that protects against rapid shifts in funding that are beyond the capacity of institutions to adapt</w:t>
      </w:r>
    </w:p>
    <w:p w14:paraId="458E11D7" w14:textId="77777777" w:rsidR="00027F86" w:rsidRPr="001E7AA4" w:rsidRDefault="00027F86" w:rsidP="00A025B1">
      <w:pPr>
        <w:pStyle w:val="ListParagraph"/>
        <w:numPr>
          <w:ilvl w:val="0"/>
          <w:numId w:val="6"/>
        </w:numPr>
        <w:spacing w:after="0" w:line="240" w:lineRule="auto"/>
      </w:pPr>
      <w:r w:rsidRPr="001E7AA4">
        <w:t>how to establish a new funding model for higher education, that:</w:t>
      </w:r>
    </w:p>
    <w:p w14:paraId="764F33DA" w14:textId="77777777" w:rsidR="00027F86" w:rsidRPr="001E7AA4" w:rsidRDefault="00027F86" w:rsidP="00A025B1">
      <w:pPr>
        <w:pStyle w:val="ListParagraph"/>
        <w:numPr>
          <w:ilvl w:val="1"/>
          <w:numId w:val="6"/>
        </w:numPr>
        <w:spacing w:after="0" w:line="240" w:lineRule="auto"/>
      </w:pPr>
      <w:r w:rsidRPr="001E7AA4">
        <w:t>is student-centred, needs-based, ensuring the funding available is sufficient to provide access to high-quality higher education for students from equity backgrounds and from different locations</w:t>
      </w:r>
    </w:p>
    <w:p w14:paraId="57852EBA" w14:textId="5AC74A80" w:rsidR="00027F86" w:rsidRPr="001E7AA4" w:rsidRDefault="00F803A3" w:rsidP="00A025B1">
      <w:pPr>
        <w:pStyle w:val="ListParagraph"/>
        <w:numPr>
          <w:ilvl w:val="1"/>
          <w:numId w:val="6"/>
        </w:numPr>
        <w:spacing w:after="0" w:line="240" w:lineRule="auto"/>
      </w:pPr>
      <w:r w:rsidRPr="001E7AA4">
        <w:t xml:space="preserve">helps </w:t>
      </w:r>
      <w:r w:rsidR="00D02422" w:rsidRPr="001E7AA4">
        <w:t>achieve</w:t>
      </w:r>
      <w:r w:rsidR="00027F86" w:rsidRPr="001E7AA4">
        <w:t xml:space="preserve"> attainment and equity targets, and recognise</w:t>
      </w:r>
      <w:r w:rsidR="003420C6" w:rsidRPr="001E7AA4">
        <w:t>s</w:t>
      </w:r>
      <w:r w:rsidR="00027F86" w:rsidRPr="001E7AA4">
        <w:t xml:space="preserve"> the different costs of delivery in regional Australia</w:t>
      </w:r>
    </w:p>
    <w:p w14:paraId="2B5E6B37" w14:textId="289AA6E8" w:rsidR="00027F86" w:rsidRPr="001E7AA4" w:rsidRDefault="00DA4CE2" w:rsidP="00A025B1">
      <w:pPr>
        <w:pStyle w:val="ListParagraph"/>
        <w:numPr>
          <w:ilvl w:val="1"/>
          <w:numId w:val="6"/>
        </w:numPr>
        <w:spacing w:after="0" w:line="240" w:lineRule="auto"/>
      </w:pPr>
      <w:r w:rsidRPr="001E7AA4">
        <w:t>strengthens</w:t>
      </w:r>
      <w:r w:rsidR="00027F86" w:rsidRPr="001E7AA4">
        <w:t xml:space="preserve"> Australia’s higher education research capacity</w:t>
      </w:r>
    </w:p>
    <w:p w14:paraId="6043E80F" w14:textId="77777777" w:rsidR="00027F86" w:rsidRPr="001E7AA4" w:rsidRDefault="00027F86" w:rsidP="00A025B1">
      <w:pPr>
        <w:pStyle w:val="ListParagraph"/>
        <w:numPr>
          <w:ilvl w:val="0"/>
          <w:numId w:val="6"/>
        </w:numPr>
        <w:spacing w:after="0" w:line="240" w:lineRule="auto"/>
      </w:pPr>
      <w:r w:rsidRPr="001E7AA4">
        <w:t>developing a stronger understanding of the true costs of the core activities in higher education, increasing transparency and improving pricing, quality, performance and efficiency</w:t>
      </w:r>
    </w:p>
    <w:p w14:paraId="282A6171" w14:textId="38A6E38C" w:rsidR="00027F86" w:rsidRPr="001E7AA4" w:rsidRDefault="00027F86" w:rsidP="00A025B1">
      <w:pPr>
        <w:pStyle w:val="ListParagraph"/>
        <w:numPr>
          <w:ilvl w:val="0"/>
          <w:numId w:val="6"/>
        </w:numPr>
        <w:spacing w:after="0" w:line="240" w:lineRule="auto"/>
      </w:pPr>
      <w:r w:rsidRPr="001E7AA4">
        <w:t>ensuring</w:t>
      </w:r>
      <w:r w:rsidR="003420C6" w:rsidRPr="001E7AA4">
        <w:t xml:space="preserve"> the</w:t>
      </w:r>
      <w:r w:rsidRPr="001E7AA4">
        <w:t xml:space="preserve"> ongoing affordability of higher education for students, including adjusting student contributions </w:t>
      </w:r>
      <w:r w:rsidR="00002E7B">
        <w:t>instituted</w:t>
      </w:r>
      <w:r w:rsidRPr="001E7AA4">
        <w:t xml:space="preserve"> by the JRG package</w:t>
      </w:r>
    </w:p>
    <w:p w14:paraId="7CE8E54B" w14:textId="251F9A08" w:rsidR="00027F86" w:rsidRPr="001E7AA4" w:rsidRDefault="00027F86" w:rsidP="00A025B1">
      <w:pPr>
        <w:pStyle w:val="ListParagraph"/>
        <w:numPr>
          <w:ilvl w:val="0"/>
          <w:numId w:val="6"/>
        </w:numPr>
        <w:spacing w:after="0" w:line="240" w:lineRule="auto"/>
      </w:pPr>
      <w:r w:rsidRPr="001E7AA4">
        <w:t>examining changes to HELP</w:t>
      </w:r>
      <w:r w:rsidR="003420C6" w:rsidRPr="001E7AA4">
        <w:t xml:space="preserve"> to</w:t>
      </w:r>
      <w:r w:rsidRPr="001E7AA4">
        <w:t xml:space="preserve"> </w:t>
      </w:r>
      <w:r w:rsidR="003420C6" w:rsidRPr="001E7AA4">
        <w:t>make it fairer</w:t>
      </w:r>
      <w:r w:rsidRPr="001E7AA4">
        <w:t xml:space="preserve"> and support growth in participation </w:t>
      </w:r>
    </w:p>
    <w:p w14:paraId="0DB165C3" w14:textId="77777777" w:rsidR="00027F86" w:rsidRPr="001E7AA4" w:rsidRDefault="00027F86" w:rsidP="00A025B1">
      <w:pPr>
        <w:pStyle w:val="ListParagraph"/>
        <w:numPr>
          <w:ilvl w:val="0"/>
          <w:numId w:val="6"/>
        </w:numPr>
        <w:spacing w:after="0" w:line="240" w:lineRule="auto"/>
      </w:pPr>
      <w:r w:rsidRPr="001E7AA4">
        <w:t>ways to support and maintain critical teaching and research infrastructure</w:t>
      </w:r>
    </w:p>
    <w:p w14:paraId="69999286" w14:textId="64B377BC" w:rsidR="00027F86" w:rsidRPr="001E7AA4" w:rsidRDefault="00027F86" w:rsidP="00A025B1">
      <w:pPr>
        <w:pStyle w:val="ListParagraph"/>
        <w:numPr>
          <w:ilvl w:val="0"/>
          <w:numId w:val="6"/>
        </w:numPr>
        <w:spacing w:after="0" w:line="240" w:lineRule="auto"/>
      </w:pPr>
      <w:r w:rsidRPr="001E7AA4">
        <w:t>reducing the extent to which core higher education functions rely on funding from insecure income streams, and decreasing the extent of cross-subsidisation throughout the system</w:t>
      </w:r>
    </w:p>
    <w:p w14:paraId="05ECDB28" w14:textId="3F348E8E" w:rsidR="00734123" w:rsidRDefault="00027F86" w:rsidP="00A025B1">
      <w:pPr>
        <w:pStyle w:val="ListParagraph"/>
        <w:numPr>
          <w:ilvl w:val="0"/>
          <w:numId w:val="6"/>
        </w:numPr>
        <w:spacing w:after="0" w:line="240" w:lineRule="auto"/>
      </w:pPr>
      <w:r w:rsidRPr="001E7AA4">
        <w:t xml:space="preserve">examining a funding mechanism such as a levy </w:t>
      </w:r>
      <w:r w:rsidR="00014EB8" w:rsidRPr="001E7AA4">
        <w:t>on</w:t>
      </w:r>
      <w:r w:rsidRPr="001E7AA4">
        <w:t xml:space="preserve"> international student</w:t>
      </w:r>
      <w:r w:rsidR="00BA160B" w:rsidRPr="001E7AA4">
        <w:t xml:space="preserve"> fee</w:t>
      </w:r>
      <w:r w:rsidRPr="001E7AA4">
        <w:t xml:space="preserve"> income. Such mechanisms could provide insurance against future economic, policy or other shocks, or fund sector priorities such as infrastructure and research. </w:t>
      </w:r>
    </w:p>
    <w:p w14:paraId="5E4DACB5" w14:textId="77777777" w:rsidR="00734123" w:rsidRDefault="00734123">
      <w:pPr>
        <w:spacing w:after="160"/>
      </w:pPr>
      <w:r>
        <w:br w:type="page"/>
      </w:r>
    </w:p>
    <w:p w14:paraId="44C74989" w14:textId="77777777" w:rsidR="004335D7" w:rsidRPr="00734123" w:rsidRDefault="004335D7" w:rsidP="00734123">
      <w:pPr>
        <w:pStyle w:val="BlueShadedBox-Body"/>
        <w:rPr>
          <w:rStyle w:val="Strong"/>
        </w:rPr>
      </w:pPr>
      <w:r w:rsidRPr="00734123">
        <w:rPr>
          <w:rStyle w:val="Strong"/>
        </w:rPr>
        <w:lastRenderedPageBreak/>
        <w:t xml:space="preserve">Potential proposals the Review may also consider for the Final Report, and that reflect the broad themes outlined above, include: </w:t>
      </w:r>
    </w:p>
    <w:p w14:paraId="2C5CF299" w14:textId="77777777" w:rsidR="004335D7" w:rsidRDefault="004335D7" w:rsidP="006D7095">
      <w:pPr>
        <w:pStyle w:val="BlueShadedBox-Body"/>
        <w:spacing w:after="120"/>
      </w:pPr>
      <w:r w:rsidRPr="004335D7">
        <w:t>A new funding model that considers:</w:t>
      </w:r>
    </w:p>
    <w:p w14:paraId="04D3ABA8" w14:textId="77777777" w:rsidR="004335D7" w:rsidRPr="004335D7" w:rsidRDefault="004335D7" w:rsidP="00A025B1">
      <w:pPr>
        <w:pStyle w:val="BlueShadedBox-ListLetterstest"/>
        <w:numPr>
          <w:ilvl w:val="0"/>
          <w:numId w:val="45"/>
        </w:numPr>
        <w:ind w:left="570"/>
      </w:pPr>
      <w:r w:rsidRPr="004335D7">
        <w:t>a universal learning entitlement, so that if a student is qualified for admission to a course in higher education, they will receive Government support</w:t>
      </w:r>
    </w:p>
    <w:p w14:paraId="476CF7DD" w14:textId="77777777" w:rsidR="004335D7" w:rsidRPr="004335D7" w:rsidRDefault="004335D7" w:rsidP="00A025B1">
      <w:pPr>
        <w:pStyle w:val="BlueShadedBox-ListLetterstest"/>
        <w:numPr>
          <w:ilvl w:val="0"/>
          <w:numId w:val="45"/>
        </w:numPr>
        <w:ind w:left="570"/>
      </w:pPr>
      <w:r w:rsidRPr="004335D7">
        <w:t>additional mission-based loadings reflecting location and student demographics</w:t>
      </w:r>
    </w:p>
    <w:p w14:paraId="3A6DBD17" w14:textId="77777777" w:rsidR="004335D7" w:rsidRPr="004335D7" w:rsidRDefault="004335D7" w:rsidP="00A025B1">
      <w:pPr>
        <w:pStyle w:val="BlueShadedBox-ListLetterstest"/>
        <w:numPr>
          <w:ilvl w:val="0"/>
          <w:numId w:val="45"/>
        </w:numPr>
        <w:ind w:left="570"/>
      </w:pPr>
      <w:r w:rsidRPr="004335D7">
        <w:t>discipline mix that meets Australia’s skills needs both nationally, regionally and locally</w:t>
      </w:r>
    </w:p>
    <w:p w14:paraId="1EFBF319" w14:textId="77777777" w:rsidR="004335D7" w:rsidRDefault="004335D7" w:rsidP="00A025B1">
      <w:pPr>
        <w:pStyle w:val="BlueShadedBox-ListLetterstest"/>
        <w:numPr>
          <w:ilvl w:val="0"/>
          <w:numId w:val="45"/>
        </w:numPr>
        <w:ind w:left="570"/>
      </w:pPr>
      <w:r w:rsidRPr="004335D7">
        <w:t>providing certainty and stability to institutions of funding over a longer period.</w:t>
      </w:r>
    </w:p>
    <w:p w14:paraId="42A9D475" w14:textId="77777777" w:rsidR="004335D7" w:rsidRDefault="004335D7" w:rsidP="006D7095">
      <w:pPr>
        <w:pStyle w:val="BlueShadedBox-Body"/>
        <w:spacing w:after="120"/>
      </w:pPr>
      <w:r w:rsidRPr="004335D7">
        <w:t>Improving the transparency of institutional spending and the cost of teaching and research:</w:t>
      </w:r>
    </w:p>
    <w:p w14:paraId="08486632" w14:textId="77777777" w:rsidR="004335D7" w:rsidRPr="004335D7" w:rsidRDefault="004335D7" w:rsidP="00A025B1">
      <w:pPr>
        <w:pStyle w:val="BlueShadedBox-ListLetterstest"/>
        <w:numPr>
          <w:ilvl w:val="0"/>
          <w:numId w:val="46"/>
        </w:numPr>
        <w:ind w:left="570"/>
      </w:pPr>
      <w:r w:rsidRPr="004335D7">
        <w:t>exploring new and regular approaches to activity-based costing and pricing to provide transparent and independent advice in relation to funding and expenditure</w:t>
      </w:r>
    </w:p>
    <w:p w14:paraId="5C854FE6" w14:textId="77777777" w:rsidR="004335D7" w:rsidRDefault="004335D7" w:rsidP="00A025B1">
      <w:pPr>
        <w:pStyle w:val="BlueShadedBox-ListLetterstest"/>
        <w:numPr>
          <w:ilvl w:val="0"/>
          <w:numId w:val="46"/>
        </w:numPr>
        <w:ind w:left="570"/>
      </w:pPr>
      <w:r w:rsidRPr="004335D7">
        <w:t xml:space="preserve">regularly revise pricing to reflect changes in teaching and research costs and delivery and promote efficiency and quality outcomes. </w:t>
      </w:r>
    </w:p>
    <w:p w14:paraId="01570C31" w14:textId="77777777" w:rsidR="004335D7" w:rsidRDefault="004335D7" w:rsidP="006D7095">
      <w:pPr>
        <w:pStyle w:val="BlueShadedBox-Body"/>
        <w:spacing w:after="120"/>
      </w:pPr>
      <w:r w:rsidRPr="004335D7">
        <w:t xml:space="preserve">Changes to ensure affordability for students:  </w:t>
      </w:r>
    </w:p>
    <w:p w14:paraId="037B5AEB" w14:textId="77777777" w:rsidR="004335D7" w:rsidRPr="004335D7" w:rsidRDefault="004335D7" w:rsidP="00A025B1">
      <w:pPr>
        <w:pStyle w:val="BlueShadedBox-ListLetterstest"/>
        <w:numPr>
          <w:ilvl w:val="0"/>
          <w:numId w:val="47"/>
        </w:numPr>
        <w:ind w:left="570"/>
      </w:pPr>
      <w:r w:rsidRPr="004335D7">
        <w:t xml:space="preserve">student contributions at different levels, noting certain courses lead to higher potential earnings. </w:t>
      </w:r>
    </w:p>
    <w:p w14:paraId="65B79F8F" w14:textId="2E5B95CE" w:rsidR="004335D7" w:rsidRPr="004335D7" w:rsidRDefault="004335D7" w:rsidP="00A025B1">
      <w:pPr>
        <w:pStyle w:val="BlueShadedBox-ListLetterstest"/>
        <w:numPr>
          <w:ilvl w:val="0"/>
          <w:numId w:val="47"/>
        </w:numPr>
        <w:ind w:left="570"/>
      </w:pPr>
      <w:r w:rsidRPr="004335D7">
        <w:t>HELP arrangements, including moving to a marginal repayment rate and changes to indexation.</w:t>
      </w:r>
    </w:p>
    <w:p w14:paraId="71038EEE" w14:textId="77777777" w:rsidR="00267E5A" w:rsidRPr="001E7AA4" w:rsidRDefault="00267E5A">
      <w:pPr>
        <w:spacing w:after="160"/>
        <w:rPr>
          <w:color w:val="4472C4"/>
        </w:rPr>
      </w:pPr>
      <w:r w:rsidRPr="001E7AA4">
        <w:rPr>
          <w:color w:val="4472C4"/>
        </w:rPr>
        <w:br w:type="page"/>
      </w:r>
    </w:p>
    <w:p w14:paraId="13807E35" w14:textId="24FB740B" w:rsidR="00B3755E" w:rsidRPr="001E7AA4" w:rsidRDefault="67108A97" w:rsidP="00734123">
      <w:pPr>
        <w:pStyle w:val="Heading3"/>
        <w:spacing w:after="360"/>
      </w:pPr>
      <w:bookmarkStart w:id="442" w:name="_Toc137829603"/>
      <w:bookmarkStart w:id="443" w:name="_Toc1917572402"/>
      <w:bookmarkStart w:id="444" w:name="_Toc139028935"/>
      <w:r w:rsidRPr="001E7AA4">
        <w:lastRenderedPageBreak/>
        <w:t>Chapter 4</w:t>
      </w:r>
      <w:r w:rsidR="004E32B3">
        <w:t xml:space="preserve"> –</w:t>
      </w:r>
      <w:r w:rsidRPr="001E7AA4">
        <w:t xml:space="preserve"> </w:t>
      </w:r>
      <w:r w:rsidRPr="00A025B1">
        <w:rPr>
          <w:b w:val="0"/>
          <w:bCs/>
        </w:rPr>
        <w:t>Building an Accord</w:t>
      </w:r>
      <w:bookmarkEnd w:id="442"/>
      <w:bookmarkEnd w:id="443"/>
      <w:bookmarkEnd w:id="444"/>
      <w:r w:rsidRPr="001E7AA4">
        <w:t xml:space="preserve"> </w:t>
      </w:r>
    </w:p>
    <w:p w14:paraId="33535DCD" w14:textId="3B8719BE" w:rsidR="00B3755E" w:rsidRPr="002F7951" w:rsidRDefault="00B3755E" w:rsidP="002F7951">
      <w:pPr>
        <w:pStyle w:val="Quote"/>
      </w:pPr>
      <w:r w:rsidRPr="002F7951">
        <w:t xml:space="preserve">“The Accord should establish a framework and mechanisms for long-term cooperation and collaboration between the Australian Government, the higher education sector, industry, and related stakeholders that will positively shape post-school education in Australia for the next generation – not just a series of short-term policy initiatives.” </w:t>
      </w:r>
      <w:r w:rsidR="004E32B3">
        <w:br/>
      </w:r>
      <w:r w:rsidRPr="002F7951">
        <w:t>– University of New England  </w:t>
      </w:r>
    </w:p>
    <w:p w14:paraId="20425731" w14:textId="77777777" w:rsidR="00B3755E" w:rsidRPr="001E7AA4" w:rsidRDefault="67108A97" w:rsidP="00321345">
      <w:pPr>
        <w:pStyle w:val="Heading4-LookslikeHeading5"/>
      </w:pPr>
      <w:bookmarkStart w:id="445" w:name="_Toc137829604"/>
      <w:bookmarkStart w:id="446" w:name="_Toc344500221"/>
      <w:bookmarkStart w:id="447" w:name="_Toc139028936"/>
      <w:r w:rsidRPr="001E7AA4">
        <w:t>Issues</w:t>
      </w:r>
      <w:bookmarkEnd w:id="445"/>
      <w:bookmarkEnd w:id="446"/>
      <w:bookmarkEnd w:id="447"/>
    </w:p>
    <w:p w14:paraId="2C17C4D9" w14:textId="3415768D" w:rsidR="00B3755E" w:rsidRPr="001E7AA4" w:rsidRDefault="00B3755E" w:rsidP="002231BA">
      <w:pPr>
        <w:rPr>
          <w:rFonts w:ascii="Segoe UI" w:hAnsi="Segoe UI" w:cs="Segoe UI"/>
          <w:sz w:val="18"/>
          <w:szCs w:val="18"/>
        </w:rPr>
      </w:pPr>
      <w:r w:rsidRPr="001E7AA4">
        <w:rPr>
          <w:rStyle w:val="normaltextrun"/>
          <w:rFonts w:ascii="Calibri" w:hAnsi="Calibri" w:cs="Calibri"/>
        </w:rPr>
        <w:t>A renewed higher education system will</w:t>
      </w:r>
      <w:r w:rsidR="006F0F6B" w:rsidRPr="001E7AA4">
        <w:rPr>
          <w:rStyle w:val="normaltextrun"/>
          <w:rFonts w:ascii="Calibri" w:hAnsi="Calibri" w:cs="Calibri"/>
        </w:rPr>
        <w:t xml:space="preserve"> </w:t>
      </w:r>
      <w:r w:rsidRPr="001E7AA4">
        <w:rPr>
          <w:rStyle w:val="normaltextrun"/>
          <w:rFonts w:ascii="Calibri" w:hAnsi="Calibri" w:cs="Calibri"/>
        </w:rPr>
        <w:t xml:space="preserve">not be achieved by the actions of the Australian Government or the higher education sector alone. </w:t>
      </w:r>
      <w:r w:rsidRPr="001E7AA4">
        <w:rPr>
          <w:rStyle w:val="normaltextrun"/>
          <w:rFonts w:ascii="Calibri" w:hAnsi="Calibri" w:cs="Calibri"/>
          <w:color w:val="000000" w:themeColor="text1"/>
        </w:rPr>
        <w:t xml:space="preserve">It requires collective ambitions and collaboration among a wide range of participants across the system </w:t>
      </w:r>
      <w:r w:rsidRPr="001E7AA4">
        <w:rPr>
          <w:rStyle w:val="normaltextrun"/>
          <w:rFonts w:ascii="Calibri" w:hAnsi="Calibri" w:cs="Calibri"/>
        </w:rPr>
        <w:t>with sustained commitment over decades.  </w:t>
      </w:r>
      <w:r w:rsidRPr="001E7AA4">
        <w:rPr>
          <w:rStyle w:val="eop"/>
          <w:rFonts w:ascii="Calibri" w:hAnsi="Calibri" w:cs="Calibri"/>
        </w:rPr>
        <w:t> </w:t>
      </w:r>
    </w:p>
    <w:p w14:paraId="1233CB57" w14:textId="1CC5CAA8" w:rsidR="00B3755E" w:rsidRPr="001E7AA4" w:rsidRDefault="67795DBE" w:rsidP="20A847F6">
      <w:pPr>
        <w:rPr>
          <w:rStyle w:val="normaltextrun"/>
          <w:rFonts w:ascii="Segoe UI" w:hAnsi="Segoe UI" w:cs="Segoe UI"/>
          <w:sz w:val="18"/>
          <w:szCs w:val="18"/>
        </w:rPr>
      </w:pPr>
      <w:r w:rsidRPr="001E7AA4">
        <w:rPr>
          <w:rStyle w:val="normaltextrun"/>
          <w:rFonts w:ascii="Calibri" w:hAnsi="Calibri" w:cs="Calibri"/>
        </w:rPr>
        <w:t>The</w:t>
      </w:r>
      <w:r w:rsidR="00B3755E" w:rsidRPr="001E7AA4">
        <w:rPr>
          <w:rStyle w:val="normaltextrun"/>
          <w:rFonts w:ascii="Calibri" w:hAnsi="Calibri" w:cs="Calibri"/>
        </w:rPr>
        <w:t xml:space="preserve"> Commonwealth</w:t>
      </w:r>
      <w:r w:rsidR="00A1471E" w:rsidRPr="001E7AA4">
        <w:rPr>
          <w:rStyle w:val="normaltextrun"/>
          <w:rFonts w:ascii="Calibri" w:hAnsi="Calibri" w:cs="Calibri"/>
        </w:rPr>
        <w:t xml:space="preserve"> and</w:t>
      </w:r>
      <w:r w:rsidR="00B3755E" w:rsidRPr="001E7AA4">
        <w:rPr>
          <w:rStyle w:val="normaltextrun"/>
          <w:rFonts w:ascii="Calibri" w:hAnsi="Calibri" w:cs="Calibri"/>
        </w:rPr>
        <w:t xml:space="preserve"> </w:t>
      </w:r>
      <w:r w:rsidR="00044486" w:rsidRPr="001E7AA4">
        <w:rPr>
          <w:rStyle w:val="normaltextrun"/>
          <w:rFonts w:ascii="Calibri" w:hAnsi="Calibri" w:cs="Calibri"/>
        </w:rPr>
        <w:t>s</w:t>
      </w:r>
      <w:r w:rsidR="00B3755E" w:rsidRPr="001E7AA4">
        <w:rPr>
          <w:rStyle w:val="normaltextrun"/>
          <w:rFonts w:ascii="Calibri" w:hAnsi="Calibri" w:cs="Calibri"/>
        </w:rPr>
        <w:t xml:space="preserve">tate and </w:t>
      </w:r>
      <w:r w:rsidR="00044486" w:rsidRPr="001E7AA4">
        <w:rPr>
          <w:rStyle w:val="normaltextrun"/>
          <w:rFonts w:ascii="Calibri" w:hAnsi="Calibri" w:cs="Calibri"/>
        </w:rPr>
        <w:t>t</w:t>
      </w:r>
      <w:r w:rsidR="00B3755E" w:rsidRPr="001E7AA4">
        <w:rPr>
          <w:rStyle w:val="normaltextrun"/>
          <w:rFonts w:ascii="Calibri" w:hAnsi="Calibri" w:cs="Calibri"/>
        </w:rPr>
        <w:t xml:space="preserve">erritory </w:t>
      </w:r>
      <w:r w:rsidR="00044486" w:rsidRPr="001E7AA4">
        <w:rPr>
          <w:rStyle w:val="normaltextrun"/>
          <w:rFonts w:ascii="Calibri" w:hAnsi="Calibri" w:cs="Calibri"/>
        </w:rPr>
        <w:t>g</w:t>
      </w:r>
      <w:r w:rsidR="00B3755E" w:rsidRPr="001E7AA4">
        <w:rPr>
          <w:rStyle w:val="normaltextrun"/>
          <w:rFonts w:ascii="Calibri" w:hAnsi="Calibri" w:cs="Calibri"/>
        </w:rPr>
        <w:t xml:space="preserve">overnments must work together in partnership with the tertiary </w:t>
      </w:r>
      <w:r w:rsidR="00067987" w:rsidRPr="001E7AA4">
        <w:rPr>
          <w:rStyle w:val="normaltextrun"/>
          <w:rFonts w:ascii="Calibri" w:hAnsi="Calibri" w:cs="Calibri"/>
        </w:rPr>
        <w:t xml:space="preserve">education </w:t>
      </w:r>
      <w:r w:rsidR="00B3755E" w:rsidRPr="001E7AA4">
        <w:rPr>
          <w:rStyle w:val="normaltextrun"/>
          <w:rFonts w:ascii="Calibri" w:hAnsi="Calibri" w:cs="Calibri"/>
        </w:rPr>
        <w:t xml:space="preserve">sector, industry, unions and communities to develop and deliver this vision. </w:t>
      </w:r>
    </w:p>
    <w:p w14:paraId="5FB6785F" w14:textId="52F53F4F" w:rsidR="40F511B3" w:rsidRPr="001E7AA4" w:rsidRDefault="40F511B3">
      <w:pPr>
        <w:rPr>
          <w:rFonts w:ascii="Calibri" w:eastAsia="Calibri" w:hAnsi="Calibri" w:cs="Calibri"/>
        </w:rPr>
      </w:pPr>
      <w:r w:rsidRPr="001E7AA4">
        <w:rPr>
          <w:rFonts w:ascii="Calibri" w:eastAsia="Calibri" w:hAnsi="Calibri" w:cs="Calibri"/>
        </w:rPr>
        <w:t>The Review is considering how such an Accord could be operationalised as it prepares for its Final Report.</w:t>
      </w:r>
    </w:p>
    <w:p w14:paraId="4840DE36" w14:textId="77777777" w:rsidR="00B3755E" w:rsidRPr="001E7AA4" w:rsidRDefault="67108A97" w:rsidP="00B65F5B">
      <w:pPr>
        <w:pStyle w:val="Heading4"/>
        <w:rPr>
          <w:rStyle w:val="normaltextrun"/>
        </w:rPr>
      </w:pPr>
      <w:bookmarkStart w:id="448" w:name="_Toc135059078"/>
      <w:bookmarkStart w:id="449" w:name="_Toc135239550"/>
      <w:bookmarkStart w:id="450" w:name="_Toc137829605"/>
      <w:bookmarkStart w:id="451" w:name="_Toc1158033299"/>
      <w:bookmarkStart w:id="452" w:name="_Toc139028937"/>
      <w:r w:rsidRPr="001E7AA4">
        <w:t>4.1 Implementing an ambitious, enduring Accord</w:t>
      </w:r>
      <w:bookmarkEnd w:id="448"/>
      <w:bookmarkEnd w:id="449"/>
      <w:bookmarkEnd w:id="450"/>
      <w:bookmarkEnd w:id="451"/>
      <w:bookmarkEnd w:id="452"/>
    </w:p>
    <w:p w14:paraId="7B99AA8F" w14:textId="579BC7B0" w:rsidR="00B3755E" w:rsidRPr="001E7AA4" w:rsidRDefault="00B3755E" w:rsidP="002231BA">
      <w:pPr>
        <w:rPr>
          <w:rFonts w:ascii="Segoe UI" w:hAnsi="Segoe UI" w:cs="Segoe UI"/>
          <w:sz w:val="18"/>
          <w:szCs w:val="18"/>
        </w:rPr>
      </w:pPr>
      <w:r w:rsidRPr="001E7AA4">
        <w:rPr>
          <w:rStyle w:val="normaltextrun"/>
          <w:rFonts w:ascii="Calibri" w:hAnsi="Calibri" w:cs="Calibri"/>
        </w:rPr>
        <w:t xml:space="preserve">Consultations have reinforced to the Review the importance of </w:t>
      </w:r>
      <w:r w:rsidRPr="001E7AA4">
        <w:rPr>
          <w:rStyle w:val="normaltextrun"/>
          <w:rFonts w:ascii="Calibri" w:hAnsi="Calibri" w:cs="Calibri"/>
          <w:color w:val="000000" w:themeColor="text1"/>
        </w:rPr>
        <w:t xml:space="preserve">an Accord </w:t>
      </w:r>
      <w:r w:rsidRPr="001E7AA4">
        <w:rPr>
          <w:rStyle w:val="normaltextrun"/>
          <w:rFonts w:ascii="Calibri" w:hAnsi="Calibri" w:cs="Calibri"/>
        </w:rPr>
        <w:t xml:space="preserve">to drive genuine engagement and collaboration </w:t>
      </w:r>
      <w:r w:rsidR="00D2704A" w:rsidRPr="001E7AA4">
        <w:rPr>
          <w:rStyle w:val="normaltextrun"/>
          <w:rFonts w:ascii="Calibri" w:hAnsi="Calibri" w:cs="Calibri"/>
        </w:rPr>
        <w:t>to</w:t>
      </w:r>
      <w:r w:rsidRPr="001E7AA4">
        <w:rPr>
          <w:rStyle w:val="normaltextrun"/>
          <w:rFonts w:ascii="Calibri" w:hAnsi="Calibri" w:cs="Calibri"/>
        </w:rPr>
        <w:t xml:space="preserve"> prioritise and plan for the future. An Accord must be a dynamic partnership, providing a framework for shared stewardship of the higher education system, including all major stakeholders in the sector and Australian society: higher education providers, their students, staff and alumni; </w:t>
      </w:r>
      <w:r w:rsidR="00B4505D" w:rsidRPr="001E7AA4">
        <w:rPr>
          <w:rStyle w:val="normaltextrun"/>
          <w:rFonts w:ascii="Calibri" w:hAnsi="Calibri" w:cs="Calibri"/>
        </w:rPr>
        <w:t>s</w:t>
      </w:r>
      <w:r w:rsidRPr="001E7AA4">
        <w:rPr>
          <w:rStyle w:val="normaltextrun"/>
          <w:rFonts w:ascii="Calibri" w:hAnsi="Calibri" w:cs="Calibri"/>
        </w:rPr>
        <w:t xml:space="preserve">tate, </w:t>
      </w:r>
      <w:r w:rsidR="00B4505D" w:rsidRPr="001E7AA4">
        <w:rPr>
          <w:rStyle w:val="normaltextrun"/>
          <w:rFonts w:ascii="Calibri" w:hAnsi="Calibri" w:cs="Calibri"/>
        </w:rPr>
        <w:t>t</w:t>
      </w:r>
      <w:r w:rsidRPr="001E7AA4">
        <w:rPr>
          <w:rStyle w:val="normaltextrun"/>
          <w:rFonts w:ascii="Calibri" w:hAnsi="Calibri" w:cs="Calibri"/>
        </w:rPr>
        <w:t xml:space="preserve">erritory and </w:t>
      </w:r>
      <w:r w:rsidR="00B4505D" w:rsidRPr="001E7AA4">
        <w:rPr>
          <w:rStyle w:val="normaltextrun"/>
          <w:rFonts w:ascii="Calibri" w:hAnsi="Calibri" w:cs="Calibri"/>
        </w:rPr>
        <w:t xml:space="preserve">Australian </w:t>
      </w:r>
      <w:r w:rsidR="0972FBAB" w:rsidRPr="001E7AA4">
        <w:rPr>
          <w:rStyle w:val="normaltextrun"/>
          <w:rFonts w:ascii="Calibri" w:hAnsi="Calibri" w:cs="Calibri"/>
        </w:rPr>
        <w:t>G</w:t>
      </w:r>
      <w:r w:rsidRPr="001E7AA4">
        <w:rPr>
          <w:rStyle w:val="normaltextrun"/>
          <w:rFonts w:ascii="Calibri" w:hAnsi="Calibri" w:cs="Calibri"/>
        </w:rPr>
        <w:t>overnments; businesses; unions; and community organisations. Such a mechanism would focus on practical action, by establishing appropriate structures of dialogue and discussion among key stakeholders, identifying shared conclusions and priorities for action, and providing advice or advocacy to key policy processes.  </w:t>
      </w:r>
      <w:r w:rsidRPr="001E7AA4">
        <w:rPr>
          <w:rStyle w:val="eop"/>
          <w:rFonts w:ascii="Calibri" w:hAnsi="Calibri" w:cs="Calibri"/>
        </w:rPr>
        <w:t> </w:t>
      </w:r>
    </w:p>
    <w:p w14:paraId="67AC52EE" w14:textId="0E48A047" w:rsidR="00B3755E" w:rsidRPr="001E7AA4" w:rsidRDefault="006C4F00" w:rsidP="00B3755E">
      <w:r w:rsidRPr="001E7AA4">
        <w:t xml:space="preserve">Within the broader ambition for an enduring </w:t>
      </w:r>
      <w:r w:rsidR="48CD2261" w:rsidRPr="001E7AA4">
        <w:t>A</w:t>
      </w:r>
      <w:r w:rsidRPr="001E7AA4">
        <w:t xml:space="preserve">ccord, there is a need for close partnership on critical reforms. Skills, qualifications and the implementation of AQF reforms could have a significant impact on some industries and need to be implemented through arrangements with industry, unions and </w:t>
      </w:r>
      <w:r w:rsidR="006F0F6B" w:rsidRPr="001E7AA4">
        <w:t>g</w:t>
      </w:r>
      <w:r w:rsidRPr="001E7AA4">
        <w:t xml:space="preserve">overnment. </w:t>
      </w:r>
    </w:p>
    <w:p w14:paraId="045CB1D0" w14:textId="7FA069B7" w:rsidR="00734123" w:rsidRDefault="006C4F00" w:rsidP="00B3755E">
      <w:r w:rsidRPr="001E7AA4">
        <w:t xml:space="preserve">Similarly, governments will need to work together to implement </w:t>
      </w:r>
      <w:r w:rsidR="48F71450" w:rsidRPr="001E7AA4">
        <w:t xml:space="preserve">any </w:t>
      </w:r>
      <w:r w:rsidRPr="001E7AA4">
        <w:t>future reforms and achieve the long-term ambition for a</w:t>
      </w:r>
      <w:r w:rsidRPr="001E7AA4">
        <w:rPr>
          <w:rFonts w:ascii="Calibri" w:eastAsia="Calibri" w:hAnsi="Calibri" w:cs="Calibri"/>
        </w:rPr>
        <w:t xml:space="preserve"> </w:t>
      </w:r>
      <w:r w:rsidR="3F6B944C" w:rsidRPr="001E7AA4">
        <w:rPr>
          <w:rFonts w:ascii="Calibri" w:eastAsia="Calibri" w:hAnsi="Calibri" w:cs="Calibri"/>
        </w:rPr>
        <w:t xml:space="preserve">higher education sector that continues to grow and develop, as part of a </w:t>
      </w:r>
      <w:r w:rsidR="7E084CB6" w:rsidRPr="001E7AA4">
        <w:rPr>
          <w:rFonts w:ascii="Calibri" w:eastAsia="Calibri" w:hAnsi="Calibri" w:cs="Calibri"/>
        </w:rPr>
        <w:t>broader tertiary education system</w:t>
      </w:r>
      <w:r w:rsidR="10096FD6" w:rsidRPr="001E7AA4">
        <w:rPr>
          <w:rFonts w:ascii="Calibri" w:eastAsia="Calibri" w:hAnsi="Calibri" w:cs="Calibri"/>
        </w:rPr>
        <w:t xml:space="preserve"> and</w:t>
      </w:r>
      <w:r w:rsidR="7E084CB6" w:rsidRPr="001E7AA4">
        <w:rPr>
          <w:rFonts w:ascii="Calibri" w:eastAsia="Calibri" w:hAnsi="Calibri" w:cs="Calibri"/>
        </w:rPr>
        <w:t xml:space="preserve"> wider innovation and research ecosystem</w:t>
      </w:r>
      <w:r w:rsidRPr="001E7AA4">
        <w:t xml:space="preserve">. States and </w:t>
      </w:r>
      <w:r w:rsidR="006F0F6B" w:rsidRPr="001E7AA4">
        <w:t>t</w:t>
      </w:r>
      <w:r w:rsidRPr="001E7AA4">
        <w:t xml:space="preserve">erritories are stewards of the </w:t>
      </w:r>
      <w:r w:rsidR="00623B50" w:rsidRPr="001E7AA4">
        <w:t>VET</w:t>
      </w:r>
      <w:r w:rsidRPr="001E7AA4">
        <w:t xml:space="preserve"> system and should be partners in changes to VET or </w:t>
      </w:r>
      <w:r w:rsidR="56C185FB" w:rsidRPr="001E7AA4">
        <w:t>h</w:t>
      </w:r>
      <w:r w:rsidRPr="001E7AA4">
        <w:t xml:space="preserve">igher </w:t>
      </w:r>
      <w:r w:rsidR="3DCCA622" w:rsidRPr="001E7AA4">
        <w:t>e</w:t>
      </w:r>
      <w:r w:rsidRPr="001E7AA4">
        <w:t>ducation.</w:t>
      </w:r>
    </w:p>
    <w:p w14:paraId="480486D1" w14:textId="77777777" w:rsidR="00734123" w:rsidRDefault="00734123">
      <w:pPr>
        <w:spacing w:after="160"/>
      </w:pPr>
      <w:r>
        <w:br w:type="page"/>
      </w:r>
    </w:p>
    <w:p w14:paraId="58F65C76" w14:textId="582DD8D2" w:rsidR="00B3755E" w:rsidRPr="001E7AA4" w:rsidRDefault="00045EB9" w:rsidP="00B65F5B">
      <w:pPr>
        <w:pStyle w:val="Heading5"/>
      </w:pPr>
      <w:bookmarkStart w:id="453" w:name="_Toc139028938"/>
      <w:r w:rsidRPr="001E7AA4">
        <w:lastRenderedPageBreak/>
        <w:t>Considerations for change</w:t>
      </w:r>
      <w:bookmarkEnd w:id="453"/>
    </w:p>
    <w:p w14:paraId="528DCD4F" w14:textId="77777777" w:rsidR="002231BA" w:rsidRPr="001E7AA4" w:rsidRDefault="002231BA" w:rsidP="002231BA">
      <w:r w:rsidRPr="001E7AA4">
        <w:t xml:space="preserve">Delivering the opportunities and ambition proposed by this Interim Report requires joint effort across a range of stakeholders and parties in the form of a dynamic partnership to ensure Australia’s higher education sector as part of a broader tertiary education system can grow and develop to meet Australia’s economic, cultural and social challenges and advance our national interests. </w:t>
      </w:r>
    </w:p>
    <w:p w14:paraId="5BA24182" w14:textId="77287CBE" w:rsidR="002231BA" w:rsidRDefault="002231BA" w:rsidP="002231BA">
      <w:r w:rsidRPr="001E7AA4">
        <w:t xml:space="preserve">Delivering this would require establishing an ongoing mechanism to bring together governments (with bipartisan support), universities and higher education providers and their students and staff, businesses, unions and community leaders in the form of a continuing Accord process. </w:t>
      </w:r>
    </w:p>
    <w:p w14:paraId="40323DDC" w14:textId="79766970" w:rsidR="004335D7" w:rsidRDefault="004335D7" w:rsidP="006D7095">
      <w:pPr>
        <w:pStyle w:val="BlueShadedBox-Body"/>
        <w:spacing w:after="120"/>
      </w:pPr>
      <w:r w:rsidRPr="001E7AA4">
        <w:t>An Accord process could include:</w:t>
      </w:r>
    </w:p>
    <w:p w14:paraId="627C045A" w14:textId="77777777" w:rsidR="004335D7" w:rsidRPr="001E7AA4" w:rsidRDefault="004335D7" w:rsidP="00A025B1">
      <w:pPr>
        <w:pStyle w:val="BlueShadedBox-ListLetterstest"/>
        <w:numPr>
          <w:ilvl w:val="0"/>
          <w:numId w:val="48"/>
        </w:numPr>
        <w:ind w:left="570"/>
      </w:pPr>
      <w:r w:rsidRPr="001E7AA4">
        <w:t>convening a series of forums to discuss key challenges facing higher education, which require new solutions and collaboration between jurisdictions, communities and sectors.</w:t>
      </w:r>
    </w:p>
    <w:p w14:paraId="434BCC48" w14:textId="4ABFCBF5" w:rsidR="004335D7" w:rsidRDefault="004335D7" w:rsidP="00A025B1">
      <w:pPr>
        <w:pStyle w:val="BlueShadedBox-ListLetterstest"/>
        <w:numPr>
          <w:ilvl w:val="0"/>
          <w:numId w:val="48"/>
        </w:numPr>
        <w:ind w:left="570"/>
      </w:pPr>
      <w:r w:rsidRPr="001E7AA4">
        <w:t>representatives of student, academic, industry, community and union groups with a stake in tertiary education working together with governments on key issues and challenges, with shared access to evidence and examples.</w:t>
      </w:r>
    </w:p>
    <w:p w14:paraId="5C877CC4" w14:textId="0A9CD583" w:rsidR="00267E5A" w:rsidRPr="001E7AA4" w:rsidRDefault="00267E5A" w:rsidP="00B3755E">
      <w:pPr>
        <w:spacing w:after="160" w:line="240" w:lineRule="auto"/>
      </w:pPr>
    </w:p>
    <w:bookmarkEnd w:id="396"/>
    <w:bookmarkEnd w:id="397"/>
    <w:p w14:paraId="01C6AAE5" w14:textId="77777777" w:rsidR="00613D28" w:rsidRPr="001E7AA4" w:rsidRDefault="00613D28">
      <w:pPr>
        <w:spacing w:after="160"/>
        <w:sectPr w:rsidR="00613D28" w:rsidRPr="001E7AA4" w:rsidSect="00D9797D">
          <w:type w:val="continuous"/>
          <w:pgSz w:w="11906" w:h="16838" w:code="9"/>
          <w:pgMar w:top="1225" w:right="1440" w:bottom="1440" w:left="1440" w:header="709" w:footer="709" w:gutter="0"/>
          <w:pgNumType w:start="43"/>
          <w:cols w:space="708"/>
          <w:titlePg/>
          <w:docGrid w:linePitch="360"/>
        </w:sectPr>
      </w:pPr>
    </w:p>
    <w:p w14:paraId="7A7485B8" w14:textId="77777777" w:rsidR="00F761AA" w:rsidRPr="001E7AA4" w:rsidRDefault="00F761AA" w:rsidP="00734123">
      <w:pPr>
        <w:pStyle w:val="Heading3"/>
        <w:spacing w:after="360"/>
      </w:pPr>
      <w:bookmarkStart w:id="454" w:name="_Toc139028939"/>
      <w:r w:rsidRPr="001E7AA4">
        <w:lastRenderedPageBreak/>
        <w:t>Glossary</w:t>
      </w:r>
      <w:bookmarkEnd w:id="45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753"/>
      </w:tblGrid>
      <w:tr w:rsidR="00F761AA" w:rsidRPr="001E7AA4" w14:paraId="1E586FFF" w14:textId="77777777" w:rsidTr="004A476E">
        <w:trPr>
          <w:trHeight w:val="454"/>
        </w:trPr>
        <w:tc>
          <w:tcPr>
            <w:tcW w:w="2263" w:type="dxa"/>
          </w:tcPr>
          <w:p w14:paraId="64C17850" w14:textId="77777777" w:rsidR="00F761AA" w:rsidRPr="00A025B1" w:rsidRDefault="00F761AA" w:rsidP="004A476E">
            <w:pPr>
              <w:rPr>
                <w:b/>
                <w:bCs/>
              </w:rPr>
            </w:pPr>
            <w:r w:rsidRPr="00A025B1">
              <w:rPr>
                <w:b/>
                <w:bCs/>
              </w:rPr>
              <w:t>ABSTUDY</w:t>
            </w:r>
          </w:p>
        </w:tc>
        <w:tc>
          <w:tcPr>
            <w:tcW w:w="6753" w:type="dxa"/>
          </w:tcPr>
          <w:p w14:paraId="6D317B6A" w14:textId="77777777" w:rsidR="00F761AA" w:rsidRPr="001E7AA4" w:rsidRDefault="00F761AA" w:rsidP="004A476E">
            <w:r w:rsidRPr="001E7AA4">
              <w:t>Aboriginal and Torres Strait Islander Study Assistance Scheme</w:t>
            </w:r>
          </w:p>
        </w:tc>
      </w:tr>
      <w:tr w:rsidR="00F761AA" w:rsidRPr="001E7AA4" w14:paraId="62E1B2CC" w14:textId="77777777" w:rsidTr="004A476E">
        <w:trPr>
          <w:trHeight w:val="454"/>
        </w:trPr>
        <w:tc>
          <w:tcPr>
            <w:tcW w:w="2263" w:type="dxa"/>
          </w:tcPr>
          <w:p w14:paraId="41CD3F10" w14:textId="77777777" w:rsidR="00F761AA" w:rsidRPr="00A025B1" w:rsidRDefault="00F761AA" w:rsidP="004A476E">
            <w:pPr>
              <w:rPr>
                <w:b/>
                <w:bCs/>
              </w:rPr>
            </w:pPr>
            <w:r w:rsidRPr="00A025B1">
              <w:rPr>
                <w:b/>
                <w:bCs/>
              </w:rPr>
              <w:t>AQF</w:t>
            </w:r>
          </w:p>
        </w:tc>
        <w:tc>
          <w:tcPr>
            <w:tcW w:w="6753" w:type="dxa"/>
          </w:tcPr>
          <w:p w14:paraId="79F90FD7" w14:textId="77777777" w:rsidR="00F761AA" w:rsidRPr="001E7AA4" w:rsidRDefault="00F761AA" w:rsidP="004A476E">
            <w:r w:rsidRPr="001E7AA4">
              <w:t>Australian Qualifications Framework</w:t>
            </w:r>
          </w:p>
        </w:tc>
      </w:tr>
      <w:tr w:rsidR="00F761AA" w:rsidRPr="001E7AA4" w14:paraId="309E0A50" w14:textId="77777777" w:rsidTr="004A476E">
        <w:trPr>
          <w:trHeight w:val="454"/>
        </w:trPr>
        <w:tc>
          <w:tcPr>
            <w:tcW w:w="2263" w:type="dxa"/>
          </w:tcPr>
          <w:p w14:paraId="07953A84" w14:textId="77777777" w:rsidR="00F761AA" w:rsidRPr="00A025B1" w:rsidRDefault="00F761AA" w:rsidP="004A476E">
            <w:pPr>
              <w:rPr>
                <w:b/>
                <w:bCs/>
              </w:rPr>
            </w:pPr>
            <w:r w:rsidRPr="00A025B1">
              <w:rPr>
                <w:b/>
                <w:bCs/>
              </w:rPr>
              <w:t>APEC</w:t>
            </w:r>
          </w:p>
        </w:tc>
        <w:tc>
          <w:tcPr>
            <w:tcW w:w="6753" w:type="dxa"/>
          </w:tcPr>
          <w:p w14:paraId="02F29DD8" w14:textId="77777777" w:rsidR="00F761AA" w:rsidRPr="001E7AA4" w:rsidRDefault="00F761AA" w:rsidP="004A476E">
            <w:r w:rsidRPr="001E7AA4">
              <w:t>Asia-Pacific Economic Cooperation</w:t>
            </w:r>
          </w:p>
        </w:tc>
      </w:tr>
      <w:tr w:rsidR="00F761AA" w:rsidRPr="001E7AA4" w14:paraId="030BBD9D" w14:textId="77777777" w:rsidTr="004A476E">
        <w:trPr>
          <w:trHeight w:val="454"/>
        </w:trPr>
        <w:tc>
          <w:tcPr>
            <w:tcW w:w="2263" w:type="dxa"/>
          </w:tcPr>
          <w:p w14:paraId="39FE644D" w14:textId="77777777" w:rsidR="00F761AA" w:rsidRPr="00A025B1" w:rsidRDefault="00F761AA" w:rsidP="004A476E">
            <w:pPr>
              <w:rPr>
                <w:b/>
                <w:bCs/>
              </w:rPr>
            </w:pPr>
            <w:r w:rsidRPr="00A025B1">
              <w:rPr>
                <w:b/>
                <w:bCs/>
              </w:rPr>
              <w:t>ARC</w:t>
            </w:r>
          </w:p>
        </w:tc>
        <w:tc>
          <w:tcPr>
            <w:tcW w:w="6753" w:type="dxa"/>
          </w:tcPr>
          <w:p w14:paraId="6F5AA228" w14:textId="77777777" w:rsidR="00F761AA" w:rsidRPr="001E7AA4" w:rsidRDefault="00F761AA" w:rsidP="004A476E">
            <w:r w:rsidRPr="001E7AA4">
              <w:t>Australian Research Council</w:t>
            </w:r>
          </w:p>
        </w:tc>
      </w:tr>
      <w:tr w:rsidR="00F761AA" w:rsidRPr="001E7AA4" w14:paraId="5E0C6ED6" w14:textId="77777777" w:rsidTr="004A476E">
        <w:trPr>
          <w:trHeight w:val="454"/>
        </w:trPr>
        <w:tc>
          <w:tcPr>
            <w:tcW w:w="2263" w:type="dxa"/>
          </w:tcPr>
          <w:p w14:paraId="7475E4DB" w14:textId="77777777" w:rsidR="00F761AA" w:rsidRPr="00A025B1" w:rsidRDefault="00F761AA" w:rsidP="004A476E">
            <w:pPr>
              <w:rPr>
                <w:b/>
                <w:bCs/>
              </w:rPr>
            </w:pPr>
            <w:r w:rsidRPr="00A025B1">
              <w:rPr>
                <w:b/>
                <w:bCs/>
              </w:rPr>
              <w:t>ASC</w:t>
            </w:r>
          </w:p>
        </w:tc>
        <w:tc>
          <w:tcPr>
            <w:tcW w:w="6753" w:type="dxa"/>
          </w:tcPr>
          <w:p w14:paraId="69D9A7EF" w14:textId="77777777" w:rsidR="00F761AA" w:rsidRPr="001E7AA4" w:rsidRDefault="00F761AA" w:rsidP="004A476E">
            <w:r w:rsidRPr="001E7AA4">
              <w:t>Australian Skills Classification</w:t>
            </w:r>
          </w:p>
        </w:tc>
      </w:tr>
      <w:tr w:rsidR="00F761AA" w:rsidRPr="001E7AA4" w14:paraId="369EFC0D" w14:textId="77777777" w:rsidTr="004A476E">
        <w:trPr>
          <w:trHeight w:val="454"/>
        </w:trPr>
        <w:tc>
          <w:tcPr>
            <w:tcW w:w="2263" w:type="dxa"/>
          </w:tcPr>
          <w:p w14:paraId="1E0500FB" w14:textId="77777777" w:rsidR="00F761AA" w:rsidRPr="00A025B1" w:rsidRDefault="00F761AA" w:rsidP="004A476E">
            <w:pPr>
              <w:rPr>
                <w:b/>
                <w:bCs/>
              </w:rPr>
            </w:pPr>
            <w:r w:rsidRPr="00A025B1">
              <w:rPr>
                <w:b/>
                <w:bCs/>
              </w:rPr>
              <w:t>ASEAN</w:t>
            </w:r>
          </w:p>
        </w:tc>
        <w:tc>
          <w:tcPr>
            <w:tcW w:w="6753" w:type="dxa"/>
          </w:tcPr>
          <w:p w14:paraId="41034C9D" w14:textId="77777777" w:rsidR="00F761AA" w:rsidRPr="001E7AA4" w:rsidRDefault="00F761AA" w:rsidP="004A476E">
            <w:r w:rsidRPr="001E7AA4">
              <w:t>Association of Southeast Asian Nations</w:t>
            </w:r>
          </w:p>
        </w:tc>
      </w:tr>
      <w:tr w:rsidR="00F761AA" w:rsidRPr="001E7AA4" w14:paraId="652FB9BE" w14:textId="77777777" w:rsidTr="004A476E">
        <w:trPr>
          <w:trHeight w:val="454"/>
        </w:trPr>
        <w:tc>
          <w:tcPr>
            <w:tcW w:w="2263" w:type="dxa"/>
          </w:tcPr>
          <w:p w14:paraId="0C385079" w14:textId="77777777" w:rsidR="00F761AA" w:rsidRPr="00A025B1" w:rsidRDefault="00F761AA" w:rsidP="004A476E">
            <w:pPr>
              <w:rPr>
                <w:b/>
                <w:bCs/>
              </w:rPr>
            </w:pPr>
            <w:r w:rsidRPr="00A025B1">
              <w:rPr>
                <w:b/>
                <w:bCs/>
              </w:rPr>
              <w:t>ASQA</w:t>
            </w:r>
          </w:p>
        </w:tc>
        <w:tc>
          <w:tcPr>
            <w:tcW w:w="6753" w:type="dxa"/>
          </w:tcPr>
          <w:p w14:paraId="6773EBF3" w14:textId="77777777" w:rsidR="00F761AA" w:rsidRPr="001E7AA4" w:rsidRDefault="00F761AA" w:rsidP="004A476E">
            <w:r w:rsidRPr="001E7AA4">
              <w:t>Australian Skills Quality Authority</w:t>
            </w:r>
          </w:p>
        </w:tc>
      </w:tr>
      <w:tr w:rsidR="00F761AA" w:rsidRPr="001E7AA4" w14:paraId="454B787F" w14:textId="77777777" w:rsidTr="004A476E">
        <w:trPr>
          <w:trHeight w:val="680"/>
        </w:trPr>
        <w:tc>
          <w:tcPr>
            <w:tcW w:w="2263" w:type="dxa"/>
          </w:tcPr>
          <w:p w14:paraId="72F5A083" w14:textId="77777777" w:rsidR="00F761AA" w:rsidRPr="00A025B1" w:rsidRDefault="00F761AA" w:rsidP="004A476E">
            <w:pPr>
              <w:rPr>
                <w:b/>
                <w:bCs/>
              </w:rPr>
            </w:pPr>
            <w:r w:rsidRPr="00A025B1">
              <w:rPr>
                <w:b/>
                <w:bCs/>
              </w:rPr>
              <w:t>AUKUS</w:t>
            </w:r>
          </w:p>
        </w:tc>
        <w:tc>
          <w:tcPr>
            <w:tcW w:w="6753" w:type="dxa"/>
          </w:tcPr>
          <w:p w14:paraId="541BB068" w14:textId="77777777" w:rsidR="00F761AA" w:rsidRPr="001E7AA4" w:rsidRDefault="00F761AA" w:rsidP="004A476E">
            <w:r w:rsidRPr="001E7AA4">
              <w:t>The trilateral security partnership between Australia, the United Kingdom and the United States</w:t>
            </w:r>
          </w:p>
        </w:tc>
      </w:tr>
      <w:tr w:rsidR="00F761AA" w:rsidRPr="001E7AA4" w14:paraId="1E5F551A" w14:textId="77777777" w:rsidTr="004A476E">
        <w:trPr>
          <w:trHeight w:val="454"/>
        </w:trPr>
        <w:tc>
          <w:tcPr>
            <w:tcW w:w="2263" w:type="dxa"/>
          </w:tcPr>
          <w:p w14:paraId="7B5A7D7E" w14:textId="77777777" w:rsidR="00F761AA" w:rsidRPr="00A025B1" w:rsidRDefault="00F761AA" w:rsidP="004A476E">
            <w:pPr>
              <w:rPr>
                <w:b/>
                <w:bCs/>
              </w:rPr>
            </w:pPr>
            <w:r w:rsidRPr="00A025B1">
              <w:rPr>
                <w:b/>
                <w:bCs/>
              </w:rPr>
              <w:t>BIS OE</w:t>
            </w:r>
          </w:p>
        </w:tc>
        <w:tc>
          <w:tcPr>
            <w:tcW w:w="6753" w:type="dxa"/>
          </w:tcPr>
          <w:p w14:paraId="598D576A" w14:textId="77777777" w:rsidR="00F761AA" w:rsidRPr="001E7AA4" w:rsidRDefault="00F761AA" w:rsidP="004A476E">
            <w:r w:rsidRPr="001E7AA4">
              <w:t>BIS Oxford Economics</w:t>
            </w:r>
          </w:p>
        </w:tc>
      </w:tr>
      <w:tr w:rsidR="00F761AA" w:rsidRPr="001E7AA4" w14:paraId="31B11242" w14:textId="77777777" w:rsidTr="004A476E">
        <w:trPr>
          <w:trHeight w:val="454"/>
        </w:trPr>
        <w:tc>
          <w:tcPr>
            <w:tcW w:w="2263" w:type="dxa"/>
          </w:tcPr>
          <w:p w14:paraId="4A5086E2" w14:textId="77777777" w:rsidR="00F761AA" w:rsidRPr="00A025B1" w:rsidRDefault="00F761AA" w:rsidP="004A476E">
            <w:pPr>
              <w:rPr>
                <w:b/>
                <w:bCs/>
              </w:rPr>
            </w:pPr>
            <w:r w:rsidRPr="00A025B1">
              <w:rPr>
                <w:b/>
                <w:bCs/>
              </w:rPr>
              <w:t>CGS</w:t>
            </w:r>
          </w:p>
        </w:tc>
        <w:tc>
          <w:tcPr>
            <w:tcW w:w="6753" w:type="dxa"/>
          </w:tcPr>
          <w:p w14:paraId="0E536E09" w14:textId="77777777" w:rsidR="00F761AA" w:rsidRPr="001E7AA4" w:rsidRDefault="00F761AA" w:rsidP="004A476E">
            <w:r w:rsidRPr="001E7AA4">
              <w:t>Commonwealth Grant Scheme</w:t>
            </w:r>
          </w:p>
        </w:tc>
      </w:tr>
      <w:tr w:rsidR="00F761AA" w:rsidRPr="001E7AA4" w14:paraId="7AE95B4D" w14:textId="77777777" w:rsidTr="004A476E">
        <w:trPr>
          <w:trHeight w:val="454"/>
        </w:trPr>
        <w:tc>
          <w:tcPr>
            <w:tcW w:w="2263" w:type="dxa"/>
          </w:tcPr>
          <w:p w14:paraId="71163049" w14:textId="77777777" w:rsidR="00F761AA" w:rsidRPr="00A025B1" w:rsidRDefault="00F761AA" w:rsidP="004A476E">
            <w:pPr>
              <w:rPr>
                <w:b/>
                <w:bCs/>
              </w:rPr>
            </w:pPr>
            <w:r w:rsidRPr="00A025B1">
              <w:rPr>
                <w:b/>
                <w:bCs/>
              </w:rPr>
              <w:t>CPI</w:t>
            </w:r>
          </w:p>
        </w:tc>
        <w:tc>
          <w:tcPr>
            <w:tcW w:w="6753" w:type="dxa"/>
          </w:tcPr>
          <w:p w14:paraId="7B475734" w14:textId="77777777" w:rsidR="00F761AA" w:rsidRPr="001E7AA4" w:rsidRDefault="00F761AA" w:rsidP="004A476E">
            <w:r w:rsidRPr="001E7AA4">
              <w:t>Consumer Price Index</w:t>
            </w:r>
          </w:p>
        </w:tc>
      </w:tr>
      <w:tr w:rsidR="00F761AA" w:rsidRPr="001E7AA4" w14:paraId="6DA326A1" w14:textId="77777777" w:rsidTr="004A476E">
        <w:trPr>
          <w:trHeight w:val="454"/>
        </w:trPr>
        <w:tc>
          <w:tcPr>
            <w:tcW w:w="2263" w:type="dxa"/>
          </w:tcPr>
          <w:p w14:paraId="65608B16" w14:textId="77777777" w:rsidR="00F761AA" w:rsidRPr="00A025B1" w:rsidRDefault="00F761AA" w:rsidP="004A476E">
            <w:pPr>
              <w:rPr>
                <w:b/>
                <w:bCs/>
              </w:rPr>
            </w:pPr>
            <w:r w:rsidRPr="00A025B1">
              <w:rPr>
                <w:b/>
                <w:bCs/>
              </w:rPr>
              <w:t>CRC</w:t>
            </w:r>
          </w:p>
        </w:tc>
        <w:tc>
          <w:tcPr>
            <w:tcW w:w="6753" w:type="dxa"/>
          </w:tcPr>
          <w:p w14:paraId="43C4BD68" w14:textId="77777777" w:rsidR="00F761AA" w:rsidRPr="001E7AA4" w:rsidRDefault="00F761AA" w:rsidP="004A476E">
            <w:r w:rsidRPr="001E7AA4">
              <w:t>Cooperative Research Centres</w:t>
            </w:r>
          </w:p>
        </w:tc>
      </w:tr>
      <w:tr w:rsidR="00F761AA" w:rsidRPr="001E7AA4" w14:paraId="0D67647F" w14:textId="77777777" w:rsidTr="004A476E">
        <w:trPr>
          <w:trHeight w:val="454"/>
        </w:trPr>
        <w:tc>
          <w:tcPr>
            <w:tcW w:w="2263" w:type="dxa"/>
          </w:tcPr>
          <w:p w14:paraId="270DE540" w14:textId="77777777" w:rsidR="00F761AA" w:rsidRPr="00A025B1" w:rsidRDefault="00F761AA" w:rsidP="004A476E">
            <w:pPr>
              <w:rPr>
                <w:b/>
                <w:bCs/>
              </w:rPr>
            </w:pPr>
            <w:r w:rsidRPr="00A025B1">
              <w:rPr>
                <w:b/>
                <w:bCs/>
              </w:rPr>
              <w:t>CSP</w:t>
            </w:r>
          </w:p>
        </w:tc>
        <w:tc>
          <w:tcPr>
            <w:tcW w:w="6753" w:type="dxa"/>
          </w:tcPr>
          <w:p w14:paraId="5B209E57" w14:textId="77777777" w:rsidR="00F761AA" w:rsidRPr="001E7AA4" w:rsidRDefault="00F761AA" w:rsidP="004A476E">
            <w:r w:rsidRPr="001E7AA4">
              <w:t>Commonwealth supported place</w:t>
            </w:r>
          </w:p>
        </w:tc>
      </w:tr>
      <w:tr w:rsidR="00F761AA" w:rsidRPr="001E7AA4" w14:paraId="5225D406" w14:textId="77777777" w:rsidTr="004A476E">
        <w:trPr>
          <w:trHeight w:val="454"/>
        </w:trPr>
        <w:tc>
          <w:tcPr>
            <w:tcW w:w="2263" w:type="dxa"/>
          </w:tcPr>
          <w:p w14:paraId="52871D66" w14:textId="77777777" w:rsidR="00F761AA" w:rsidRPr="00A025B1" w:rsidRDefault="00F761AA" w:rsidP="004A476E">
            <w:pPr>
              <w:rPr>
                <w:b/>
                <w:bCs/>
              </w:rPr>
            </w:pPr>
            <w:r w:rsidRPr="00A025B1">
              <w:rPr>
                <w:b/>
                <w:bCs/>
              </w:rPr>
              <w:t>DNER</w:t>
            </w:r>
          </w:p>
        </w:tc>
        <w:tc>
          <w:tcPr>
            <w:tcW w:w="6753" w:type="dxa"/>
          </w:tcPr>
          <w:p w14:paraId="247FB3EA" w14:textId="77777777" w:rsidR="00F761AA" w:rsidRPr="001E7AA4" w:rsidRDefault="00F761AA" w:rsidP="004A476E">
            <w:r w:rsidRPr="001E7AA4">
              <w:t>Debt not expected to be repaid</w:t>
            </w:r>
          </w:p>
        </w:tc>
      </w:tr>
      <w:tr w:rsidR="00F761AA" w:rsidRPr="001E7AA4" w14:paraId="7712CC22" w14:textId="77777777" w:rsidTr="004A476E">
        <w:trPr>
          <w:trHeight w:val="454"/>
        </w:trPr>
        <w:tc>
          <w:tcPr>
            <w:tcW w:w="2263" w:type="dxa"/>
          </w:tcPr>
          <w:p w14:paraId="1043D6FB" w14:textId="77777777" w:rsidR="00F761AA" w:rsidRPr="00A025B1" w:rsidRDefault="00F761AA" w:rsidP="004A476E">
            <w:pPr>
              <w:rPr>
                <w:b/>
                <w:bCs/>
              </w:rPr>
            </w:pPr>
            <w:r w:rsidRPr="00A025B1">
              <w:rPr>
                <w:b/>
                <w:bCs/>
              </w:rPr>
              <w:t>EAS</w:t>
            </w:r>
          </w:p>
        </w:tc>
        <w:tc>
          <w:tcPr>
            <w:tcW w:w="6753" w:type="dxa"/>
          </w:tcPr>
          <w:p w14:paraId="159B04C6" w14:textId="77777777" w:rsidR="00F761AA" w:rsidRPr="001E7AA4" w:rsidRDefault="00F761AA" w:rsidP="004A476E">
            <w:r w:rsidRPr="001E7AA4">
              <w:t>East Asia Summit</w:t>
            </w:r>
          </w:p>
        </w:tc>
      </w:tr>
      <w:tr w:rsidR="00F761AA" w:rsidRPr="001E7AA4" w14:paraId="3D8518D6" w14:textId="77777777" w:rsidTr="004A476E">
        <w:trPr>
          <w:trHeight w:val="454"/>
        </w:trPr>
        <w:tc>
          <w:tcPr>
            <w:tcW w:w="2263" w:type="dxa"/>
          </w:tcPr>
          <w:p w14:paraId="272E3B00" w14:textId="77777777" w:rsidR="00F761AA" w:rsidRPr="00A025B1" w:rsidRDefault="00F761AA" w:rsidP="004A476E">
            <w:pPr>
              <w:rPr>
                <w:b/>
                <w:bCs/>
              </w:rPr>
            </w:pPr>
            <w:r w:rsidRPr="00A025B1">
              <w:rPr>
                <w:b/>
                <w:bCs/>
              </w:rPr>
              <w:t>EIF</w:t>
            </w:r>
          </w:p>
        </w:tc>
        <w:tc>
          <w:tcPr>
            <w:tcW w:w="6753" w:type="dxa"/>
          </w:tcPr>
          <w:p w14:paraId="339A3236" w14:textId="77777777" w:rsidR="00F761AA" w:rsidRPr="001E7AA4" w:rsidRDefault="00F761AA" w:rsidP="004A476E">
            <w:r w:rsidRPr="001E7AA4">
              <w:t>Education Investment Fund</w:t>
            </w:r>
          </w:p>
        </w:tc>
      </w:tr>
      <w:tr w:rsidR="00F761AA" w:rsidRPr="001E7AA4" w14:paraId="313A35CA" w14:textId="77777777" w:rsidTr="004A476E">
        <w:trPr>
          <w:trHeight w:val="454"/>
        </w:trPr>
        <w:tc>
          <w:tcPr>
            <w:tcW w:w="2263" w:type="dxa"/>
          </w:tcPr>
          <w:p w14:paraId="36168DB4" w14:textId="77777777" w:rsidR="00F761AA" w:rsidRPr="00A025B1" w:rsidRDefault="00F761AA" w:rsidP="004A476E">
            <w:pPr>
              <w:rPr>
                <w:b/>
                <w:bCs/>
              </w:rPr>
            </w:pPr>
            <w:r w:rsidRPr="00A025B1">
              <w:rPr>
                <w:b/>
                <w:bCs/>
              </w:rPr>
              <w:t>ELP</w:t>
            </w:r>
          </w:p>
        </w:tc>
        <w:tc>
          <w:tcPr>
            <w:tcW w:w="6753" w:type="dxa"/>
          </w:tcPr>
          <w:p w14:paraId="1A470291" w14:textId="77777777" w:rsidR="00F761AA" w:rsidRPr="001E7AA4" w:rsidRDefault="00F761AA" w:rsidP="004A476E">
            <w:r w:rsidRPr="001E7AA4">
              <w:t>English language proficiency</w:t>
            </w:r>
          </w:p>
        </w:tc>
      </w:tr>
      <w:tr w:rsidR="00F761AA" w:rsidRPr="001E7AA4" w14:paraId="00148145" w14:textId="77777777" w:rsidTr="004A476E">
        <w:trPr>
          <w:trHeight w:val="454"/>
        </w:trPr>
        <w:tc>
          <w:tcPr>
            <w:tcW w:w="2263" w:type="dxa"/>
          </w:tcPr>
          <w:p w14:paraId="212E5A4E" w14:textId="77777777" w:rsidR="00F761AA" w:rsidRPr="00A025B1" w:rsidRDefault="00F761AA" w:rsidP="004A476E">
            <w:pPr>
              <w:rPr>
                <w:b/>
                <w:bCs/>
              </w:rPr>
            </w:pPr>
            <w:r w:rsidRPr="00A025B1">
              <w:rPr>
                <w:b/>
                <w:bCs/>
              </w:rPr>
              <w:t>ERA</w:t>
            </w:r>
          </w:p>
        </w:tc>
        <w:tc>
          <w:tcPr>
            <w:tcW w:w="6753" w:type="dxa"/>
          </w:tcPr>
          <w:p w14:paraId="0A4B2699" w14:textId="77777777" w:rsidR="00F761AA" w:rsidRPr="001E7AA4" w:rsidRDefault="00F761AA" w:rsidP="004A476E">
            <w:r w:rsidRPr="001E7AA4">
              <w:t>Excellence in Research for Australia</w:t>
            </w:r>
          </w:p>
        </w:tc>
      </w:tr>
      <w:tr w:rsidR="00F761AA" w:rsidRPr="001E7AA4" w14:paraId="2C244DCE" w14:textId="77777777" w:rsidTr="004A476E">
        <w:trPr>
          <w:trHeight w:val="454"/>
        </w:trPr>
        <w:tc>
          <w:tcPr>
            <w:tcW w:w="2263" w:type="dxa"/>
          </w:tcPr>
          <w:p w14:paraId="2DAFE4B2" w14:textId="77777777" w:rsidR="00F761AA" w:rsidRPr="00A025B1" w:rsidRDefault="00F761AA" w:rsidP="004A476E">
            <w:pPr>
              <w:rPr>
                <w:b/>
                <w:bCs/>
              </w:rPr>
            </w:pPr>
            <w:r w:rsidRPr="00A025B1">
              <w:rPr>
                <w:b/>
                <w:bCs/>
              </w:rPr>
              <w:t>FTE</w:t>
            </w:r>
          </w:p>
        </w:tc>
        <w:tc>
          <w:tcPr>
            <w:tcW w:w="6753" w:type="dxa"/>
          </w:tcPr>
          <w:p w14:paraId="4FE55615" w14:textId="77777777" w:rsidR="00F761AA" w:rsidRPr="001E7AA4" w:rsidRDefault="00F761AA" w:rsidP="004A476E">
            <w:r w:rsidRPr="001E7AA4">
              <w:t>Full-time equivalent</w:t>
            </w:r>
          </w:p>
        </w:tc>
      </w:tr>
      <w:tr w:rsidR="00F761AA" w:rsidRPr="001E7AA4" w14:paraId="1BCC7B26" w14:textId="77777777" w:rsidTr="004A476E">
        <w:trPr>
          <w:trHeight w:val="454"/>
        </w:trPr>
        <w:tc>
          <w:tcPr>
            <w:tcW w:w="2263" w:type="dxa"/>
          </w:tcPr>
          <w:p w14:paraId="07C99A14" w14:textId="77777777" w:rsidR="00F761AA" w:rsidRPr="00A025B1" w:rsidRDefault="00F761AA" w:rsidP="004A476E">
            <w:pPr>
              <w:rPr>
                <w:b/>
                <w:bCs/>
              </w:rPr>
            </w:pPr>
            <w:r w:rsidRPr="00A025B1">
              <w:rPr>
                <w:b/>
                <w:bCs/>
              </w:rPr>
              <w:t>FWO</w:t>
            </w:r>
          </w:p>
        </w:tc>
        <w:tc>
          <w:tcPr>
            <w:tcW w:w="6753" w:type="dxa"/>
          </w:tcPr>
          <w:p w14:paraId="5C289441" w14:textId="77777777" w:rsidR="00F761AA" w:rsidRPr="001E7AA4" w:rsidRDefault="00F761AA" w:rsidP="004A476E">
            <w:r w:rsidRPr="001E7AA4">
              <w:t>Fair Work Ombudsman</w:t>
            </w:r>
          </w:p>
        </w:tc>
      </w:tr>
      <w:tr w:rsidR="00F761AA" w:rsidRPr="001E7AA4" w14:paraId="4C522AA3" w14:textId="77777777" w:rsidTr="004A476E">
        <w:trPr>
          <w:trHeight w:val="454"/>
        </w:trPr>
        <w:tc>
          <w:tcPr>
            <w:tcW w:w="2263" w:type="dxa"/>
          </w:tcPr>
          <w:p w14:paraId="0E9D2C1C" w14:textId="77777777" w:rsidR="00F761AA" w:rsidRPr="00A025B1" w:rsidRDefault="00F761AA" w:rsidP="004A476E">
            <w:pPr>
              <w:rPr>
                <w:b/>
                <w:bCs/>
              </w:rPr>
            </w:pPr>
            <w:r w:rsidRPr="00A025B1">
              <w:rPr>
                <w:b/>
                <w:bCs/>
              </w:rPr>
              <w:t>G20</w:t>
            </w:r>
          </w:p>
        </w:tc>
        <w:tc>
          <w:tcPr>
            <w:tcW w:w="6753" w:type="dxa"/>
          </w:tcPr>
          <w:p w14:paraId="3EB1F6B4" w14:textId="77777777" w:rsidR="00F761AA" w:rsidRPr="001E7AA4" w:rsidRDefault="00F761AA" w:rsidP="004A476E">
            <w:r w:rsidRPr="001E7AA4">
              <w:t>Group of Twenty</w:t>
            </w:r>
          </w:p>
        </w:tc>
      </w:tr>
      <w:tr w:rsidR="00F761AA" w:rsidRPr="001E7AA4" w14:paraId="3FA3B7E9" w14:textId="77777777" w:rsidTr="004A476E">
        <w:trPr>
          <w:trHeight w:val="454"/>
        </w:trPr>
        <w:tc>
          <w:tcPr>
            <w:tcW w:w="2263" w:type="dxa"/>
          </w:tcPr>
          <w:p w14:paraId="073A817D" w14:textId="77777777" w:rsidR="00F761AA" w:rsidRPr="00A025B1" w:rsidRDefault="00F761AA" w:rsidP="004A476E">
            <w:pPr>
              <w:rPr>
                <w:b/>
                <w:bCs/>
              </w:rPr>
            </w:pPr>
            <w:r w:rsidRPr="00A025B1">
              <w:rPr>
                <w:b/>
                <w:bCs/>
              </w:rPr>
              <w:t>HDR</w:t>
            </w:r>
          </w:p>
        </w:tc>
        <w:tc>
          <w:tcPr>
            <w:tcW w:w="6753" w:type="dxa"/>
          </w:tcPr>
          <w:p w14:paraId="6A865CD1" w14:textId="77777777" w:rsidR="00F761AA" w:rsidRPr="001E7AA4" w:rsidRDefault="00F761AA" w:rsidP="004A476E">
            <w:r w:rsidRPr="001E7AA4">
              <w:t>Higher degree by research</w:t>
            </w:r>
          </w:p>
        </w:tc>
      </w:tr>
      <w:tr w:rsidR="00F761AA" w:rsidRPr="001E7AA4" w14:paraId="305EB96B" w14:textId="77777777" w:rsidTr="004A476E">
        <w:trPr>
          <w:trHeight w:val="454"/>
        </w:trPr>
        <w:tc>
          <w:tcPr>
            <w:tcW w:w="2263" w:type="dxa"/>
          </w:tcPr>
          <w:p w14:paraId="06D33466" w14:textId="77777777" w:rsidR="00F761AA" w:rsidRPr="00A025B1" w:rsidRDefault="00F761AA" w:rsidP="004A476E">
            <w:pPr>
              <w:rPr>
                <w:b/>
                <w:bCs/>
              </w:rPr>
            </w:pPr>
            <w:r w:rsidRPr="00A025B1">
              <w:rPr>
                <w:b/>
                <w:bCs/>
              </w:rPr>
              <w:t>HECG</w:t>
            </w:r>
          </w:p>
        </w:tc>
        <w:tc>
          <w:tcPr>
            <w:tcW w:w="6753" w:type="dxa"/>
          </w:tcPr>
          <w:p w14:paraId="6F8DDCDB" w14:textId="77777777" w:rsidR="00F761AA" w:rsidRPr="001E7AA4" w:rsidRDefault="00F761AA" w:rsidP="004A476E">
            <w:r w:rsidRPr="001E7AA4">
              <w:t>Higher Education Continuity Guarantee</w:t>
            </w:r>
          </w:p>
        </w:tc>
      </w:tr>
      <w:tr w:rsidR="00F761AA" w:rsidRPr="001E7AA4" w14:paraId="06FC868B" w14:textId="77777777" w:rsidTr="004A476E">
        <w:trPr>
          <w:trHeight w:val="454"/>
        </w:trPr>
        <w:tc>
          <w:tcPr>
            <w:tcW w:w="2263" w:type="dxa"/>
          </w:tcPr>
          <w:p w14:paraId="3CFBFB17" w14:textId="77777777" w:rsidR="00F761AA" w:rsidRPr="00A025B1" w:rsidRDefault="00F761AA" w:rsidP="004A476E">
            <w:pPr>
              <w:rPr>
                <w:b/>
                <w:bCs/>
              </w:rPr>
            </w:pPr>
            <w:r w:rsidRPr="00A025B1">
              <w:rPr>
                <w:b/>
                <w:bCs/>
              </w:rPr>
              <w:t>HECS</w:t>
            </w:r>
          </w:p>
        </w:tc>
        <w:tc>
          <w:tcPr>
            <w:tcW w:w="6753" w:type="dxa"/>
          </w:tcPr>
          <w:p w14:paraId="29DC6431" w14:textId="77777777" w:rsidR="00F761AA" w:rsidRPr="001E7AA4" w:rsidRDefault="00F761AA" w:rsidP="004A476E">
            <w:r w:rsidRPr="001E7AA4">
              <w:t>Higher Education Contribution Scheme</w:t>
            </w:r>
          </w:p>
        </w:tc>
      </w:tr>
      <w:tr w:rsidR="00F761AA" w:rsidRPr="001E7AA4" w14:paraId="3F43BA3D" w14:textId="77777777" w:rsidTr="004A476E">
        <w:trPr>
          <w:trHeight w:val="454"/>
        </w:trPr>
        <w:tc>
          <w:tcPr>
            <w:tcW w:w="2263" w:type="dxa"/>
          </w:tcPr>
          <w:p w14:paraId="20C234B3" w14:textId="77777777" w:rsidR="00F761AA" w:rsidRPr="00A025B1" w:rsidRDefault="00F761AA" w:rsidP="004A476E">
            <w:pPr>
              <w:rPr>
                <w:b/>
                <w:bCs/>
              </w:rPr>
            </w:pPr>
            <w:r w:rsidRPr="00A025B1">
              <w:rPr>
                <w:b/>
                <w:bCs/>
              </w:rPr>
              <w:lastRenderedPageBreak/>
              <w:t>HELP</w:t>
            </w:r>
          </w:p>
        </w:tc>
        <w:tc>
          <w:tcPr>
            <w:tcW w:w="6753" w:type="dxa"/>
          </w:tcPr>
          <w:p w14:paraId="556C8554" w14:textId="0646F9F5" w:rsidR="00F761AA" w:rsidRPr="001E7AA4" w:rsidRDefault="00F761AA" w:rsidP="00BC654C">
            <w:pPr>
              <w:tabs>
                <w:tab w:val="right" w:pos="6537"/>
              </w:tabs>
            </w:pPr>
            <w:r w:rsidRPr="001E7AA4">
              <w:t>Higher Education Loan Program</w:t>
            </w:r>
            <w:r w:rsidR="00E12C77" w:rsidRPr="001E7AA4">
              <w:tab/>
            </w:r>
          </w:p>
        </w:tc>
      </w:tr>
      <w:tr w:rsidR="00F761AA" w:rsidRPr="001E7AA4" w14:paraId="6A3E571D" w14:textId="77777777" w:rsidTr="004A476E">
        <w:trPr>
          <w:trHeight w:val="454"/>
        </w:trPr>
        <w:tc>
          <w:tcPr>
            <w:tcW w:w="2263" w:type="dxa"/>
          </w:tcPr>
          <w:p w14:paraId="244C7E05" w14:textId="77777777" w:rsidR="00F761AA" w:rsidRPr="00A025B1" w:rsidRDefault="00F761AA" w:rsidP="004A476E">
            <w:pPr>
              <w:rPr>
                <w:b/>
                <w:bCs/>
              </w:rPr>
            </w:pPr>
            <w:r w:rsidRPr="00A025B1">
              <w:rPr>
                <w:b/>
                <w:bCs/>
              </w:rPr>
              <w:t>HEPPP</w:t>
            </w:r>
          </w:p>
        </w:tc>
        <w:tc>
          <w:tcPr>
            <w:tcW w:w="6753" w:type="dxa"/>
          </w:tcPr>
          <w:p w14:paraId="258B40B6" w14:textId="77777777" w:rsidR="00F761AA" w:rsidRPr="001E7AA4" w:rsidRDefault="00F761AA" w:rsidP="004A476E">
            <w:r w:rsidRPr="001E7AA4">
              <w:t>Higher Education Participation and Partnerships Program</w:t>
            </w:r>
          </w:p>
        </w:tc>
      </w:tr>
      <w:tr w:rsidR="00F761AA" w:rsidRPr="001E7AA4" w14:paraId="321E8B89" w14:textId="77777777" w:rsidTr="004A476E">
        <w:trPr>
          <w:trHeight w:val="454"/>
        </w:trPr>
        <w:tc>
          <w:tcPr>
            <w:tcW w:w="2263" w:type="dxa"/>
          </w:tcPr>
          <w:p w14:paraId="74A0DAEF" w14:textId="77777777" w:rsidR="00F761AA" w:rsidRPr="00A025B1" w:rsidRDefault="00F761AA" w:rsidP="004A476E">
            <w:pPr>
              <w:rPr>
                <w:b/>
                <w:bCs/>
              </w:rPr>
            </w:pPr>
            <w:r w:rsidRPr="00A025B1">
              <w:rPr>
                <w:b/>
                <w:bCs/>
              </w:rPr>
              <w:t>HERDC</w:t>
            </w:r>
          </w:p>
        </w:tc>
        <w:tc>
          <w:tcPr>
            <w:tcW w:w="6753" w:type="dxa"/>
          </w:tcPr>
          <w:p w14:paraId="59FBF623" w14:textId="77777777" w:rsidR="00F761AA" w:rsidRPr="001E7AA4" w:rsidRDefault="00F761AA" w:rsidP="004A476E">
            <w:r w:rsidRPr="001E7AA4">
              <w:t>Higher Education Research Data Collection</w:t>
            </w:r>
          </w:p>
        </w:tc>
      </w:tr>
      <w:tr w:rsidR="00F761AA" w:rsidRPr="001E7AA4" w14:paraId="17E63527" w14:textId="77777777" w:rsidTr="004A476E">
        <w:trPr>
          <w:trHeight w:val="454"/>
        </w:trPr>
        <w:tc>
          <w:tcPr>
            <w:tcW w:w="2263" w:type="dxa"/>
          </w:tcPr>
          <w:p w14:paraId="58DBD30C" w14:textId="77777777" w:rsidR="00F761AA" w:rsidRPr="00A025B1" w:rsidRDefault="00F761AA" w:rsidP="004A476E">
            <w:pPr>
              <w:rPr>
                <w:b/>
                <w:bCs/>
              </w:rPr>
            </w:pPr>
            <w:r w:rsidRPr="00A025B1">
              <w:rPr>
                <w:b/>
                <w:bCs/>
              </w:rPr>
              <w:t>IAT</w:t>
            </w:r>
          </w:p>
        </w:tc>
        <w:tc>
          <w:tcPr>
            <w:tcW w:w="6753" w:type="dxa"/>
          </w:tcPr>
          <w:p w14:paraId="043C49C1" w14:textId="77777777" w:rsidR="00F761AA" w:rsidRPr="001E7AA4" w:rsidRDefault="00F761AA" w:rsidP="004A476E">
            <w:r w:rsidRPr="001E7AA4">
              <w:t>Institute of Applied Technology</w:t>
            </w:r>
          </w:p>
        </w:tc>
      </w:tr>
      <w:tr w:rsidR="00F761AA" w:rsidRPr="001E7AA4" w14:paraId="2F982783" w14:textId="77777777" w:rsidTr="004A476E">
        <w:trPr>
          <w:trHeight w:val="454"/>
        </w:trPr>
        <w:tc>
          <w:tcPr>
            <w:tcW w:w="2263" w:type="dxa"/>
          </w:tcPr>
          <w:p w14:paraId="7591C9F1" w14:textId="77777777" w:rsidR="00F761AA" w:rsidRPr="00A025B1" w:rsidRDefault="00F761AA" w:rsidP="004A476E">
            <w:pPr>
              <w:rPr>
                <w:b/>
                <w:bCs/>
              </w:rPr>
            </w:pPr>
            <w:r w:rsidRPr="00A025B1">
              <w:rPr>
                <w:b/>
                <w:bCs/>
              </w:rPr>
              <w:t>ICL</w:t>
            </w:r>
          </w:p>
        </w:tc>
        <w:tc>
          <w:tcPr>
            <w:tcW w:w="6753" w:type="dxa"/>
          </w:tcPr>
          <w:p w14:paraId="74FD2C44" w14:textId="77777777" w:rsidR="00F761AA" w:rsidRPr="001E7AA4" w:rsidRDefault="00F761AA" w:rsidP="004A476E">
            <w:r w:rsidRPr="001E7AA4">
              <w:t>Income contingent loan</w:t>
            </w:r>
          </w:p>
        </w:tc>
      </w:tr>
      <w:tr w:rsidR="00F761AA" w:rsidRPr="001E7AA4" w14:paraId="0B433794" w14:textId="77777777" w:rsidTr="004A476E">
        <w:trPr>
          <w:trHeight w:val="454"/>
        </w:trPr>
        <w:tc>
          <w:tcPr>
            <w:tcW w:w="2263" w:type="dxa"/>
          </w:tcPr>
          <w:p w14:paraId="7B309B56" w14:textId="77777777" w:rsidR="00F761AA" w:rsidRPr="00A025B1" w:rsidRDefault="00F761AA" w:rsidP="004A476E">
            <w:pPr>
              <w:rPr>
                <w:b/>
                <w:bCs/>
              </w:rPr>
            </w:pPr>
            <w:r w:rsidRPr="00A025B1">
              <w:rPr>
                <w:b/>
                <w:bCs/>
              </w:rPr>
              <w:t>IRLSAF</w:t>
            </w:r>
          </w:p>
        </w:tc>
        <w:tc>
          <w:tcPr>
            <w:tcW w:w="6753" w:type="dxa"/>
          </w:tcPr>
          <w:p w14:paraId="12C42EC7" w14:textId="77777777" w:rsidR="00F761AA" w:rsidRPr="001E7AA4" w:rsidRDefault="00F761AA" w:rsidP="004A476E">
            <w:r w:rsidRPr="001E7AA4">
              <w:t>Indigenous, Regional and Low SES Attainment Fund</w:t>
            </w:r>
          </w:p>
        </w:tc>
      </w:tr>
      <w:tr w:rsidR="00F761AA" w:rsidRPr="001E7AA4" w14:paraId="5BDCC317" w14:textId="77777777" w:rsidTr="004A476E">
        <w:trPr>
          <w:trHeight w:val="454"/>
        </w:trPr>
        <w:tc>
          <w:tcPr>
            <w:tcW w:w="2263" w:type="dxa"/>
          </w:tcPr>
          <w:p w14:paraId="2CB7CD7B" w14:textId="77777777" w:rsidR="00F761AA" w:rsidRPr="00A025B1" w:rsidRDefault="00F761AA" w:rsidP="004A476E">
            <w:pPr>
              <w:rPr>
                <w:b/>
                <w:bCs/>
              </w:rPr>
            </w:pPr>
            <w:r w:rsidRPr="00A025B1">
              <w:rPr>
                <w:b/>
                <w:bCs/>
              </w:rPr>
              <w:t>JRG</w:t>
            </w:r>
          </w:p>
        </w:tc>
        <w:tc>
          <w:tcPr>
            <w:tcW w:w="6753" w:type="dxa"/>
          </w:tcPr>
          <w:p w14:paraId="2252C1AD" w14:textId="3D6AE26B" w:rsidR="00F761AA" w:rsidRPr="001E7AA4" w:rsidRDefault="00F761AA" w:rsidP="004A476E">
            <w:r w:rsidRPr="001E7AA4">
              <w:t xml:space="preserve">Job-ready </w:t>
            </w:r>
            <w:r w:rsidR="00816FEE" w:rsidRPr="001E7AA4">
              <w:t>G</w:t>
            </w:r>
            <w:r w:rsidRPr="001E7AA4">
              <w:t>raduates</w:t>
            </w:r>
          </w:p>
        </w:tc>
      </w:tr>
      <w:tr w:rsidR="00F761AA" w:rsidRPr="001E7AA4" w14:paraId="02C2E5D7" w14:textId="77777777" w:rsidTr="004A476E">
        <w:trPr>
          <w:trHeight w:val="454"/>
        </w:trPr>
        <w:tc>
          <w:tcPr>
            <w:tcW w:w="2263" w:type="dxa"/>
          </w:tcPr>
          <w:p w14:paraId="3F3540DE" w14:textId="77777777" w:rsidR="00F761AA" w:rsidRPr="00A025B1" w:rsidRDefault="00F761AA" w:rsidP="004A476E">
            <w:pPr>
              <w:rPr>
                <w:b/>
                <w:bCs/>
              </w:rPr>
            </w:pPr>
            <w:r w:rsidRPr="00A025B1">
              <w:rPr>
                <w:b/>
                <w:bCs/>
              </w:rPr>
              <w:t>JSA</w:t>
            </w:r>
          </w:p>
        </w:tc>
        <w:tc>
          <w:tcPr>
            <w:tcW w:w="6753" w:type="dxa"/>
          </w:tcPr>
          <w:p w14:paraId="7906539F" w14:textId="77777777" w:rsidR="00F761AA" w:rsidRPr="001E7AA4" w:rsidRDefault="00F761AA" w:rsidP="004A476E">
            <w:r w:rsidRPr="001E7AA4">
              <w:t>Jobs and Skills Australia</w:t>
            </w:r>
          </w:p>
        </w:tc>
      </w:tr>
      <w:tr w:rsidR="00F761AA" w:rsidRPr="001E7AA4" w14:paraId="71D84220" w14:textId="77777777" w:rsidTr="004A476E">
        <w:trPr>
          <w:trHeight w:val="454"/>
        </w:trPr>
        <w:tc>
          <w:tcPr>
            <w:tcW w:w="2263" w:type="dxa"/>
          </w:tcPr>
          <w:p w14:paraId="09F80BF3" w14:textId="487CEFBF" w:rsidR="00F761AA" w:rsidRPr="00A025B1" w:rsidRDefault="00F761AA" w:rsidP="004A476E">
            <w:pPr>
              <w:rPr>
                <w:b/>
                <w:bCs/>
              </w:rPr>
            </w:pPr>
            <w:r w:rsidRPr="00A025B1">
              <w:rPr>
                <w:b/>
                <w:bCs/>
              </w:rPr>
              <w:t>Low</w:t>
            </w:r>
            <w:r w:rsidR="00487B59" w:rsidRPr="00A025B1">
              <w:rPr>
                <w:b/>
                <w:bCs/>
              </w:rPr>
              <w:t xml:space="preserve"> </w:t>
            </w:r>
            <w:r w:rsidRPr="00A025B1">
              <w:rPr>
                <w:b/>
                <w:bCs/>
              </w:rPr>
              <w:t>SES</w:t>
            </w:r>
          </w:p>
        </w:tc>
        <w:tc>
          <w:tcPr>
            <w:tcW w:w="6753" w:type="dxa"/>
          </w:tcPr>
          <w:p w14:paraId="0BEF2E84" w14:textId="77777777" w:rsidR="00F761AA" w:rsidRPr="001E7AA4" w:rsidRDefault="00F761AA" w:rsidP="004A476E">
            <w:r w:rsidRPr="001E7AA4">
              <w:t>Low socio-economic status</w:t>
            </w:r>
          </w:p>
        </w:tc>
      </w:tr>
      <w:tr w:rsidR="00F761AA" w:rsidRPr="001E7AA4" w14:paraId="6ABED1EC" w14:textId="77777777" w:rsidTr="004A476E">
        <w:trPr>
          <w:trHeight w:val="454"/>
        </w:trPr>
        <w:tc>
          <w:tcPr>
            <w:tcW w:w="2263" w:type="dxa"/>
          </w:tcPr>
          <w:p w14:paraId="106DC1D0" w14:textId="77777777" w:rsidR="00F761AA" w:rsidRPr="00A025B1" w:rsidRDefault="00F761AA" w:rsidP="004A476E">
            <w:pPr>
              <w:rPr>
                <w:b/>
                <w:bCs/>
              </w:rPr>
            </w:pPr>
            <w:r w:rsidRPr="00A025B1">
              <w:rPr>
                <w:b/>
                <w:bCs/>
              </w:rPr>
              <w:t>LTBR</w:t>
            </w:r>
          </w:p>
        </w:tc>
        <w:tc>
          <w:tcPr>
            <w:tcW w:w="6753" w:type="dxa"/>
          </w:tcPr>
          <w:p w14:paraId="5DB102A1" w14:textId="7C065A29" w:rsidR="00F761AA" w:rsidRPr="001E7AA4" w:rsidRDefault="00F761AA" w:rsidP="004A476E">
            <w:r w:rsidRPr="001E7AA4">
              <w:t>Long</w:t>
            </w:r>
            <w:r w:rsidR="00440F60" w:rsidRPr="001E7AA4">
              <w:t>-</w:t>
            </w:r>
            <w:r w:rsidRPr="001E7AA4">
              <w:t>Term Bond Rate</w:t>
            </w:r>
          </w:p>
        </w:tc>
      </w:tr>
      <w:tr w:rsidR="00F761AA" w:rsidRPr="001E7AA4" w14:paraId="10C42156" w14:textId="77777777" w:rsidTr="004A476E">
        <w:trPr>
          <w:trHeight w:val="454"/>
        </w:trPr>
        <w:tc>
          <w:tcPr>
            <w:tcW w:w="2263" w:type="dxa"/>
          </w:tcPr>
          <w:p w14:paraId="3588391B" w14:textId="77777777" w:rsidR="00F761AA" w:rsidRPr="00A025B1" w:rsidRDefault="00F761AA" w:rsidP="004A476E">
            <w:pPr>
              <w:rPr>
                <w:b/>
                <w:bCs/>
              </w:rPr>
            </w:pPr>
            <w:r w:rsidRPr="00A025B1">
              <w:rPr>
                <w:b/>
                <w:bCs/>
              </w:rPr>
              <w:t>NCP</w:t>
            </w:r>
          </w:p>
        </w:tc>
        <w:tc>
          <w:tcPr>
            <w:tcW w:w="6753" w:type="dxa"/>
          </w:tcPr>
          <w:p w14:paraId="460389A4" w14:textId="77777777" w:rsidR="00F761AA" w:rsidRPr="001E7AA4" w:rsidRDefault="00F761AA" w:rsidP="004A476E">
            <w:r w:rsidRPr="001E7AA4">
              <w:t>National Credentials Platform</w:t>
            </w:r>
          </w:p>
        </w:tc>
      </w:tr>
      <w:tr w:rsidR="00F761AA" w:rsidRPr="001E7AA4" w14:paraId="139F6176" w14:textId="77777777" w:rsidTr="004A476E">
        <w:trPr>
          <w:trHeight w:val="454"/>
        </w:trPr>
        <w:tc>
          <w:tcPr>
            <w:tcW w:w="2263" w:type="dxa"/>
          </w:tcPr>
          <w:p w14:paraId="4F3FA207" w14:textId="77777777" w:rsidR="00F761AA" w:rsidRPr="00A025B1" w:rsidRDefault="00F761AA" w:rsidP="004A476E">
            <w:pPr>
              <w:rPr>
                <w:b/>
                <w:bCs/>
              </w:rPr>
            </w:pPr>
            <w:r w:rsidRPr="00A025B1">
              <w:rPr>
                <w:b/>
                <w:bCs/>
              </w:rPr>
              <w:t>NCRIS</w:t>
            </w:r>
          </w:p>
        </w:tc>
        <w:tc>
          <w:tcPr>
            <w:tcW w:w="6753" w:type="dxa"/>
          </w:tcPr>
          <w:p w14:paraId="5737D2D0" w14:textId="77777777" w:rsidR="00F761AA" w:rsidRPr="001E7AA4" w:rsidRDefault="00F761AA" w:rsidP="004A476E">
            <w:r w:rsidRPr="001E7AA4">
              <w:t>National Collaborative Research Infrastructure Strategy</w:t>
            </w:r>
          </w:p>
        </w:tc>
      </w:tr>
      <w:tr w:rsidR="00F761AA" w:rsidRPr="001E7AA4" w14:paraId="0F0EC17B" w14:textId="77777777" w:rsidTr="004A476E">
        <w:trPr>
          <w:trHeight w:val="454"/>
        </w:trPr>
        <w:tc>
          <w:tcPr>
            <w:tcW w:w="2263" w:type="dxa"/>
          </w:tcPr>
          <w:p w14:paraId="646AB4EC" w14:textId="77777777" w:rsidR="00F761AA" w:rsidRPr="00A025B1" w:rsidRDefault="00F761AA" w:rsidP="004A476E">
            <w:pPr>
              <w:rPr>
                <w:b/>
                <w:bCs/>
              </w:rPr>
            </w:pPr>
            <w:r w:rsidRPr="00A025B1">
              <w:rPr>
                <w:b/>
                <w:bCs/>
              </w:rPr>
              <w:t>NETM</w:t>
            </w:r>
          </w:p>
        </w:tc>
        <w:tc>
          <w:tcPr>
            <w:tcW w:w="6753" w:type="dxa"/>
          </w:tcPr>
          <w:p w14:paraId="6CAB9F64" w14:textId="77777777" w:rsidR="00F761AA" w:rsidRPr="001E7AA4" w:rsidRDefault="00F761AA" w:rsidP="004A476E">
            <w:r w:rsidRPr="001E7AA4">
              <w:t>New Education and Training Model</w:t>
            </w:r>
          </w:p>
        </w:tc>
      </w:tr>
      <w:tr w:rsidR="00F761AA" w:rsidRPr="001E7AA4" w14:paraId="2837C86C" w14:textId="77777777" w:rsidTr="004A476E">
        <w:trPr>
          <w:trHeight w:val="454"/>
        </w:trPr>
        <w:tc>
          <w:tcPr>
            <w:tcW w:w="2263" w:type="dxa"/>
          </w:tcPr>
          <w:p w14:paraId="442152CA" w14:textId="77777777" w:rsidR="00F761AA" w:rsidRPr="00A025B1" w:rsidRDefault="00F761AA" w:rsidP="004A476E">
            <w:pPr>
              <w:rPr>
                <w:b/>
                <w:bCs/>
              </w:rPr>
            </w:pPr>
            <w:r w:rsidRPr="00A025B1">
              <w:rPr>
                <w:b/>
                <w:bCs/>
              </w:rPr>
              <w:t>NHMRC</w:t>
            </w:r>
          </w:p>
        </w:tc>
        <w:tc>
          <w:tcPr>
            <w:tcW w:w="6753" w:type="dxa"/>
          </w:tcPr>
          <w:p w14:paraId="4D71F7AF" w14:textId="77777777" w:rsidR="00F761AA" w:rsidRPr="001E7AA4" w:rsidRDefault="00F761AA" w:rsidP="004A476E">
            <w:r w:rsidRPr="001E7AA4">
              <w:t>National Health and Medical Research Council</w:t>
            </w:r>
          </w:p>
        </w:tc>
      </w:tr>
      <w:tr w:rsidR="00F761AA" w:rsidRPr="001E7AA4" w14:paraId="4A0C0386" w14:textId="77777777" w:rsidTr="004A476E">
        <w:trPr>
          <w:trHeight w:val="454"/>
        </w:trPr>
        <w:tc>
          <w:tcPr>
            <w:tcW w:w="2263" w:type="dxa"/>
          </w:tcPr>
          <w:p w14:paraId="7F109486" w14:textId="77777777" w:rsidR="00F761AA" w:rsidRPr="00A025B1" w:rsidRDefault="00F761AA" w:rsidP="004A476E">
            <w:pPr>
              <w:rPr>
                <w:b/>
                <w:bCs/>
              </w:rPr>
            </w:pPr>
            <w:r w:rsidRPr="00A025B1">
              <w:rPr>
                <w:b/>
                <w:bCs/>
              </w:rPr>
              <w:t>NPILF</w:t>
            </w:r>
          </w:p>
        </w:tc>
        <w:tc>
          <w:tcPr>
            <w:tcW w:w="6753" w:type="dxa"/>
          </w:tcPr>
          <w:p w14:paraId="3A1EC8D9" w14:textId="77777777" w:rsidR="00F761AA" w:rsidRPr="001E7AA4" w:rsidRDefault="00F761AA" w:rsidP="004A476E">
            <w:r w:rsidRPr="001E7AA4">
              <w:t>National Priorities and Industry Linkage Fund</w:t>
            </w:r>
          </w:p>
        </w:tc>
      </w:tr>
      <w:tr w:rsidR="00F761AA" w:rsidRPr="001E7AA4" w14:paraId="32DE9472" w14:textId="77777777" w:rsidTr="004A476E">
        <w:trPr>
          <w:trHeight w:val="454"/>
        </w:trPr>
        <w:tc>
          <w:tcPr>
            <w:tcW w:w="2263" w:type="dxa"/>
          </w:tcPr>
          <w:p w14:paraId="49F00B96" w14:textId="77777777" w:rsidR="00F761AA" w:rsidRPr="00A025B1" w:rsidRDefault="00F761AA" w:rsidP="004A476E">
            <w:pPr>
              <w:rPr>
                <w:b/>
                <w:bCs/>
              </w:rPr>
            </w:pPr>
            <w:r w:rsidRPr="00A025B1">
              <w:rPr>
                <w:b/>
                <w:bCs/>
              </w:rPr>
              <w:t>NRU</w:t>
            </w:r>
          </w:p>
        </w:tc>
        <w:tc>
          <w:tcPr>
            <w:tcW w:w="6753" w:type="dxa"/>
          </w:tcPr>
          <w:p w14:paraId="18F96684" w14:textId="77777777" w:rsidR="00F761AA" w:rsidRPr="001E7AA4" w:rsidRDefault="00F761AA" w:rsidP="004A476E">
            <w:r w:rsidRPr="001E7AA4">
              <w:t>National Regional University</w:t>
            </w:r>
          </w:p>
        </w:tc>
      </w:tr>
      <w:tr w:rsidR="00F761AA" w:rsidRPr="001E7AA4" w14:paraId="025FE88F" w14:textId="77777777" w:rsidTr="004A476E">
        <w:trPr>
          <w:trHeight w:val="454"/>
        </w:trPr>
        <w:tc>
          <w:tcPr>
            <w:tcW w:w="2263" w:type="dxa"/>
          </w:tcPr>
          <w:p w14:paraId="1FF19FA0" w14:textId="77777777" w:rsidR="00F761AA" w:rsidRPr="00A025B1" w:rsidRDefault="00F761AA" w:rsidP="004A476E">
            <w:pPr>
              <w:rPr>
                <w:b/>
                <w:bCs/>
              </w:rPr>
            </w:pPr>
            <w:r w:rsidRPr="00A025B1">
              <w:rPr>
                <w:b/>
                <w:bCs/>
              </w:rPr>
              <w:t>NSRA</w:t>
            </w:r>
          </w:p>
        </w:tc>
        <w:tc>
          <w:tcPr>
            <w:tcW w:w="6753" w:type="dxa"/>
          </w:tcPr>
          <w:p w14:paraId="1385782C" w14:textId="77777777" w:rsidR="00F761AA" w:rsidRPr="001E7AA4" w:rsidRDefault="00F761AA" w:rsidP="004A476E">
            <w:r w:rsidRPr="001E7AA4">
              <w:t>National School Reform Agreement</w:t>
            </w:r>
          </w:p>
        </w:tc>
      </w:tr>
      <w:tr w:rsidR="00F761AA" w:rsidRPr="001E7AA4" w14:paraId="2E4841B3" w14:textId="77777777" w:rsidTr="004A476E">
        <w:trPr>
          <w:trHeight w:val="454"/>
        </w:trPr>
        <w:tc>
          <w:tcPr>
            <w:tcW w:w="2263" w:type="dxa"/>
          </w:tcPr>
          <w:p w14:paraId="34696EBF" w14:textId="77777777" w:rsidR="00F761AA" w:rsidRPr="00A025B1" w:rsidRDefault="00F761AA" w:rsidP="004A476E">
            <w:pPr>
              <w:rPr>
                <w:b/>
                <w:bCs/>
              </w:rPr>
            </w:pPr>
            <w:r w:rsidRPr="00A025B1">
              <w:rPr>
                <w:b/>
                <w:bCs/>
              </w:rPr>
              <w:t>NUHEPs</w:t>
            </w:r>
          </w:p>
        </w:tc>
        <w:tc>
          <w:tcPr>
            <w:tcW w:w="6753" w:type="dxa"/>
          </w:tcPr>
          <w:p w14:paraId="4BCA6317" w14:textId="77777777" w:rsidR="00F761AA" w:rsidRPr="001E7AA4" w:rsidRDefault="00F761AA" w:rsidP="004A476E">
            <w:r w:rsidRPr="001E7AA4">
              <w:t>Non-university higher education providers</w:t>
            </w:r>
          </w:p>
        </w:tc>
      </w:tr>
      <w:tr w:rsidR="00F761AA" w:rsidRPr="001E7AA4" w14:paraId="2A555786" w14:textId="77777777" w:rsidTr="004A476E">
        <w:trPr>
          <w:trHeight w:val="454"/>
        </w:trPr>
        <w:tc>
          <w:tcPr>
            <w:tcW w:w="2263" w:type="dxa"/>
          </w:tcPr>
          <w:p w14:paraId="250D296D" w14:textId="77777777" w:rsidR="00F761AA" w:rsidRPr="00A025B1" w:rsidRDefault="00F761AA" w:rsidP="004A476E">
            <w:pPr>
              <w:rPr>
                <w:b/>
                <w:bCs/>
              </w:rPr>
            </w:pPr>
            <w:r w:rsidRPr="00A025B1">
              <w:rPr>
                <w:b/>
                <w:bCs/>
              </w:rPr>
              <w:t>OECD</w:t>
            </w:r>
          </w:p>
        </w:tc>
        <w:tc>
          <w:tcPr>
            <w:tcW w:w="6753" w:type="dxa"/>
          </w:tcPr>
          <w:p w14:paraId="04FAF353" w14:textId="77777777" w:rsidR="00F761AA" w:rsidRPr="001E7AA4" w:rsidRDefault="00F761AA" w:rsidP="004A476E">
            <w:r w:rsidRPr="001E7AA4">
              <w:t>Organisation for Economic Co-operation and Development</w:t>
            </w:r>
          </w:p>
        </w:tc>
      </w:tr>
      <w:tr w:rsidR="00F761AA" w:rsidRPr="001E7AA4" w14:paraId="0AD5350B" w14:textId="77777777" w:rsidTr="004A476E">
        <w:trPr>
          <w:trHeight w:val="454"/>
        </w:trPr>
        <w:tc>
          <w:tcPr>
            <w:tcW w:w="2263" w:type="dxa"/>
          </w:tcPr>
          <w:p w14:paraId="270B7524" w14:textId="77777777" w:rsidR="00F761AA" w:rsidRPr="00A025B1" w:rsidRDefault="00F761AA" w:rsidP="004A476E">
            <w:pPr>
              <w:rPr>
                <w:b/>
                <w:bCs/>
              </w:rPr>
            </w:pPr>
            <w:r w:rsidRPr="00A025B1">
              <w:rPr>
                <w:b/>
                <w:bCs/>
              </w:rPr>
              <w:t>OLT</w:t>
            </w:r>
          </w:p>
        </w:tc>
        <w:tc>
          <w:tcPr>
            <w:tcW w:w="6753" w:type="dxa"/>
          </w:tcPr>
          <w:p w14:paraId="7D99A829" w14:textId="77777777" w:rsidR="00F761AA" w:rsidRPr="001E7AA4" w:rsidRDefault="00F761AA" w:rsidP="004A476E">
            <w:r w:rsidRPr="001E7AA4">
              <w:t>Office for Learning and Teaching</w:t>
            </w:r>
          </w:p>
        </w:tc>
      </w:tr>
      <w:tr w:rsidR="00F761AA" w:rsidRPr="001E7AA4" w14:paraId="3B0D4479" w14:textId="77777777" w:rsidTr="004A476E">
        <w:trPr>
          <w:trHeight w:val="454"/>
        </w:trPr>
        <w:tc>
          <w:tcPr>
            <w:tcW w:w="2263" w:type="dxa"/>
          </w:tcPr>
          <w:p w14:paraId="30609C1F" w14:textId="77777777" w:rsidR="00F761AA" w:rsidRPr="00A025B1" w:rsidRDefault="00F761AA" w:rsidP="004A476E">
            <w:pPr>
              <w:rPr>
                <w:b/>
                <w:bCs/>
              </w:rPr>
            </w:pPr>
            <w:r w:rsidRPr="00A025B1">
              <w:rPr>
                <w:b/>
                <w:bCs/>
              </w:rPr>
              <w:t>PCS</w:t>
            </w:r>
          </w:p>
        </w:tc>
        <w:tc>
          <w:tcPr>
            <w:tcW w:w="6753" w:type="dxa"/>
          </w:tcPr>
          <w:p w14:paraId="055222CA" w14:textId="77777777" w:rsidR="00F761AA" w:rsidRPr="001E7AA4" w:rsidRDefault="00F761AA" w:rsidP="004A476E">
            <w:r w:rsidRPr="001E7AA4">
              <w:t>Provider Category Standards</w:t>
            </w:r>
          </w:p>
        </w:tc>
      </w:tr>
      <w:tr w:rsidR="00F761AA" w:rsidRPr="001E7AA4" w14:paraId="084392F8" w14:textId="77777777" w:rsidTr="004A476E">
        <w:trPr>
          <w:trHeight w:val="454"/>
        </w:trPr>
        <w:tc>
          <w:tcPr>
            <w:tcW w:w="2263" w:type="dxa"/>
          </w:tcPr>
          <w:p w14:paraId="0708AC6E" w14:textId="77777777" w:rsidR="00F761AA" w:rsidRPr="00A025B1" w:rsidRDefault="00F761AA" w:rsidP="004A476E">
            <w:pPr>
              <w:rPr>
                <w:b/>
                <w:bCs/>
              </w:rPr>
            </w:pPr>
            <w:r w:rsidRPr="00A025B1">
              <w:rPr>
                <w:b/>
                <w:bCs/>
              </w:rPr>
              <w:t>PSWR</w:t>
            </w:r>
          </w:p>
        </w:tc>
        <w:tc>
          <w:tcPr>
            <w:tcW w:w="6753" w:type="dxa"/>
          </w:tcPr>
          <w:p w14:paraId="72CB9C99" w14:textId="77777777" w:rsidR="00F761AA" w:rsidRPr="001E7AA4" w:rsidRDefault="00F761AA" w:rsidP="004A476E">
            <w:r w:rsidRPr="001E7AA4">
              <w:t>Post-study work rights</w:t>
            </w:r>
          </w:p>
        </w:tc>
      </w:tr>
      <w:tr w:rsidR="00F761AA" w:rsidRPr="001E7AA4" w14:paraId="502EC213" w14:textId="77777777" w:rsidTr="004A476E">
        <w:trPr>
          <w:trHeight w:val="454"/>
        </w:trPr>
        <w:tc>
          <w:tcPr>
            <w:tcW w:w="2263" w:type="dxa"/>
          </w:tcPr>
          <w:p w14:paraId="2369F176" w14:textId="77777777" w:rsidR="00F761AA" w:rsidRPr="00A025B1" w:rsidRDefault="00F761AA" w:rsidP="004A476E">
            <w:pPr>
              <w:rPr>
                <w:b/>
                <w:bCs/>
              </w:rPr>
            </w:pPr>
            <w:r w:rsidRPr="00A025B1">
              <w:rPr>
                <w:b/>
                <w:bCs/>
              </w:rPr>
              <w:t>QILT</w:t>
            </w:r>
          </w:p>
        </w:tc>
        <w:tc>
          <w:tcPr>
            <w:tcW w:w="6753" w:type="dxa"/>
          </w:tcPr>
          <w:p w14:paraId="32610CA4" w14:textId="77777777" w:rsidR="00F761AA" w:rsidRPr="001E7AA4" w:rsidRDefault="00F761AA" w:rsidP="004A476E">
            <w:r w:rsidRPr="001E7AA4">
              <w:t>Quality Indicators for Learning and Teaching</w:t>
            </w:r>
          </w:p>
        </w:tc>
      </w:tr>
      <w:tr w:rsidR="00F761AA" w:rsidRPr="001E7AA4" w14:paraId="386D0ED2" w14:textId="77777777" w:rsidTr="004A476E">
        <w:trPr>
          <w:trHeight w:val="454"/>
        </w:trPr>
        <w:tc>
          <w:tcPr>
            <w:tcW w:w="2263" w:type="dxa"/>
          </w:tcPr>
          <w:p w14:paraId="2CD82C38" w14:textId="77777777" w:rsidR="00F761AA" w:rsidRPr="00A025B1" w:rsidRDefault="00F761AA" w:rsidP="004A476E">
            <w:pPr>
              <w:rPr>
                <w:b/>
                <w:bCs/>
              </w:rPr>
            </w:pPr>
            <w:r w:rsidRPr="00A025B1">
              <w:rPr>
                <w:b/>
                <w:bCs/>
              </w:rPr>
              <w:t>R&amp;D</w:t>
            </w:r>
          </w:p>
        </w:tc>
        <w:tc>
          <w:tcPr>
            <w:tcW w:w="6753" w:type="dxa"/>
          </w:tcPr>
          <w:p w14:paraId="7C252799" w14:textId="77777777" w:rsidR="00F761AA" w:rsidRPr="001E7AA4" w:rsidRDefault="00F761AA" w:rsidP="004A476E">
            <w:r w:rsidRPr="001E7AA4">
              <w:t>Research and development</w:t>
            </w:r>
          </w:p>
        </w:tc>
      </w:tr>
      <w:tr w:rsidR="00F761AA" w:rsidRPr="001E7AA4" w14:paraId="2B3DE857" w14:textId="77777777" w:rsidTr="004A476E">
        <w:trPr>
          <w:trHeight w:val="454"/>
        </w:trPr>
        <w:tc>
          <w:tcPr>
            <w:tcW w:w="2263" w:type="dxa"/>
          </w:tcPr>
          <w:p w14:paraId="4ADE5A0B" w14:textId="77777777" w:rsidR="00F761AA" w:rsidRPr="00A025B1" w:rsidRDefault="00F761AA" w:rsidP="004A476E">
            <w:pPr>
              <w:rPr>
                <w:b/>
                <w:bCs/>
              </w:rPr>
            </w:pPr>
            <w:r w:rsidRPr="00A025B1">
              <w:rPr>
                <w:b/>
                <w:bCs/>
              </w:rPr>
              <w:t>RPL</w:t>
            </w:r>
          </w:p>
        </w:tc>
        <w:tc>
          <w:tcPr>
            <w:tcW w:w="6753" w:type="dxa"/>
          </w:tcPr>
          <w:p w14:paraId="4F3123F9" w14:textId="77777777" w:rsidR="00F761AA" w:rsidRPr="001E7AA4" w:rsidRDefault="00F761AA" w:rsidP="004A476E">
            <w:r w:rsidRPr="001E7AA4">
              <w:t>Recognition of prior learning</w:t>
            </w:r>
          </w:p>
        </w:tc>
      </w:tr>
      <w:tr w:rsidR="00F761AA" w:rsidRPr="001E7AA4" w14:paraId="7E0F7524" w14:textId="77777777" w:rsidTr="004A476E">
        <w:trPr>
          <w:trHeight w:val="454"/>
        </w:trPr>
        <w:tc>
          <w:tcPr>
            <w:tcW w:w="2263" w:type="dxa"/>
          </w:tcPr>
          <w:p w14:paraId="01072621" w14:textId="77777777" w:rsidR="00F761AA" w:rsidRPr="00A025B1" w:rsidRDefault="00F761AA" w:rsidP="004A476E">
            <w:pPr>
              <w:rPr>
                <w:b/>
                <w:bCs/>
              </w:rPr>
            </w:pPr>
            <w:r w:rsidRPr="00A025B1">
              <w:rPr>
                <w:b/>
                <w:bCs/>
              </w:rPr>
              <w:t>RUCs</w:t>
            </w:r>
          </w:p>
        </w:tc>
        <w:tc>
          <w:tcPr>
            <w:tcW w:w="6753" w:type="dxa"/>
          </w:tcPr>
          <w:p w14:paraId="0A4E6F46" w14:textId="77777777" w:rsidR="00F761AA" w:rsidRPr="001E7AA4" w:rsidRDefault="00F761AA" w:rsidP="004A476E">
            <w:r w:rsidRPr="001E7AA4">
              <w:t>Regional University Centres</w:t>
            </w:r>
          </w:p>
        </w:tc>
      </w:tr>
      <w:tr w:rsidR="00F761AA" w:rsidRPr="001E7AA4" w14:paraId="19432536" w14:textId="77777777" w:rsidTr="004A476E">
        <w:trPr>
          <w:trHeight w:val="454"/>
        </w:trPr>
        <w:tc>
          <w:tcPr>
            <w:tcW w:w="2263" w:type="dxa"/>
          </w:tcPr>
          <w:p w14:paraId="320DF1EF" w14:textId="77777777" w:rsidR="00F761AA" w:rsidRPr="00A025B1" w:rsidRDefault="00F761AA" w:rsidP="004A476E">
            <w:pPr>
              <w:rPr>
                <w:b/>
                <w:bCs/>
              </w:rPr>
            </w:pPr>
            <w:r w:rsidRPr="00A025B1">
              <w:rPr>
                <w:b/>
                <w:bCs/>
              </w:rPr>
              <w:t>SES</w:t>
            </w:r>
          </w:p>
        </w:tc>
        <w:tc>
          <w:tcPr>
            <w:tcW w:w="6753" w:type="dxa"/>
          </w:tcPr>
          <w:p w14:paraId="5C0725D4" w14:textId="77777777" w:rsidR="00F761AA" w:rsidRPr="001E7AA4" w:rsidRDefault="00F761AA" w:rsidP="004A476E">
            <w:r w:rsidRPr="001E7AA4">
              <w:t>Student Experience Survey</w:t>
            </w:r>
          </w:p>
        </w:tc>
      </w:tr>
      <w:tr w:rsidR="00F761AA" w:rsidRPr="001E7AA4" w14:paraId="3A55ECAB" w14:textId="77777777" w:rsidTr="004A476E">
        <w:trPr>
          <w:trHeight w:val="454"/>
        </w:trPr>
        <w:tc>
          <w:tcPr>
            <w:tcW w:w="2263" w:type="dxa"/>
          </w:tcPr>
          <w:p w14:paraId="3FF7515F" w14:textId="77777777" w:rsidR="00F761AA" w:rsidRPr="00A025B1" w:rsidRDefault="00F761AA" w:rsidP="004A476E">
            <w:pPr>
              <w:rPr>
                <w:b/>
                <w:bCs/>
              </w:rPr>
            </w:pPr>
            <w:r w:rsidRPr="00A025B1">
              <w:rPr>
                <w:b/>
                <w:bCs/>
              </w:rPr>
              <w:lastRenderedPageBreak/>
              <w:t>SME</w:t>
            </w:r>
          </w:p>
        </w:tc>
        <w:tc>
          <w:tcPr>
            <w:tcW w:w="6753" w:type="dxa"/>
          </w:tcPr>
          <w:p w14:paraId="0DF991AA" w14:textId="77777777" w:rsidR="00F761AA" w:rsidRPr="001E7AA4" w:rsidRDefault="00F761AA" w:rsidP="004A476E">
            <w:r w:rsidRPr="001E7AA4">
              <w:t>Small and medium-sized enterprises</w:t>
            </w:r>
          </w:p>
        </w:tc>
      </w:tr>
      <w:tr w:rsidR="00F761AA" w:rsidRPr="001E7AA4" w14:paraId="672270A7" w14:textId="77777777" w:rsidTr="004A476E">
        <w:trPr>
          <w:trHeight w:val="454"/>
        </w:trPr>
        <w:tc>
          <w:tcPr>
            <w:tcW w:w="2263" w:type="dxa"/>
          </w:tcPr>
          <w:p w14:paraId="0D6521A8" w14:textId="77777777" w:rsidR="00F761AA" w:rsidRPr="00A025B1" w:rsidRDefault="00F761AA" w:rsidP="004A476E">
            <w:pPr>
              <w:rPr>
                <w:b/>
                <w:bCs/>
              </w:rPr>
            </w:pPr>
            <w:r w:rsidRPr="00A025B1">
              <w:rPr>
                <w:b/>
                <w:bCs/>
              </w:rPr>
              <w:t>SRS</w:t>
            </w:r>
          </w:p>
        </w:tc>
        <w:tc>
          <w:tcPr>
            <w:tcW w:w="6753" w:type="dxa"/>
          </w:tcPr>
          <w:p w14:paraId="7BC8F315" w14:textId="77777777" w:rsidR="00F761AA" w:rsidRPr="001E7AA4" w:rsidRDefault="00F761AA" w:rsidP="004A476E">
            <w:r w:rsidRPr="001E7AA4">
              <w:t>Schooling Resource Standard</w:t>
            </w:r>
          </w:p>
        </w:tc>
      </w:tr>
      <w:tr w:rsidR="00F761AA" w:rsidRPr="001E7AA4" w14:paraId="732F91E1" w14:textId="77777777" w:rsidTr="004A476E">
        <w:trPr>
          <w:trHeight w:val="454"/>
        </w:trPr>
        <w:tc>
          <w:tcPr>
            <w:tcW w:w="2263" w:type="dxa"/>
          </w:tcPr>
          <w:p w14:paraId="2F48929B" w14:textId="77777777" w:rsidR="00F761AA" w:rsidRPr="00A025B1" w:rsidRDefault="00F761AA" w:rsidP="004A476E">
            <w:pPr>
              <w:rPr>
                <w:b/>
                <w:bCs/>
              </w:rPr>
            </w:pPr>
            <w:r w:rsidRPr="00A025B1">
              <w:rPr>
                <w:b/>
                <w:bCs/>
              </w:rPr>
              <w:t>SSAF</w:t>
            </w:r>
          </w:p>
        </w:tc>
        <w:tc>
          <w:tcPr>
            <w:tcW w:w="6753" w:type="dxa"/>
          </w:tcPr>
          <w:p w14:paraId="0E2D1948" w14:textId="77777777" w:rsidR="00F761AA" w:rsidRPr="001E7AA4" w:rsidRDefault="00F761AA" w:rsidP="004A476E">
            <w:r w:rsidRPr="001E7AA4">
              <w:t>Student Services and Amenities Fee</w:t>
            </w:r>
          </w:p>
        </w:tc>
      </w:tr>
      <w:tr w:rsidR="00F761AA" w:rsidRPr="001E7AA4" w14:paraId="133486BE" w14:textId="77777777" w:rsidTr="004A476E">
        <w:trPr>
          <w:trHeight w:val="454"/>
        </w:trPr>
        <w:tc>
          <w:tcPr>
            <w:tcW w:w="2263" w:type="dxa"/>
          </w:tcPr>
          <w:p w14:paraId="02FC63D2" w14:textId="77777777" w:rsidR="00F761AA" w:rsidRPr="00A025B1" w:rsidRDefault="00F761AA" w:rsidP="004A476E">
            <w:pPr>
              <w:rPr>
                <w:b/>
                <w:bCs/>
              </w:rPr>
            </w:pPr>
            <w:r w:rsidRPr="00A025B1">
              <w:rPr>
                <w:b/>
                <w:bCs/>
              </w:rPr>
              <w:t>STEM</w:t>
            </w:r>
          </w:p>
        </w:tc>
        <w:tc>
          <w:tcPr>
            <w:tcW w:w="6753" w:type="dxa"/>
          </w:tcPr>
          <w:p w14:paraId="278E252A" w14:textId="77777777" w:rsidR="00F761AA" w:rsidRPr="001E7AA4" w:rsidRDefault="00F761AA" w:rsidP="004A476E">
            <w:r w:rsidRPr="001E7AA4">
              <w:t>Science, technology, engineering and mathematics</w:t>
            </w:r>
          </w:p>
        </w:tc>
      </w:tr>
      <w:tr w:rsidR="00F761AA" w:rsidRPr="001E7AA4" w14:paraId="486774F4" w14:textId="77777777" w:rsidTr="004A476E">
        <w:trPr>
          <w:trHeight w:val="454"/>
        </w:trPr>
        <w:tc>
          <w:tcPr>
            <w:tcW w:w="2263" w:type="dxa"/>
          </w:tcPr>
          <w:p w14:paraId="6121E044" w14:textId="77777777" w:rsidR="00F761AA" w:rsidRPr="00A025B1" w:rsidRDefault="00F761AA" w:rsidP="004A476E">
            <w:pPr>
              <w:rPr>
                <w:b/>
                <w:bCs/>
              </w:rPr>
            </w:pPr>
            <w:r w:rsidRPr="00A025B1">
              <w:rPr>
                <w:b/>
                <w:bCs/>
              </w:rPr>
              <w:t>TAFE</w:t>
            </w:r>
          </w:p>
        </w:tc>
        <w:tc>
          <w:tcPr>
            <w:tcW w:w="6753" w:type="dxa"/>
          </w:tcPr>
          <w:p w14:paraId="6BA58836" w14:textId="77777777" w:rsidR="00F761AA" w:rsidRPr="001E7AA4" w:rsidRDefault="00F761AA" w:rsidP="004A476E">
            <w:r w:rsidRPr="001E7AA4">
              <w:t>Technical and Further Education</w:t>
            </w:r>
          </w:p>
        </w:tc>
      </w:tr>
      <w:tr w:rsidR="00F761AA" w:rsidRPr="001E7AA4" w14:paraId="6FEED32B" w14:textId="77777777" w:rsidTr="004A476E">
        <w:trPr>
          <w:trHeight w:val="454"/>
        </w:trPr>
        <w:tc>
          <w:tcPr>
            <w:tcW w:w="2263" w:type="dxa"/>
          </w:tcPr>
          <w:p w14:paraId="39FFCB0C" w14:textId="77777777" w:rsidR="00F761AA" w:rsidRPr="00A025B1" w:rsidRDefault="00F761AA" w:rsidP="004A476E">
            <w:pPr>
              <w:rPr>
                <w:b/>
                <w:bCs/>
              </w:rPr>
            </w:pPr>
            <w:r w:rsidRPr="00A025B1">
              <w:rPr>
                <w:b/>
                <w:bCs/>
              </w:rPr>
              <w:t>TEQSA</w:t>
            </w:r>
          </w:p>
        </w:tc>
        <w:tc>
          <w:tcPr>
            <w:tcW w:w="6753" w:type="dxa"/>
          </w:tcPr>
          <w:p w14:paraId="251D4BBA" w14:textId="77777777" w:rsidR="00F761AA" w:rsidRPr="001E7AA4" w:rsidRDefault="00F761AA" w:rsidP="004A476E">
            <w:r w:rsidRPr="001E7AA4">
              <w:t>Tertiary Education Quality and Standards Agency</w:t>
            </w:r>
          </w:p>
        </w:tc>
      </w:tr>
      <w:tr w:rsidR="00F761AA" w:rsidRPr="001E7AA4" w14:paraId="7B5048BE" w14:textId="77777777" w:rsidTr="004A476E">
        <w:trPr>
          <w:trHeight w:val="454"/>
        </w:trPr>
        <w:tc>
          <w:tcPr>
            <w:tcW w:w="2263" w:type="dxa"/>
          </w:tcPr>
          <w:p w14:paraId="38280618" w14:textId="77777777" w:rsidR="00F761AA" w:rsidRPr="00A025B1" w:rsidRDefault="00F761AA" w:rsidP="004A476E">
            <w:pPr>
              <w:rPr>
                <w:b/>
                <w:bCs/>
              </w:rPr>
            </w:pPr>
            <w:r w:rsidRPr="00A025B1">
              <w:rPr>
                <w:b/>
                <w:bCs/>
              </w:rPr>
              <w:t>UNESCO</w:t>
            </w:r>
          </w:p>
        </w:tc>
        <w:tc>
          <w:tcPr>
            <w:tcW w:w="6753" w:type="dxa"/>
          </w:tcPr>
          <w:p w14:paraId="727E88BA" w14:textId="77777777" w:rsidR="00F761AA" w:rsidRPr="001E7AA4" w:rsidRDefault="00F761AA" w:rsidP="004A476E">
            <w:r w:rsidRPr="001E7AA4">
              <w:t>United Nations Educational, Scientific and Cultural Organization</w:t>
            </w:r>
          </w:p>
        </w:tc>
      </w:tr>
      <w:tr w:rsidR="00F761AA" w:rsidRPr="001E7AA4" w14:paraId="11E644FA" w14:textId="77777777" w:rsidTr="004A476E">
        <w:trPr>
          <w:trHeight w:val="454"/>
        </w:trPr>
        <w:tc>
          <w:tcPr>
            <w:tcW w:w="2263" w:type="dxa"/>
          </w:tcPr>
          <w:p w14:paraId="5203A6EB" w14:textId="77777777" w:rsidR="00F761AA" w:rsidRPr="00A025B1" w:rsidRDefault="00F761AA" w:rsidP="004A476E">
            <w:pPr>
              <w:rPr>
                <w:b/>
                <w:bCs/>
              </w:rPr>
            </w:pPr>
            <w:r w:rsidRPr="00A025B1">
              <w:rPr>
                <w:b/>
                <w:bCs/>
              </w:rPr>
              <w:t>VET</w:t>
            </w:r>
          </w:p>
        </w:tc>
        <w:tc>
          <w:tcPr>
            <w:tcW w:w="6753" w:type="dxa"/>
          </w:tcPr>
          <w:p w14:paraId="712775FC" w14:textId="77777777" w:rsidR="00F761AA" w:rsidRPr="001E7AA4" w:rsidRDefault="00F761AA" w:rsidP="004A476E">
            <w:r w:rsidRPr="001E7AA4">
              <w:t>Vocational education and training</w:t>
            </w:r>
          </w:p>
        </w:tc>
      </w:tr>
      <w:tr w:rsidR="00F761AA" w:rsidRPr="001E7AA4" w14:paraId="261457BE" w14:textId="77777777" w:rsidTr="004A476E">
        <w:trPr>
          <w:trHeight w:val="454"/>
        </w:trPr>
        <w:tc>
          <w:tcPr>
            <w:tcW w:w="2263" w:type="dxa"/>
          </w:tcPr>
          <w:p w14:paraId="49F0EB2F" w14:textId="77777777" w:rsidR="00F761AA" w:rsidRPr="00A025B1" w:rsidRDefault="00F761AA" w:rsidP="004A476E">
            <w:pPr>
              <w:rPr>
                <w:b/>
                <w:bCs/>
              </w:rPr>
            </w:pPr>
            <w:r w:rsidRPr="00A025B1">
              <w:rPr>
                <w:b/>
                <w:bCs/>
              </w:rPr>
              <w:t>WIL</w:t>
            </w:r>
          </w:p>
        </w:tc>
        <w:tc>
          <w:tcPr>
            <w:tcW w:w="6753" w:type="dxa"/>
          </w:tcPr>
          <w:p w14:paraId="3A7B450A" w14:textId="053F29E9" w:rsidR="00F761AA" w:rsidRPr="001E7AA4" w:rsidRDefault="00F761AA" w:rsidP="004A476E">
            <w:r w:rsidRPr="001E7AA4">
              <w:t xml:space="preserve">Work </w:t>
            </w:r>
            <w:r w:rsidR="00032ED1" w:rsidRPr="001E7AA4">
              <w:t>I</w:t>
            </w:r>
            <w:r w:rsidRPr="001E7AA4">
              <w:t xml:space="preserve">ntegrated </w:t>
            </w:r>
            <w:r w:rsidR="00032ED1" w:rsidRPr="001E7AA4">
              <w:t>L</w:t>
            </w:r>
            <w:r w:rsidRPr="001E7AA4">
              <w:t>earning</w:t>
            </w:r>
          </w:p>
        </w:tc>
      </w:tr>
      <w:tr w:rsidR="00F761AA" w14:paraId="3CF68559" w14:textId="77777777" w:rsidTr="004A476E">
        <w:trPr>
          <w:trHeight w:val="454"/>
        </w:trPr>
        <w:tc>
          <w:tcPr>
            <w:tcW w:w="2263" w:type="dxa"/>
          </w:tcPr>
          <w:p w14:paraId="7576D5F5" w14:textId="77777777" w:rsidR="00F761AA" w:rsidRPr="00A025B1" w:rsidRDefault="00F761AA" w:rsidP="004A476E">
            <w:pPr>
              <w:rPr>
                <w:b/>
                <w:bCs/>
              </w:rPr>
            </w:pPr>
            <w:r w:rsidRPr="00A025B1">
              <w:rPr>
                <w:b/>
                <w:bCs/>
              </w:rPr>
              <w:t>WPI</w:t>
            </w:r>
          </w:p>
        </w:tc>
        <w:tc>
          <w:tcPr>
            <w:tcW w:w="6753" w:type="dxa"/>
          </w:tcPr>
          <w:p w14:paraId="6AFB1236" w14:textId="77777777" w:rsidR="00F761AA" w:rsidRDefault="00F761AA" w:rsidP="004A476E">
            <w:r w:rsidRPr="001E7AA4">
              <w:t>Wage Price Index</w:t>
            </w:r>
          </w:p>
        </w:tc>
      </w:tr>
    </w:tbl>
    <w:p w14:paraId="7F98BBCE" w14:textId="5917FED5" w:rsidR="00841573" w:rsidRDefault="00841573">
      <w:pPr>
        <w:spacing w:after="160"/>
      </w:pPr>
    </w:p>
    <w:sectPr w:rsidR="00841573" w:rsidSect="00491482">
      <w:pgSz w:w="11906" w:h="16838" w:code="9"/>
      <w:pgMar w:top="1225"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0CC03" w14:textId="77777777" w:rsidR="00C705A5" w:rsidRDefault="00C705A5" w:rsidP="000A6228">
      <w:pPr>
        <w:spacing w:after="0" w:line="240" w:lineRule="auto"/>
      </w:pPr>
      <w:r>
        <w:separator/>
      </w:r>
    </w:p>
  </w:endnote>
  <w:endnote w:type="continuationSeparator" w:id="0">
    <w:p w14:paraId="2B9B6D77" w14:textId="77777777" w:rsidR="00C705A5" w:rsidRDefault="00C705A5" w:rsidP="000A6228">
      <w:pPr>
        <w:spacing w:after="0" w:line="240" w:lineRule="auto"/>
      </w:pPr>
      <w:r>
        <w:continuationSeparator/>
      </w:r>
    </w:p>
  </w:endnote>
  <w:endnote w:type="continuationNotice" w:id="1">
    <w:p w14:paraId="4FCB0D94" w14:textId="77777777" w:rsidR="00C705A5" w:rsidRDefault="00C705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58E1E" w14:textId="77777777" w:rsidR="00D9797D" w:rsidRDefault="00D979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6739830"/>
      <w:docPartObj>
        <w:docPartGallery w:val="Page Numbers (Bottom of Page)"/>
        <w:docPartUnique/>
      </w:docPartObj>
    </w:sdtPr>
    <w:sdtEndPr>
      <w:rPr>
        <w:noProof/>
      </w:rPr>
    </w:sdtEndPr>
    <w:sdtContent>
      <w:p w14:paraId="1E68F84F" w14:textId="6BB264FA" w:rsidR="00794DDF" w:rsidRDefault="00794DDF">
        <w:pPr>
          <w:pStyle w:val="Footer"/>
        </w:pPr>
        <w:r>
          <w:fldChar w:fldCharType="begin"/>
        </w:r>
        <w:r>
          <w:instrText xml:space="preserve"> PAGE   \* MERGEFORMAT </w:instrText>
        </w:r>
        <w:r>
          <w:fldChar w:fldCharType="separate"/>
        </w:r>
        <w:r>
          <w:rPr>
            <w:noProof/>
          </w:rPr>
          <w:t>2</w:t>
        </w:r>
        <w:r>
          <w:rPr>
            <w:noProof/>
          </w:rPr>
          <w:fldChar w:fldCharType="end"/>
        </w:r>
      </w:p>
    </w:sdtContent>
  </w:sdt>
  <w:p w14:paraId="3C304C76" w14:textId="3684C43C" w:rsidR="00D86284" w:rsidRDefault="00D862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4DEA6" w14:textId="6DCDDA9C" w:rsidR="00E618C1" w:rsidRDefault="00E618C1">
    <w:pPr>
      <w:pStyle w:val="Footer"/>
    </w:pPr>
    <w:r>
      <w:fldChar w:fldCharType="begin"/>
    </w:r>
    <w:r>
      <w:instrText xml:space="preserve"> PAGE   \* MERGEFORMAT </w:instrText>
    </w:r>
    <w:r>
      <w:fldChar w:fldCharType="separate"/>
    </w:r>
    <w:r>
      <w:rPr>
        <w:noProof/>
      </w:rPr>
      <w:t>2</w:t>
    </w:r>
    <w:r>
      <w:rPr>
        <w:noProof/>
      </w:rPr>
      <w:fldChar w:fldCharType="end"/>
    </w:r>
  </w:p>
  <w:p w14:paraId="051F9215" w14:textId="77777777" w:rsidR="00FE7553" w:rsidRDefault="00FE75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A229C" w14:textId="77777777" w:rsidR="00C705A5" w:rsidRDefault="00C705A5" w:rsidP="000A6228">
      <w:pPr>
        <w:spacing w:after="0" w:line="240" w:lineRule="auto"/>
      </w:pPr>
      <w:r>
        <w:separator/>
      </w:r>
    </w:p>
  </w:footnote>
  <w:footnote w:type="continuationSeparator" w:id="0">
    <w:p w14:paraId="43C8D2BC" w14:textId="77777777" w:rsidR="00C705A5" w:rsidRDefault="00C705A5" w:rsidP="000A6228">
      <w:pPr>
        <w:spacing w:after="0" w:line="240" w:lineRule="auto"/>
      </w:pPr>
      <w:r>
        <w:continuationSeparator/>
      </w:r>
    </w:p>
  </w:footnote>
  <w:footnote w:type="continuationNotice" w:id="1">
    <w:p w14:paraId="3AE47142" w14:textId="77777777" w:rsidR="00C705A5" w:rsidRDefault="00C705A5">
      <w:pPr>
        <w:spacing w:after="0" w:line="240" w:lineRule="auto"/>
      </w:pPr>
    </w:p>
  </w:footnote>
  <w:footnote w:id="2">
    <w:p w14:paraId="3433335F" w14:textId="07B93FD6" w:rsidR="00667F76" w:rsidRPr="00E96855" w:rsidRDefault="00667F76">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356710" w:rsidRPr="00E96855">
        <w:rPr>
          <w:rFonts w:cstheme="minorHAnsi"/>
          <w:sz w:val="18"/>
          <w:szCs w:val="18"/>
        </w:rPr>
        <w:t xml:space="preserve">National Skills Commission (NSC), </w:t>
      </w:r>
      <w:hyperlink r:id="rId1" w:history="1">
        <w:r w:rsidR="00B76B73" w:rsidRPr="00E96855">
          <w:rPr>
            <w:rStyle w:val="Hyperlink"/>
            <w:rFonts w:cstheme="minorHAnsi"/>
            <w:i/>
            <w:sz w:val="18"/>
            <w:szCs w:val="18"/>
          </w:rPr>
          <w:t>Employment outlook (five years to November 2026)</w:t>
        </w:r>
      </w:hyperlink>
      <w:r w:rsidR="00356710" w:rsidRPr="00E96855">
        <w:rPr>
          <w:rFonts w:cstheme="minorHAnsi"/>
          <w:sz w:val="18"/>
          <w:szCs w:val="18"/>
        </w:rPr>
        <w:t>, NSC, Australian Government, 2021, accessed 7 June 2023.</w:t>
      </w:r>
    </w:p>
  </w:footnote>
  <w:footnote w:id="3">
    <w:p w14:paraId="1BE508B4" w14:textId="77777777" w:rsidR="009F6875" w:rsidRPr="00E96855" w:rsidRDefault="009F6875" w:rsidP="009F6875">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Recognition of prior learning (RPL) is when an individual’s previous training, work experience and/or study is recognised and counted toward their qualification as credit.</w:t>
      </w:r>
    </w:p>
  </w:footnote>
  <w:footnote w:id="4">
    <w:p w14:paraId="4164F032" w14:textId="68D2B45B" w:rsidR="008E5F5A" w:rsidRPr="00E96855" w:rsidRDefault="008E5F5A" w:rsidP="00BC654C">
      <w:pPr>
        <w:rPr>
          <w:rFonts w:cstheme="minorHAnsi"/>
          <w:sz w:val="18"/>
          <w:szCs w:val="18"/>
          <w:highlight w:val="cyan"/>
        </w:rPr>
      </w:pPr>
      <w:r w:rsidRPr="00E96855">
        <w:rPr>
          <w:rStyle w:val="FootnoteReference"/>
          <w:rFonts w:cstheme="minorHAnsi"/>
          <w:sz w:val="18"/>
          <w:szCs w:val="18"/>
        </w:rPr>
        <w:footnoteRef/>
      </w:r>
      <w:r w:rsidRPr="00E96855">
        <w:rPr>
          <w:rFonts w:cstheme="minorHAnsi"/>
          <w:sz w:val="18"/>
          <w:szCs w:val="18"/>
        </w:rPr>
        <w:t xml:space="preserve"> </w:t>
      </w:r>
      <w:r w:rsidR="000A574D" w:rsidRPr="00E96855">
        <w:rPr>
          <w:rFonts w:cstheme="minorHAnsi"/>
          <w:sz w:val="18"/>
          <w:szCs w:val="18"/>
        </w:rPr>
        <w:t xml:space="preserve">Department of Education, </w:t>
      </w:r>
      <w:r w:rsidR="000A574D" w:rsidRPr="00E96855">
        <w:rPr>
          <w:rFonts w:cstheme="minorHAnsi"/>
          <w:i/>
          <w:sz w:val="18"/>
          <w:szCs w:val="18"/>
        </w:rPr>
        <w:t xml:space="preserve">Higher Education Statistics –Student Data </w:t>
      </w:r>
      <w:r w:rsidR="000A574D" w:rsidRPr="00E96855">
        <w:rPr>
          <w:rFonts w:cstheme="minorHAnsi"/>
          <w:iCs/>
          <w:sz w:val="18"/>
          <w:szCs w:val="18"/>
        </w:rPr>
        <w:t>[unpublished data],</w:t>
      </w:r>
      <w:r w:rsidR="000A574D" w:rsidRPr="00E96855">
        <w:rPr>
          <w:rFonts w:cstheme="minorHAnsi"/>
          <w:sz w:val="18"/>
          <w:szCs w:val="18"/>
        </w:rPr>
        <w:t xml:space="preserve"> Department of Education, Canberra, 2023.</w:t>
      </w:r>
    </w:p>
  </w:footnote>
  <w:footnote w:id="5">
    <w:p w14:paraId="49BF86A2" w14:textId="0D74F558" w:rsidR="00610FF3" w:rsidRPr="00E96855" w:rsidRDefault="00610FF3">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E23E61" w:rsidRPr="00E96855">
        <w:rPr>
          <w:rFonts w:eastAsia="Calibri" w:cstheme="minorHAnsi"/>
          <w:color w:val="000000" w:themeColor="text1"/>
          <w:sz w:val="18"/>
          <w:szCs w:val="18"/>
        </w:rPr>
        <w:t xml:space="preserve">P Chamberlain, ‘Knowledge is not everything,’ </w:t>
      </w:r>
      <w:r w:rsidR="00E23E61" w:rsidRPr="00E96855">
        <w:rPr>
          <w:rFonts w:eastAsia="Calibri" w:cstheme="minorHAnsi"/>
          <w:i/>
          <w:color w:val="000000" w:themeColor="text1"/>
          <w:sz w:val="18"/>
          <w:szCs w:val="18"/>
        </w:rPr>
        <w:t>Design for Health</w:t>
      </w:r>
      <w:r w:rsidR="00E23E61" w:rsidRPr="00E96855">
        <w:rPr>
          <w:rFonts w:eastAsia="Calibri" w:cstheme="minorHAnsi"/>
          <w:color w:val="000000" w:themeColor="text1"/>
          <w:sz w:val="18"/>
          <w:szCs w:val="18"/>
        </w:rPr>
        <w:t>, 2020, 4(1)</w:t>
      </w:r>
      <w:r w:rsidR="004343AD" w:rsidRPr="00E96855">
        <w:rPr>
          <w:rFonts w:eastAsia="Calibri" w:cstheme="minorHAnsi"/>
          <w:color w:val="000000" w:themeColor="text1"/>
          <w:sz w:val="18"/>
          <w:szCs w:val="18"/>
        </w:rPr>
        <w:t>:</w:t>
      </w:r>
      <w:r w:rsidR="00E23E61" w:rsidRPr="00E96855">
        <w:rPr>
          <w:rFonts w:eastAsia="Calibri" w:cstheme="minorHAnsi"/>
          <w:color w:val="000000" w:themeColor="text1"/>
          <w:sz w:val="18"/>
          <w:szCs w:val="18"/>
        </w:rPr>
        <w:t>1-3, doi:10.1080/24735132.2020.1731203.</w:t>
      </w:r>
    </w:p>
  </w:footnote>
  <w:footnote w:id="6">
    <w:p w14:paraId="003A4242" w14:textId="44BE08AF" w:rsidR="00086297" w:rsidRPr="00E96855" w:rsidRDefault="00086297" w:rsidP="00086297">
      <w:pPr>
        <w:spacing w:after="0"/>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284812" w:rsidRPr="00E96855">
        <w:rPr>
          <w:rFonts w:eastAsia="Calibri" w:cstheme="minorHAnsi"/>
          <w:color w:val="000000" w:themeColor="text1"/>
          <w:sz w:val="18"/>
          <w:szCs w:val="18"/>
        </w:rPr>
        <w:t xml:space="preserve">BIS Oxford Economics (BIS OE), </w:t>
      </w:r>
      <w:r w:rsidR="00284812" w:rsidRPr="00E96855">
        <w:rPr>
          <w:rFonts w:eastAsia="Calibri" w:cstheme="minorHAnsi"/>
          <w:i/>
          <w:color w:val="000000" w:themeColor="text1"/>
          <w:sz w:val="18"/>
          <w:szCs w:val="18"/>
        </w:rPr>
        <w:t>Higher Education Qualification Demand</w:t>
      </w:r>
      <w:r w:rsidR="001265F6" w:rsidRPr="00E96855">
        <w:rPr>
          <w:rFonts w:eastAsia="Calibri" w:cstheme="minorHAnsi"/>
          <w:i/>
          <w:color w:val="000000" w:themeColor="text1"/>
          <w:sz w:val="18"/>
          <w:szCs w:val="18"/>
        </w:rPr>
        <w:t>:</w:t>
      </w:r>
      <w:r w:rsidR="00284812" w:rsidRPr="00E96855">
        <w:rPr>
          <w:rFonts w:eastAsia="Calibri" w:cstheme="minorHAnsi"/>
          <w:i/>
          <w:color w:val="000000" w:themeColor="text1"/>
          <w:sz w:val="18"/>
          <w:szCs w:val="18"/>
        </w:rPr>
        <w:t xml:space="preserve"> Preliminary Report </w:t>
      </w:r>
      <w:r w:rsidR="001265F6" w:rsidRPr="00E96855">
        <w:rPr>
          <w:rFonts w:eastAsia="Calibri" w:cstheme="minorHAnsi"/>
          <w:i/>
          <w:color w:val="000000" w:themeColor="text1"/>
          <w:sz w:val="18"/>
          <w:szCs w:val="18"/>
        </w:rPr>
        <w:t xml:space="preserve">Produced for Department of Education </w:t>
      </w:r>
      <w:r w:rsidR="00284812" w:rsidRPr="00E96855">
        <w:rPr>
          <w:rFonts w:eastAsia="Calibri" w:cstheme="minorHAnsi"/>
          <w:iCs/>
          <w:color w:val="000000" w:themeColor="text1"/>
          <w:sz w:val="18"/>
          <w:szCs w:val="18"/>
        </w:rPr>
        <w:t xml:space="preserve">[unpublished report], BIS OE, Sydney, </w:t>
      </w:r>
      <w:r w:rsidR="0051710F" w:rsidRPr="00E96855">
        <w:rPr>
          <w:rFonts w:eastAsia="Calibri" w:cstheme="minorHAnsi"/>
          <w:iCs/>
          <w:color w:val="000000" w:themeColor="text1"/>
          <w:sz w:val="18"/>
          <w:szCs w:val="18"/>
        </w:rPr>
        <w:t xml:space="preserve">April </w:t>
      </w:r>
      <w:r w:rsidR="00284812" w:rsidRPr="00E96855">
        <w:rPr>
          <w:rFonts w:eastAsia="Calibri" w:cstheme="minorHAnsi"/>
          <w:iCs/>
          <w:color w:val="000000" w:themeColor="text1"/>
          <w:sz w:val="18"/>
          <w:szCs w:val="18"/>
        </w:rPr>
        <w:t>2023</w:t>
      </w:r>
      <w:r w:rsidR="00284812" w:rsidRPr="00E96855">
        <w:rPr>
          <w:rFonts w:eastAsia="Calibri" w:cstheme="minorHAnsi"/>
          <w:color w:val="000000" w:themeColor="text1"/>
          <w:sz w:val="18"/>
          <w:szCs w:val="18"/>
        </w:rPr>
        <w:t>.</w:t>
      </w:r>
    </w:p>
  </w:footnote>
  <w:footnote w:id="7">
    <w:p w14:paraId="560C80A6" w14:textId="51ED7D4F" w:rsidR="00086297" w:rsidRPr="00E96855" w:rsidRDefault="00086297" w:rsidP="00086297">
      <w:pPr>
        <w:pStyle w:val="FootnoteText"/>
        <w:rPr>
          <w:rFonts w:cstheme="minorHAnsi"/>
          <w:sz w:val="18"/>
          <w:szCs w:val="18"/>
        </w:rPr>
      </w:pPr>
      <w:r w:rsidRPr="00E96855">
        <w:rPr>
          <w:rStyle w:val="FootnoteReference"/>
          <w:rFonts w:cstheme="minorHAnsi"/>
          <w:sz w:val="18"/>
          <w:szCs w:val="18"/>
        </w:rPr>
        <w:footnoteRef/>
      </w:r>
      <w:r w:rsidRPr="00E96855">
        <w:rPr>
          <w:rFonts w:eastAsia="Calibri" w:cstheme="minorHAnsi"/>
          <w:color w:val="000000" w:themeColor="text1"/>
          <w:sz w:val="18"/>
          <w:szCs w:val="18"/>
        </w:rPr>
        <w:t xml:space="preserve"> </w:t>
      </w:r>
      <w:r w:rsidR="00DF332B" w:rsidRPr="00E96855">
        <w:rPr>
          <w:rFonts w:eastAsia="Calibri" w:cstheme="minorHAnsi"/>
          <w:sz w:val="18"/>
          <w:szCs w:val="18"/>
        </w:rPr>
        <w:t>Australian Bureau of Statistics (ABS) census data</w:t>
      </w:r>
      <w:r w:rsidR="00DF332B" w:rsidRPr="00E96855">
        <w:rPr>
          <w:rFonts w:eastAsia="Calibri" w:cstheme="minorHAnsi"/>
          <w:color w:val="000000" w:themeColor="text1"/>
          <w:sz w:val="18"/>
          <w:szCs w:val="18"/>
        </w:rPr>
        <w:t xml:space="preserve"> shows 5.5 million people in Australia had a bachelor degree or higher qualification in 2021. ABS, </w:t>
      </w:r>
      <w:hyperlink r:id="rId2" w:anchor=":~:text=Over%2011%20million%20(11%2C511%2C655)%20people,per%20cent%20increase%20since%202016." w:history="1">
        <w:r w:rsidR="00DF332B" w:rsidRPr="00E96855">
          <w:rPr>
            <w:rStyle w:val="Hyperlink"/>
            <w:rFonts w:eastAsia="Calibri" w:cstheme="minorHAnsi"/>
            <w:i/>
            <w:iCs/>
            <w:sz w:val="18"/>
            <w:szCs w:val="18"/>
          </w:rPr>
          <w:t>Education</w:t>
        </w:r>
      </w:hyperlink>
      <w:r w:rsidR="00DF332B" w:rsidRPr="00E96855">
        <w:rPr>
          <w:rFonts w:eastAsia="Calibri" w:cstheme="minorHAnsi"/>
          <w:i/>
          <w:iCs/>
          <w:color w:val="000000" w:themeColor="text1"/>
          <w:sz w:val="18"/>
          <w:szCs w:val="18"/>
        </w:rPr>
        <w:t xml:space="preserve">, </w:t>
      </w:r>
      <w:r w:rsidR="00DF332B" w:rsidRPr="00E96855">
        <w:rPr>
          <w:rFonts w:eastAsia="Calibri" w:cstheme="minorHAnsi"/>
          <w:color w:val="000000" w:themeColor="text1"/>
          <w:sz w:val="18"/>
          <w:szCs w:val="18"/>
        </w:rPr>
        <w:t>ABS website, n.d., accessed 26 June 2023.</w:t>
      </w:r>
    </w:p>
  </w:footnote>
  <w:footnote w:id="8">
    <w:p w14:paraId="38B045D1" w14:textId="0829FD29" w:rsidR="00086297" w:rsidRPr="00E96855" w:rsidRDefault="00086297" w:rsidP="00086297">
      <w:pPr>
        <w:spacing w:after="0"/>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1C6B25" w:rsidRPr="00E96855">
        <w:rPr>
          <w:rFonts w:eastAsia="Calibri" w:cstheme="minorHAnsi"/>
          <w:color w:val="000000" w:themeColor="text1"/>
          <w:sz w:val="18"/>
          <w:szCs w:val="18"/>
        </w:rPr>
        <w:t xml:space="preserve">BIS OE, </w:t>
      </w:r>
      <w:r w:rsidR="001C6B25" w:rsidRPr="00E96855">
        <w:rPr>
          <w:rFonts w:eastAsia="Calibri" w:cstheme="minorHAnsi"/>
          <w:i/>
          <w:iCs/>
          <w:color w:val="000000" w:themeColor="text1"/>
          <w:sz w:val="18"/>
          <w:szCs w:val="18"/>
        </w:rPr>
        <w:t xml:space="preserve">Higher Education Qualification Demand </w:t>
      </w:r>
      <w:r w:rsidR="001C6B25" w:rsidRPr="00E96855">
        <w:rPr>
          <w:rFonts w:eastAsia="Calibri" w:cstheme="minorHAnsi"/>
          <w:color w:val="000000" w:themeColor="text1"/>
          <w:sz w:val="18"/>
          <w:szCs w:val="18"/>
        </w:rPr>
        <w:t>[unpublished].</w:t>
      </w:r>
    </w:p>
  </w:footnote>
  <w:footnote w:id="9">
    <w:p w14:paraId="05357D5B" w14:textId="5CA05B8F" w:rsidR="0064464D" w:rsidRPr="00E96855" w:rsidRDefault="0064464D" w:rsidP="0064464D">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4D667A" w:rsidRPr="00E96855">
        <w:rPr>
          <w:rFonts w:cstheme="minorHAnsi"/>
          <w:sz w:val="18"/>
          <w:szCs w:val="18"/>
        </w:rPr>
        <w:t xml:space="preserve">Jobs and Skills Australia (JSA), </w:t>
      </w:r>
      <w:hyperlink r:id="rId3" w:history="1">
        <w:r w:rsidR="004D667A" w:rsidRPr="00E96855">
          <w:rPr>
            <w:rStyle w:val="Hyperlink"/>
            <w:rFonts w:cstheme="minorHAnsi"/>
            <w:i/>
            <w:iCs/>
            <w:sz w:val="18"/>
            <w:szCs w:val="18"/>
          </w:rPr>
          <w:t>Labour market update - May 2023</w:t>
        </w:r>
      </w:hyperlink>
      <w:r w:rsidR="004D667A" w:rsidRPr="00E96855">
        <w:rPr>
          <w:rFonts w:cstheme="minorHAnsi"/>
          <w:i/>
          <w:iCs/>
          <w:sz w:val="18"/>
          <w:szCs w:val="18"/>
        </w:rPr>
        <w:t>,</w:t>
      </w:r>
      <w:r w:rsidR="004D667A" w:rsidRPr="00E96855">
        <w:rPr>
          <w:rFonts w:cstheme="minorHAnsi"/>
          <w:sz w:val="18"/>
          <w:szCs w:val="18"/>
        </w:rPr>
        <w:t xml:space="preserve"> JSA, Australian Government, 2023, accessed 8 June 2023.</w:t>
      </w:r>
    </w:p>
  </w:footnote>
  <w:footnote w:id="10">
    <w:p w14:paraId="7016C48D" w14:textId="77A8D602" w:rsidR="0064464D" w:rsidRPr="00E96855" w:rsidRDefault="0064464D" w:rsidP="0064464D">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B71E05" w:rsidRPr="00E96855">
        <w:rPr>
          <w:rFonts w:cstheme="minorHAnsi"/>
          <w:sz w:val="18"/>
          <w:szCs w:val="18"/>
        </w:rPr>
        <w:t xml:space="preserve">Department of Education, </w:t>
      </w:r>
      <w:r w:rsidR="00B71E05" w:rsidRPr="00E96855">
        <w:rPr>
          <w:rFonts w:cstheme="minorHAnsi"/>
          <w:i/>
          <w:iCs/>
          <w:sz w:val="18"/>
          <w:szCs w:val="18"/>
        </w:rPr>
        <w:t>Administrative data</w:t>
      </w:r>
      <w:r w:rsidR="00B71E05" w:rsidRPr="00E96855">
        <w:rPr>
          <w:rFonts w:cstheme="minorHAnsi"/>
          <w:sz w:val="18"/>
          <w:szCs w:val="18"/>
        </w:rPr>
        <w:t xml:space="preserve"> [unpublished data], Department of Education, Canberra, n.d.</w:t>
      </w:r>
    </w:p>
  </w:footnote>
  <w:footnote w:id="11">
    <w:p w14:paraId="7DB43AE7" w14:textId="52FD0DB5" w:rsidR="00C30783" w:rsidRPr="00E96855" w:rsidRDefault="00C30783" w:rsidP="00C30783">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9A2FCC" w:rsidRPr="00E96855">
        <w:rPr>
          <w:rFonts w:cstheme="minorHAnsi"/>
          <w:sz w:val="18"/>
          <w:szCs w:val="18"/>
        </w:rPr>
        <w:t>University of New South Wales (UNSW) Media, '</w:t>
      </w:r>
      <w:hyperlink r:id="rId4" w:history="1">
        <w:r w:rsidR="009A2FCC" w:rsidRPr="00E96855">
          <w:rPr>
            <w:rStyle w:val="Hyperlink"/>
            <w:rFonts w:cstheme="minorHAnsi"/>
            <w:sz w:val="18"/>
            <w:szCs w:val="18"/>
          </w:rPr>
          <w:t>New Report: Wealth inequality in Australia and the rapid rise in house prices</w:t>
        </w:r>
      </w:hyperlink>
      <w:r w:rsidR="009A2FCC" w:rsidRPr="00E96855">
        <w:rPr>
          <w:rFonts w:cstheme="minorHAnsi"/>
          <w:sz w:val="18"/>
          <w:szCs w:val="18"/>
        </w:rPr>
        <w:t xml:space="preserve">', </w:t>
      </w:r>
      <w:r w:rsidR="009A2FCC" w:rsidRPr="00E96855">
        <w:rPr>
          <w:rFonts w:cstheme="minorHAnsi"/>
          <w:i/>
          <w:iCs/>
          <w:sz w:val="18"/>
          <w:szCs w:val="18"/>
        </w:rPr>
        <w:t>UNSW Newsroom,</w:t>
      </w:r>
      <w:r w:rsidR="009A2FCC" w:rsidRPr="00E96855">
        <w:rPr>
          <w:rFonts w:cstheme="minorHAnsi"/>
          <w:sz w:val="18"/>
          <w:szCs w:val="18"/>
        </w:rPr>
        <w:t xml:space="preserve"> 22 July 2022, accessed May 11 2023.</w:t>
      </w:r>
    </w:p>
  </w:footnote>
  <w:footnote w:id="12">
    <w:p w14:paraId="6BF81520" w14:textId="77777777" w:rsidR="00B552EB" w:rsidRPr="00E96855" w:rsidRDefault="00B552EB" w:rsidP="00B552EB">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D Bradley, P Noonan, H Nugent and B Scales, </w:t>
      </w:r>
      <w:hyperlink r:id="rId5" w:history="1">
        <w:r w:rsidRPr="00E96855">
          <w:rPr>
            <w:rStyle w:val="Hyperlink"/>
            <w:rFonts w:cstheme="minorHAnsi"/>
            <w:i/>
            <w:sz w:val="18"/>
            <w:szCs w:val="18"/>
          </w:rPr>
          <w:t>Review of Higher Education: Final Report</w:t>
        </w:r>
      </w:hyperlink>
      <w:r w:rsidRPr="00E96855">
        <w:rPr>
          <w:rFonts w:cstheme="minorHAnsi"/>
          <w:i/>
          <w:sz w:val="18"/>
          <w:szCs w:val="18"/>
        </w:rPr>
        <w:t xml:space="preserve"> </w:t>
      </w:r>
      <w:r w:rsidRPr="00E96855">
        <w:rPr>
          <w:rFonts w:cstheme="minorHAnsi"/>
          <w:iCs/>
          <w:sz w:val="18"/>
          <w:szCs w:val="18"/>
        </w:rPr>
        <w:t>[PDF]</w:t>
      </w:r>
      <w:r w:rsidRPr="00E96855">
        <w:rPr>
          <w:rFonts w:cstheme="minorHAnsi"/>
          <w:sz w:val="18"/>
          <w:szCs w:val="18"/>
        </w:rPr>
        <w:t>, Department of Education, Employment and Workplace Relations (DEEWR), Australian Government, 2008, accessed 7 June 2023.</w:t>
      </w:r>
    </w:p>
  </w:footnote>
  <w:footnote w:id="13">
    <w:p w14:paraId="25F2BE6D" w14:textId="5F074342" w:rsidR="000B335C" w:rsidRPr="00E96855" w:rsidRDefault="000B335C">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FC187B" w:rsidRPr="00E96855">
        <w:rPr>
          <w:rFonts w:cstheme="minorHAnsi"/>
          <w:sz w:val="18"/>
          <w:szCs w:val="18"/>
        </w:rPr>
        <w:t xml:space="preserve">Department of Education, </w:t>
      </w:r>
      <w:hyperlink r:id="rId6" w:history="1">
        <w:r w:rsidR="001846E0" w:rsidRPr="00E96855">
          <w:rPr>
            <w:rStyle w:val="Hyperlink"/>
            <w:rFonts w:cstheme="minorHAnsi"/>
            <w:i/>
            <w:sz w:val="18"/>
            <w:szCs w:val="18"/>
          </w:rPr>
          <w:t xml:space="preserve">Higher Education Statistics –Student Data </w:t>
        </w:r>
        <w:r w:rsidR="001846E0" w:rsidRPr="00E96855">
          <w:rPr>
            <w:rStyle w:val="Hyperlink"/>
            <w:rFonts w:cstheme="minorHAnsi"/>
            <w:sz w:val="18"/>
            <w:szCs w:val="18"/>
          </w:rPr>
          <w:t xml:space="preserve">– </w:t>
        </w:r>
        <w:r w:rsidR="001846E0" w:rsidRPr="00E96855">
          <w:rPr>
            <w:rStyle w:val="Hyperlink"/>
            <w:rFonts w:cstheme="minorHAnsi"/>
            <w:i/>
            <w:iCs/>
            <w:sz w:val="18"/>
            <w:szCs w:val="18"/>
          </w:rPr>
          <w:t>2021 Section 11 Equity groups</w:t>
        </w:r>
      </w:hyperlink>
      <w:r w:rsidR="00FC187B" w:rsidRPr="00E96855">
        <w:rPr>
          <w:rFonts w:cstheme="minorHAnsi"/>
          <w:sz w:val="18"/>
          <w:szCs w:val="18"/>
        </w:rPr>
        <w:t xml:space="preserve"> [data set], education.gov.au, 2023, accessed 16 June 2023.</w:t>
      </w:r>
    </w:p>
  </w:footnote>
  <w:footnote w:id="14">
    <w:p w14:paraId="01F5942A" w14:textId="41B97A5B" w:rsidR="0064464D" w:rsidRPr="00E96855" w:rsidRDefault="0064464D" w:rsidP="0064464D">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290438" w:rsidRPr="00E96855">
        <w:rPr>
          <w:rFonts w:cstheme="minorHAnsi"/>
          <w:sz w:val="18"/>
          <w:szCs w:val="18"/>
        </w:rPr>
        <w:t xml:space="preserve">JSA, </w:t>
      </w:r>
      <w:r w:rsidR="00290438" w:rsidRPr="00E96855">
        <w:rPr>
          <w:rFonts w:cstheme="minorHAnsi"/>
          <w:i/>
          <w:iCs/>
          <w:sz w:val="18"/>
          <w:szCs w:val="18"/>
        </w:rPr>
        <w:t>Labour market update - May 2023.</w:t>
      </w:r>
    </w:p>
  </w:footnote>
  <w:footnote w:id="15">
    <w:p w14:paraId="4541B5D9" w14:textId="72001E30" w:rsidR="0064464D" w:rsidRPr="00E96855" w:rsidRDefault="0064464D" w:rsidP="0064464D">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Department of Education</w:t>
      </w:r>
      <w:r w:rsidR="00DA59A5" w:rsidRPr="00E96855">
        <w:rPr>
          <w:rFonts w:cstheme="minorHAnsi"/>
          <w:sz w:val="18"/>
          <w:szCs w:val="18"/>
        </w:rPr>
        <w:t xml:space="preserve">, </w:t>
      </w:r>
      <w:r w:rsidR="00DA59A5" w:rsidRPr="00E96855">
        <w:rPr>
          <w:rFonts w:cstheme="minorHAnsi"/>
          <w:i/>
          <w:iCs/>
          <w:sz w:val="18"/>
          <w:szCs w:val="18"/>
        </w:rPr>
        <w:t>Higher Education Providers Finance Tables</w:t>
      </w:r>
      <w:r w:rsidR="00DA59A5" w:rsidRPr="00E96855">
        <w:rPr>
          <w:rFonts w:cstheme="minorHAnsi"/>
          <w:sz w:val="18"/>
          <w:szCs w:val="18"/>
        </w:rPr>
        <w:t xml:space="preserve"> [data set], education.gov.au, multiple years, accessed 7 June 2023.</w:t>
      </w:r>
    </w:p>
  </w:footnote>
  <w:footnote w:id="16">
    <w:p w14:paraId="04EA0E38" w14:textId="265B5F07" w:rsidR="0064464D" w:rsidRPr="00E96855" w:rsidRDefault="0064464D" w:rsidP="0064464D">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EB29D0" w:rsidRPr="00E96855">
        <w:rPr>
          <w:rFonts w:cstheme="minorHAnsi"/>
          <w:sz w:val="18"/>
          <w:szCs w:val="18"/>
        </w:rPr>
        <w:t>Fair Work Ombudsman (FWO),</w:t>
      </w:r>
      <w:r w:rsidR="00EB29D0" w:rsidRPr="00E96855">
        <w:rPr>
          <w:rFonts w:cstheme="minorHAnsi"/>
          <w:i/>
          <w:iCs/>
          <w:sz w:val="18"/>
          <w:szCs w:val="18"/>
        </w:rPr>
        <w:t xml:space="preserve"> </w:t>
      </w:r>
      <w:hyperlink r:id="rId7" w:history="1">
        <w:r w:rsidR="00DE143D" w:rsidRPr="00E96855">
          <w:rPr>
            <w:rStyle w:val="Hyperlink"/>
            <w:rFonts w:cstheme="minorHAnsi"/>
            <w:i/>
            <w:iCs/>
            <w:sz w:val="18"/>
            <w:szCs w:val="18"/>
          </w:rPr>
          <w:t>Fair Work Ombudsman letter to Prof Mary O'Kane</w:t>
        </w:r>
      </w:hyperlink>
      <w:r w:rsidR="00EB29D0" w:rsidRPr="00E96855">
        <w:rPr>
          <w:rFonts w:cstheme="minorHAnsi"/>
          <w:sz w:val="18"/>
          <w:szCs w:val="18"/>
        </w:rPr>
        <w:t xml:space="preserve">, FWO, </w:t>
      </w:r>
      <w:r w:rsidR="00D57F4B" w:rsidRPr="00E96855">
        <w:rPr>
          <w:rFonts w:cstheme="minorHAnsi"/>
          <w:sz w:val="18"/>
          <w:szCs w:val="18"/>
        </w:rPr>
        <w:t xml:space="preserve">8 May </w:t>
      </w:r>
      <w:r w:rsidR="00EB29D0" w:rsidRPr="00E96855">
        <w:rPr>
          <w:rFonts w:cstheme="minorHAnsi"/>
          <w:sz w:val="18"/>
          <w:szCs w:val="18"/>
        </w:rPr>
        <w:t>2023, accessed 7 June 2023.</w:t>
      </w:r>
    </w:p>
  </w:footnote>
  <w:footnote w:id="17">
    <w:p w14:paraId="2DB97EB2" w14:textId="726EEECE" w:rsidR="0064464D" w:rsidRPr="00E96855" w:rsidRDefault="0064464D" w:rsidP="0064464D">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1F41A9" w:rsidRPr="00E96855">
        <w:rPr>
          <w:rFonts w:cstheme="minorHAnsi"/>
          <w:sz w:val="18"/>
          <w:szCs w:val="18"/>
        </w:rPr>
        <w:t xml:space="preserve">Department of Education, </w:t>
      </w:r>
      <w:r w:rsidR="00157BB9" w:rsidRPr="00E96855">
        <w:rPr>
          <w:rFonts w:cstheme="minorHAnsi"/>
          <w:i/>
          <w:sz w:val="18"/>
          <w:szCs w:val="18"/>
        </w:rPr>
        <w:t xml:space="preserve">Higher Education Statistics –Student Data </w:t>
      </w:r>
      <w:r w:rsidR="00157BB9" w:rsidRPr="00E96855">
        <w:rPr>
          <w:rFonts w:cstheme="minorHAnsi"/>
          <w:sz w:val="18"/>
          <w:szCs w:val="18"/>
        </w:rPr>
        <w:t xml:space="preserve">– </w:t>
      </w:r>
      <w:r w:rsidR="001F41A9" w:rsidRPr="00E96855">
        <w:rPr>
          <w:rFonts w:cstheme="minorHAnsi"/>
          <w:i/>
          <w:sz w:val="18"/>
          <w:szCs w:val="18"/>
        </w:rPr>
        <w:t>2021 Section 11 Equity groups</w:t>
      </w:r>
      <w:r w:rsidRPr="00E96855">
        <w:rPr>
          <w:rFonts w:cstheme="minorHAnsi"/>
          <w:sz w:val="18"/>
          <w:szCs w:val="18"/>
        </w:rPr>
        <w:t xml:space="preserve">. </w:t>
      </w:r>
    </w:p>
  </w:footnote>
  <w:footnote w:id="18">
    <w:p w14:paraId="403E3726" w14:textId="24CC580A" w:rsidR="0064464D" w:rsidRPr="00E96855" w:rsidRDefault="0064464D" w:rsidP="0064464D">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210C90" w:rsidRPr="00E96855">
        <w:rPr>
          <w:rFonts w:cstheme="minorHAnsi"/>
          <w:sz w:val="18"/>
          <w:szCs w:val="18"/>
        </w:rPr>
        <w:t xml:space="preserve">Department of Education, </w:t>
      </w:r>
      <w:hyperlink r:id="rId8" w:history="1">
        <w:r w:rsidR="00210C90" w:rsidRPr="00E96855">
          <w:rPr>
            <w:rStyle w:val="Hyperlink"/>
            <w:rFonts w:cstheme="minorHAnsi"/>
            <w:i/>
            <w:iCs/>
            <w:sz w:val="18"/>
            <w:szCs w:val="18"/>
          </w:rPr>
          <w:t>Higher Education Statistics – Student Data – 2021 Section 6 Indigenous students</w:t>
        </w:r>
      </w:hyperlink>
      <w:r w:rsidR="00210C90" w:rsidRPr="00E96855">
        <w:rPr>
          <w:rFonts w:cstheme="minorHAnsi"/>
          <w:i/>
          <w:iCs/>
          <w:sz w:val="18"/>
          <w:szCs w:val="18"/>
        </w:rPr>
        <w:t xml:space="preserve"> </w:t>
      </w:r>
      <w:r w:rsidR="00210C90" w:rsidRPr="00E96855">
        <w:rPr>
          <w:rFonts w:cstheme="minorHAnsi"/>
          <w:sz w:val="18"/>
          <w:szCs w:val="18"/>
        </w:rPr>
        <w:t>[data set]</w:t>
      </w:r>
      <w:r w:rsidR="00210C90" w:rsidRPr="00E96855">
        <w:rPr>
          <w:rFonts w:cstheme="minorHAnsi"/>
          <w:i/>
          <w:iCs/>
          <w:sz w:val="18"/>
          <w:szCs w:val="18"/>
        </w:rPr>
        <w:t>,</w:t>
      </w:r>
      <w:r w:rsidR="00210C90" w:rsidRPr="00E96855">
        <w:rPr>
          <w:rFonts w:cstheme="minorHAnsi"/>
          <w:sz w:val="18"/>
          <w:szCs w:val="18"/>
        </w:rPr>
        <w:t xml:space="preserve"> education.gov.au, 2023, accessed 8 June 2023</w:t>
      </w:r>
      <w:r w:rsidRPr="00E96855">
        <w:rPr>
          <w:rFonts w:cstheme="minorHAnsi"/>
          <w:sz w:val="18"/>
          <w:szCs w:val="18"/>
        </w:rPr>
        <w:t>.</w:t>
      </w:r>
    </w:p>
  </w:footnote>
  <w:footnote w:id="19">
    <w:p w14:paraId="2DD68765" w14:textId="74851F38" w:rsidR="0064464D" w:rsidRPr="00E96855" w:rsidRDefault="0064464D" w:rsidP="0064464D">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4E350E" w:rsidRPr="00E96855">
        <w:rPr>
          <w:rFonts w:cstheme="minorHAnsi"/>
          <w:sz w:val="18"/>
          <w:szCs w:val="18"/>
        </w:rPr>
        <w:t xml:space="preserve">Department of Education, </w:t>
      </w:r>
      <w:hyperlink r:id="rId9" w:history="1">
        <w:r w:rsidR="008B7DEF" w:rsidRPr="00E96855">
          <w:rPr>
            <w:rStyle w:val="Hyperlink"/>
            <w:rFonts w:cstheme="minorHAnsi"/>
            <w:i/>
            <w:iCs/>
            <w:sz w:val="18"/>
            <w:szCs w:val="18"/>
          </w:rPr>
          <w:t xml:space="preserve">Higher Education Statistics – </w:t>
        </w:r>
        <w:r w:rsidR="004E350E" w:rsidRPr="00E96855">
          <w:rPr>
            <w:rStyle w:val="Hyperlink"/>
            <w:rFonts w:cstheme="minorHAnsi"/>
            <w:i/>
            <w:iCs/>
            <w:sz w:val="18"/>
            <w:szCs w:val="18"/>
          </w:rPr>
          <w:t>Staff data – 2021 Staff Indigenous</w:t>
        </w:r>
      </w:hyperlink>
      <w:r w:rsidR="004E350E" w:rsidRPr="00E96855">
        <w:rPr>
          <w:rFonts w:cstheme="minorHAnsi"/>
          <w:i/>
          <w:iCs/>
          <w:sz w:val="18"/>
          <w:szCs w:val="18"/>
        </w:rPr>
        <w:t xml:space="preserve"> </w:t>
      </w:r>
      <w:r w:rsidR="004E350E" w:rsidRPr="00E96855">
        <w:rPr>
          <w:rFonts w:cstheme="minorHAnsi"/>
          <w:sz w:val="18"/>
          <w:szCs w:val="18"/>
        </w:rPr>
        <w:t>[data set], education.gov.au, 2022, accessed 8 June 2023.</w:t>
      </w:r>
    </w:p>
  </w:footnote>
  <w:footnote w:id="20">
    <w:p w14:paraId="1A14F853" w14:textId="2A6432C3" w:rsidR="0064464D" w:rsidRPr="00E96855" w:rsidRDefault="0064464D" w:rsidP="0064464D">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B44669" w:rsidRPr="00E96855">
        <w:rPr>
          <w:rFonts w:cstheme="minorHAnsi"/>
          <w:sz w:val="18"/>
          <w:szCs w:val="18"/>
        </w:rPr>
        <w:t>W Enoch, ‘</w:t>
      </w:r>
      <w:hyperlink r:id="rId10" w:history="1">
        <w:r w:rsidR="00B44669" w:rsidRPr="00E96855">
          <w:rPr>
            <w:rStyle w:val="Hyperlink"/>
            <w:rFonts w:cstheme="minorHAnsi"/>
            <w:sz w:val="18"/>
            <w:szCs w:val="18"/>
          </w:rPr>
          <w:t>To stop myself from losing hope, I focus on the positive stories of change in my own family</w:t>
        </w:r>
      </w:hyperlink>
      <w:r w:rsidR="00B44669" w:rsidRPr="00E96855">
        <w:rPr>
          <w:rFonts w:cstheme="minorHAnsi"/>
          <w:sz w:val="18"/>
          <w:szCs w:val="18"/>
        </w:rPr>
        <w:t xml:space="preserve">’, </w:t>
      </w:r>
      <w:r w:rsidR="00B44669" w:rsidRPr="00E96855">
        <w:rPr>
          <w:rFonts w:cstheme="minorHAnsi"/>
          <w:i/>
          <w:iCs/>
          <w:sz w:val="18"/>
          <w:szCs w:val="18"/>
        </w:rPr>
        <w:t>The Guardian</w:t>
      </w:r>
      <w:r w:rsidR="00B44669" w:rsidRPr="00E96855">
        <w:rPr>
          <w:rFonts w:cstheme="minorHAnsi"/>
          <w:sz w:val="18"/>
          <w:szCs w:val="18"/>
        </w:rPr>
        <w:t>, 26 May 2021, accessed 7 June 2023.</w:t>
      </w:r>
    </w:p>
  </w:footnote>
  <w:footnote w:id="21">
    <w:p w14:paraId="31873855" w14:textId="4C111ED0" w:rsidR="0064464D" w:rsidRPr="00E96855" w:rsidRDefault="0064464D" w:rsidP="0064464D">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hyperlink r:id="rId11" w:history="1">
        <w:r w:rsidR="006B469D" w:rsidRPr="00E96855">
          <w:rPr>
            <w:rFonts w:cstheme="minorHAnsi"/>
            <w:sz w:val="18"/>
            <w:szCs w:val="18"/>
          </w:rPr>
          <w:t>Enoch, ‘To stop myself from losing hope, I focus on the positive stories of change in my own family’.</w:t>
        </w:r>
      </w:hyperlink>
      <w:r w:rsidRPr="00E96855">
        <w:rPr>
          <w:rFonts w:cstheme="minorHAnsi"/>
          <w:sz w:val="18"/>
          <w:szCs w:val="18"/>
        </w:rPr>
        <w:t xml:space="preserve"> </w:t>
      </w:r>
    </w:p>
  </w:footnote>
  <w:footnote w:id="22">
    <w:p w14:paraId="2B88E6DA" w14:textId="2C045A6C" w:rsidR="0064464D" w:rsidRPr="00E96855" w:rsidRDefault="0064464D" w:rsidP="0064464D">
      <w:pPr>
        <w:pStyle w:val="FootnoteText"/>
        <w:rPr>
          <w:rFonts w:cstheme="minorHAnsi"/>
          <w:i/>
          <w:sz w:val="18"/>
          <w:szCs w:val="18"/>
        </w:rPr>
      </w:pPr>
      <w:r w:rsidRPr="00E96855">
        <w:rPr>
          <w:rStyle w:val="FootnoteReference"/>
          <w:rFonts w:cstheme="minorHAnsi"/>
          <w:sz w:val="18"/>
          <w:szCs w:val="18"/>
        </w:rPr>
        <w:footnoteRef/>
      </w:r>
      <w:r w:rsidR="00A937BE" w:rsidRPr="00E96855">
        <w:rPr>
          <w:rFonts w:cstheme="minorHAnsi"/>
          <w:sz w:val="18"/>
          <w:szCs w:val="18"/>
        </w:rPr>
        <w:t xml:space="preserve"> </w:t>
      </w:r>
      <w:r w:rsidR="00C6008B" w:rsidRPr="00E96855">
        <w:rPr>
          <w:rFonts w:cstheme="minorHAnsi"/>
          <w:sz w:val="18"/>
          <w:szCs w:val="18"/>
        </w:rPr>
        <w:t xml:space="preserve">First Nations National Constitutional Convention, </w:t>
      </w:r>
      <w:hyperlink r:id="rId12" w:history="1">
        <w:r w:rsidR="00C6008B" w:rsidRPr="00E96855">
          <w:rPr>
            <w:rStyle w:val="Hyperlink"/>
            <w:rFonts w:cstheme="minorHAnsi"/>
            <w:i/>
            <w:sz w:val="18"/>
            <w:szCs w:val="18"/>
          </w:rPr>
          <w:t>Uluru: Statement from the Heart</w:t>
        </w:r>
      </w:hyperlink>
      <w:r w:rsidR="00C6008B" w:rsidRPr="00E96855">
        <w:rPr>
          <w:rFonts w:cstheme="minorHAnsi"/>
          <w:i/>
          <w:sz w:val="18"/>
          <w:szCs w:val="18"/>
        </w:rPr>
        <w:t>,</w:t>
      </w:r>
      <w:r w:rsidR="00C6008B" w:rsidRPr="00E96855">
        <w:rPr>
          <w:rFonts w:cstheme="minorHAnsi"/>
          <w:iCs/>
          <w:sz w:val="18"/>
          <w:szCs w:val="18"/>
        </w:rPr>
        <w:t xml:space="preserve"> Uluru Statement from the Heart, 2017,</w:t>
      </w:r>
      <w:r w:rsidR="00C6008B" w:rsidRPr="00E96855">
        <w:rPr>
          <w:rFonts w:cstheme="minorHAnsi"/>
          <w:i/>
          <w:sz w:val="18"/>
          <w:szCs w:val="18"/>
        </w:rPr>
        <w:t xml:space="preserve"> </w:t>
      </w:r>
      <w:r w:rsidR="00C6008B" w:rsidRPr="00E96855">
        <w:rPr>
          <w:rFonts w:cstheme="minorHAnsi"/>
          <w:sz w:val="18"/>
          <w:szCs w:val="18"/>
        </w:rPr>
        <w:t>accessed 17 May 2023.</w:t>
      </w:r>
    </w:p>
  </w:footnote>
  <w:footnote w:id="23">
    <w:p w14:paraId="6462C68B" w14:textId="2ADAF29C" w:rsidR="00A310A1" w:rsidRPr="00E96855" w:rsidRDefault="00A310A1">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C32646" w:rsidRPr="00E96855">
        <w:rPr>
          <w:rFonts w:cstheme="minorHAnsi"/>
          <w:sz w:val="18"/>
          <w:szCs w:val="18"/>
        </w:rPr>
        <w:t xml:space="preserve">Productivity Commission, </w:t>
      </w:r>
      <w:hyperlink r:id="rId13" w:history="1">
        <w:r w:rsidR="00C32646" w:rsidRPr="00E96855">
          <w:rPr>
            <w:rStyle w:val="Hyperlink"/>
            <w:rFonts w:cstheme="minorHAnsi"/>
            <w:i/>
            <w:iCs/>
            <w:sz w:val="18"/>
            <w:szCs w:val="18"/>
          </w:rPr>
          <w:t>Closing the Gap Information Repository</w:t>
        </w:r>
      </w:hyperlink>
      <w:r w:rsidR="00C32646" w:rsidRPr="00E96855">
        <w:rPr>
          <w:rFonts w:cstheme="minorHAnsi"/>
          <w:i/>
          <w:iCs/>
          <w:sz w:val="18"/>
          <w:szCs w:val="18"/>
        </w:rPr>
        <w:t>,</w:t>
      </w:r>
      <w:r w:rsidR="00C32646" w:rsidRPr="00E96855">
        <w:rPr>
          <w:rFonts w:cstheme="minorHAnsi"/>
          <w:sz w:val="18"/>
          <w:szCs w:val="18"/>
        </w:rPr>
        <w:t xml:space="preserve"> Productivity Commission, 2023, accessed 16 June 2023.</w:t>
      </w:r>
    </w:p>
  </w:footnote>
  <w:footnote w:id="24">
    <w:p w14:paraId="7011AECF" w14:textId="2CCB918E" w:rsidR="00A310A1" w:rsidRPr="00E96855" w:rsidRDefault="00A310A1">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040D86" w:rsidRPr="00E96855">
        <w:rPr>
          <w:rFonts w:cstheme="minorHAnsi"/>
          <w:sz w:val="18"/>
          <w:szCs w:val="18"/>
        </w:rPr>
        <w:t xml:space="preserve">Productivity Commission, </w:t>
      </w:r>
      <w:r w:rsidR="00040D86" w:rsidRPr="00E96855">
        <w:rPr>
          <w:rFonts w:cstheme="minorHAnsi"/>
          <w:i/>
          <w:iCs/>
          <w:sz w:val="18"/>
          <w:szCs w:val="18"/>
        </w:rPr>
        <w:t>Closing the Gap Information Repository.</w:t>
      </w:r>
    </w:p>
  </w:footnote>
  <w:footnote w:id="25">
    <w:p w14:paraId="31810948" w14:textId="6CD22062" w:rsidR="006641C9" w:rsidRPr="00E96855" w:rsidRDefault="006641C9">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In Australia, the population benchmark for low</w:t>
      </w:r>
      <w:r w:rsidR="00D77CBF" w:rsidRPr="00E96855">
        <w:rPr>
          <w:rFonts w:cstheme="minorHAnsi"/>
          <w:sz w:val="18"/>
          <w:szCs w:val="18"/>
        </w:rPr>
        <w:t xml:space="preserve"> </w:t>
      </w:r>
      <w:r w:rsidRPr="00E96855">
        <w:rPr>
          <w:rFonts w:cstheme="minorHAnsi"/>
          <w:sz w:val="18"/>
          <w:szCs w:val="18"/>
        </w:rPr>
        <w:t xml:space="preserve">SES is 25%. Bradley et al., </w:t>
      </w:r>
      <w:r w:rsidRPr="00E96855">
        <w:rPr>
          <w:rFonts w:cstheme="minorHAnsi"/>
          <w:i/>
          <w:sz w:val="18"/>
          <w:szCs w:val="18"/>
        </w:rPr>
        <w:t>Review of Higher Education: Final Report.</w:t>
      </w:r>
    </w:p>
  </w:footnote>
  <w:footnote w:id="26">
    <w:p w14:paraId="7E7E7E25" w14:textId="7D037CDE" w:rsidR="00145E3C" w:rsidRPr="00E96855" w:rsidRDefault="00145E3C" w:rsidP="00145E3C">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C833A5" w:rsidRPr="00E96855">
        <w:rPr>
          <w:rFonts w:cstheme="minorHAnsi"/>
          <w:sz w:val="18"/>
          <w:szCs w:val="18"/>
        </w:rPr>
        <w:t>Low</w:t>
      </w:r>
      <w:r w:rsidR="00D77CBF" w:rsidRPr="00E96855">
        <w:rPr>
          <w:rFonts w:cstheme="minorHAnsi"/>
          <w:sz w:val="18"/>
          <w:szCs w:val="18"/>
        </w:rPr>
        <w:t xml:space="preserve"> </w:t>
      </w:r>
      <w:r w:rsidR="00C833A5" w:rsidRPr="00E96855">
        <w:rPr>
          <w:rFonts w:cstheme="minorHAnsi"/>
          <w:sz w:val="18"/>
          <w:szCs w:val="18"/>
        </w:rPr>
        <w:t xml:space="preserve">SES domestic undergraduate enrolments accounted for 15.1% of all domestic undergraduate enrolments in 2011. In 2021 this was 17%. Department of Education, </w:t>
      </w:r>
      <w:hyperlink r:id="rId14" w:history="1">
        <w:r w:rsidR="00C833A5" w:rsidRPr="00E96855">
          <w:rPr>
            <w:rStyle w:val="Hyperlink"/>
            <w:rFonts w:cstheme="minorHAnsi"/>
            <w:i/>
            <w:sz w:val="18"/>
            <w:szCs w:val="18"/>
          </w:rPr>
          <w:t>Higher Education Statistics – 2021 Student Data</w:t>
        </w:r>
      </w:hyperlink>
      <w:r w:rsidR="00C833A5" w:rsidRPr="00E96855">
        <w:rPr>
          <w:rFonts w:cstheme="minorHAnsi"/>
          <w:sz w:val="18"/>
          <w:szCs w:val="18"/>
        </w:rPr>
        <w:t xml:space="preserve"> [data set], education.gov.au, 2023, accessed 7 June 2023.</w:t>
      </w:r>
    </w:p>
  </w:footnote>
  <w:footnote w:id="27">
    <w:p w14:paraId="50606320" w14:textId="608B1F07" w:rsidR="00603003" w:rsidRPr="00E96855" w:rsidRDefault="00603003" w:rsidP="00603003">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7A34F1" w:rsidRPr="00E96855">
        <w:rPr>
          <w:rFonts w:cstheme="minorHAnsi"/>
          <w:sz w:val="18"/>
          <w:szCs w:val="18"/>
        </w:rPr>
        <w:t xml:space="preserve">NSC, </w:t>
      </w:r>
      <w:r w:rsidR="007A34F1" w:rsidRPr="00E96855">
        <w:rPr>
          <w:rFonts w:cstheme="minorHAnsi"/>
          <w:i/>
          <w:sz w:val="18"/>
          <w:szCs w:val="18"/>
        </w:rPr>
        <w:t>Employment outlook (five years to November 2026).</w:t>
      </w:r>
    </w:p>
  </w:footnote>
  <w:footnote w:id="28">
    <w:p w14:paraId="0DBF2165" w14:textId="2453F3AA" w:rsidR="00236779" w:rsidRPr="00E96855" w:rsidRDefault="00236779" w:rsidP="00236779">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036353" w:rsidRPr="00E96855">
        <w:rPr>
          <w:rFonts w:eastAsia="Calibri" w:cstheme="minorHAnsi"/>
          <w:color w:val="000000" w:themeColor="text1"/>
          <w:sz w:val="18"/>
          <w:szCs w:val="18"/>
        </w:rPr>
        <w:t xml:space="preserve">BIS OE, </w:t>
      </w:r>
      <w:r w:rsidR="00036353" w:rsidRPr="00E96855">
        <w:rPr>
          <w:rFonts w:eastAsia="Calibri" w:cstheme="minorHAnsi"/>
          <w:i/>
          <w:iCs/>
          <w:color w:val="000000" w:themeColor="text1"/>
          <w:sz w:val="18"/>
          <w:szCs w:val="18"/>
        </w:rPr>
        <w:t xml:space="preserve">Higher Education Qualification Demand </w:t>
      </w:r>
      <w:r w:rsidR="00036353" w:rsidRPr="00E96855">
        <w:rPr>
          <w:rFonts w:eastAsia="Calibri" w:cstheme="minorHAnsi"/>
          <w:color w:val="000000" w:themeColor="text1"/>
          <w:sz w:val="18"/>
          <w:szCs w:val="18"/>
        </w:rPr>
        <w:t>[unpublished].</w:t>
      </w:r>
    </w:p>
  </w:footnote>
  <w:footnote w:id="29">
    <w:p w14:paraId="7870D556" w14:textId="49C0989D" w:rsidR="00236779" w:rsidRPr="00E96855" w:rsidRDefault="00236779" w:rsidP="00236779">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036353" w:rsidRPr="00E96855">
        <w:rPr>
          <w:rFonts w:eastAsia="Calibri" w:cstheme="minorHAnsi"/>
          <w:color w:val="000000" w:themeColor="text1"/>
          <w:sz w:val="18"/>
          <w:szCs w:val="18"/>
        </w:rPr>
        <w:t xml:space="preserve">BIS OE, </w:t>
      </w:r>
      <w:r w:rsidR="00036353" w:rsidRPr="00E96855">
        <w:rPr>
          <w:rFonts w:eastAsia="Calibri" w:cstheme="minorHAnsi"/>
          <w:i/>
          <w:iCs/>
          <w:color w:val="000000" w:themeColor="text1"/>
          <w:sz w:val="18"/>
          <w:szCs w:val="18"/>
        </w:rPr>
        <w:t xml:space="preserve">Higher Education Qualification Demand </w:t>
      </w:r>
      <w:r w:rsidR="00036353" w:rsidRPr="00E96855">
        <w:rPr>
          <w:rFonts w:eastAsia="Calibri" w:cstheme="minorHAnsi"/>
          <w:color w:val="000000" w:themeColor="text1"/>
          <w:sz w:val="18"/>
          <w:szCs w:val="18"/>
        </w:rPr>
        <w:t>[unpublished].</w:t>
      </w:r>
    </w:p>
  </w:footnote>
  <w:footnote w:id="30">
    <w:p w14:paraId="0B3C9270" w14:textId="381500A7" w:rsidR="00145E3C" w:rsidRPr="00E96855" w:rsidRDefault="00145E3C" w:rsidP="00145E3C">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C101FF" w:rsidRPr="00E96855">
        <w:rPr>
          <w:rFonts w:cstheme="minorHAnsi"/>
          <w:sz w:val="18"/>
          <w:szCs w:val="18"/>
        </w:rPr>
        <w:t xml:space="preserve">Australian Bureau of Statistics (ABS), </w:t>
      </w:r>
      <w:hyperlink r:id="rId15" w:history="1">
        <w:r w:rsidR="00C101FF" w:rsidRPr="00E96855">
          <w:rPr>
            <w:rStyle w:val="Hyperlink"/>
            <w:rFonts w:cstheme="minorHAnsi"/>
            <w:i/>
            <w:sz w:val="18"/>
            <w:szCs w:val="18"/>
          </w:rPr>
          <w:t>Education and Work, Australia</w:t>
        </w:r>
      </w:hyperlink>
      <w:r w:rsidR="00C101FF" w:rsidRPr="00E96855">
        <w:rPr>
          <w:rFonts w:cstheme="minorHAnsi"/>
          <w:sz w:val="18"/>
          <w:szCs w:val="18"/>
        </w:rPr>
        <w:t>, ABS, 2022, accessed 7 June 2023.</w:t>
      </w:r>
      <w:r w:rsidRPr="00E96855">
        <w:rPr>
          <w:rFonts w:cstheme="minorHAnsi"/>
          <w:sz w:val="18"/>
          <w:szCs w:val="18"/>
        </w:rPr>
        <w:t xml:space="preserve"> </w:t>
      </w:r>
    </w:p>
  </w:footnote>
  <w:footnote w:id="31">
    <w:p w14:paraId="2DCA7ED2" w14:textId="01399E63" w:rsidR="00145E3C" w:rsidRPr="00E96855" w:rsidRDefault="00145E3C" w:rsidP="00145E3C">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29207D" w:rsidRPr="00E96855">
        <w:rPr>
          <w:rFonts w:cstheme="minorHAnsi"/>
          <w:sz w:val="18"/>
          <w:szCs w:val="18"/>
        </w:rPr>
        <w:t xml:space="preserve">ABS, </w:t>
      </w:r>
      <w:r w:rsidR="0029207D" w:rsidRPr="00E96855">
        <w:rPr>
          <w:rFonts w:cstheme="minorHAnsi"/>
          <w:i/>
          <w:sz w:val="18"/>
          <w:szCs w:val="18"/>
        </w:rPr>
        <w:t>Education and Work</w:t>
      </w:r>
      <w:r w:rsidR="0029207D" w:rsidRPr="00E96855">
        <w:rPr>
          <w:rFonts w:cstheme="minorHAnsi"/>
          <w:sz w:val="18"/>
          <w:szCs w:val="18"/>
        </w:rPr>
        <w:t xml:space="preserve">, </w:t>
      </w:r>
      <w:r w:rsidR="0029207D" w:rsidRPr="00E96855">
        <w:rPr>
          <w:rFonts w:cstheme="minorHAnsi"/>
          <w:i/>
          <w:iCs/>
          <w:sz w:val="18"/>
          <w:szCs w:val="18"/>
        </w:rPr>
        <w:t>Australia.</w:t>
      </w:r>
      <w:r w:rsidR="006E191D" w:rsidRPr="00E96855">
        <w:rPr>
          <w:rFonts w:cstheme="minorHAnsi"/>
          <w:sz w:val="18"/>
          <w:szCs w:val="18"/>
        </w:rPr>
        <w:t xml:space="preserve"> </w:t>
      </w:r>
    </w:p>
  </w:footnote>
  <w:footnote w:id="32">
    <w:p w14:paraId="1204C1CA" w14:textId="6CACFF3E" w:rsidR="004233FE" w:rsidRPr="00E96855" w:rsidRDefault="004233FE" w:rsidP="004233FE">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29207D" w:rsidRPr="00E96855">
        <w:rPr>
          <w:rFonts w:cstheme="minorHAnsi"/>
          <w:sz w:val="18"/>
          <w:szCs w:val="18"/>
        </w:rPr>
        <w:t xml:space="preserve">ABS, </w:t>
      </w:r>
      <w:r w:rsidR="0029207D" w:rsidRPr="00E96855">
        <w:rPr>
          <w:rFonts w:cstheme="minorHAnsi"/>
          <w:i/>
          <w:sz w:val="18"/>
          <w:szCs w:val="18"/>
        </w:rPr>
        <w:t>Education and Work</w:t>
      </w:r>
      <w:r w:rsidR="0029207D" w:rsidRPr="00E96855">
        <w:rPr>
          <w:rFonts w:cstheme="minorHAnsi"/>
          <w:sz w:val="18"/>
          <w:szCs w:val="18"/>
        </w:rPr>
        <w:t xml:space="preserve">, </w:t>
      </w:r>
      <w:r w:rsidR="0029207D" w:rsidRPr="00E96855">
        <w:rPr>
          <w:rFonts w:cstheme="minorHAnsi"/>
          <w:i/>
          <w:iCs/>
          <w:sz w:val="18"/>
          <w:szCs w:val="18"/>
        </w:rPr>
        <w:t>Australia.</w:t>
      </w:r>
    </w:p>
  </w:footnote>
  <w:footnote w:id="33">
    <w:p w14:paraId="27812E2E" w14:textId="70B3ECA7" w:rsidR="00D41D76" w:rsidRPr="00E96855" w:rsidRDefault="00D41D76" w:rsidP="00BC654C">
      <w:pPr>
        <w:spacing w:after="0"/>
        <w:rPr>
          <w:rFonts w:cstheme="minorHAnsi"/>
          <w:sz w:val="18"/>
          <w:szCs w:val="18"/>
          <w:highlight w:val="cyan"/>
        </w:rPr>
      </w:pPr>
      <w:r w:rsidRPr="00E96855">
        <w:rPr>
          <w:rStyle w:val="FootnoteReference"/>
          <w:rFonts w:cstheme="minorHAnsi"/>
          <w:sz w:val="18"/>
          <w:szCs w:val="18"/>
        </w:rPr>
        <w:footnoteRef/>
      </w:r>
      <w:r w:rsidRPr="00E96855">
        <w:rPr>
          <w:rFonts w:cstheme="minorHAnsi"/>
          <w:sz w:val="18"/>
          <w:szCs w:val="18"/>
        </w:rPr>
        <w:t xml:space="preserve"> </w:t>
      </w:r>
      <w:r w:rsidR="00223035" w:rsidRPr="00E96855">
        <w:rPr>
          <w:rFonts w:cstheme="minorHAnsi"/>
          <w:sz w:val="18"/>
          <w:szCs w:val="18"/>
        </w:rPr>
        <w:t xml:space="preserve">Organisation for Economic Co-Operation and Development (OECD), </w:t>
      </w:r>
      <w:hyperlink r:id="rId16" w:history="1">
        <w:r w:rsidR="00223035" w:rsidRPr="00E96855">
          <w:rPr>
            <w:rStyle w:val="Hyperlink"/>
            <w:rFonts w:cstheme="minorHAnsi"/>
            <w:i/>
            <w:iCs/>
            <w:sz w:val="18"/>
            <w:szCs w:val="18"/>
          </w:rPr>
          <w:t>Population with tertiary education</w:t>
        </w:r>
      </w:hyperlink>
      <w:r w:rsidR="00223035" w:rsidRPr="00E96855">
        <w:rPr>
          <w:rFonts w:cstheme="minorHAnsi"/>
          <w:i/>
          <w:iCs/>
          <w:sz w:val="18"/>
          <w:szCs w:val="18"/>
        </w:rPr>
        <w:t xml:space="preserve"> </w:t>
      </w:r>
      <w:r w:rsidR="00223035" w:rsidRPr="00E96855">
        <w:rPr>
          <w:rFonts w:cstheme="minorHAnsi"/>
          <w:sz w:val="18"/>
          <w:szCs w:val="18"/>
        </w:rPr>
        <w:t>[data set], data.oecd.org, 2023, accessed 7 June 2023</w:t>
      </w:r>
    </w:p>
  </w:footnote>
  <w:footnote w:id="34">
    <w:p w14:paraId="03465C92" w14:textId="0B6F2BB0" w:rsidR="00145E3C" w:rsidRPr="00E96855" w:rsidRDefault="00145E3C" w:rsidP="00145E3C">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B74C57" w:rsidRPr="00E96855">
        <w:rPr>
          <w:rFonts w:cstheme="minorHAnsi"/>
          <w:sz w:val="18"/>
          <w:szCs w:val="18"/>
        </w:rPr>
        <w:t xml:space="preserve">CanApprove, </w:t>
      </w:r>
      <w:hyperlink r:id="rId17" w:history="1">
        <w:r w:rsidR="00B74C57" w:rsidRPr="00E96855">
          <w:rPr>
            <w:rStyle w:val="Hyperlink"/>
            <w:rFonts w:cstheme="minorHAnsi"/>
            <w:i/>
            <w:sz w:val="18"/>
            <w:szCs w:val="18"/>
          </w:rPr>
          <w:t>Immigrants make Canada the G7's most educated country: StatsCan report</w:t>
        </w:r>
      </w:hyperlink>
      <w:r w:rsidR="00B74C57" w:rsidRPr="00E96855">
        <w:rPr>
          <w:rFonts w:cstheme="minorHAnsi"/>
          <w:sz w:val="18"/>
          <w:szCs w:val="18"/>
        </w:rPr>
        <w:t>, CanApprove website, 2022, accessed 7 June 2023.</w:t>
      </w:r>
    </w:p>
  </w:footnote>
  <w:footnote w:id="35">
    <w:p w14:paraId="3D59F68D" w14:textId="0AF20BB6" w:rsidR="00145E3C" w:rsidRPr="00E96855" w:rsidRDefault="00145E3C" w:rsidP="00145E3C">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Department of Education</w:t>
      </w:r>
      <w:r w:rsidR="00296444" w:rsidRPr="00E96855">
        <w:rPr>
          <w:rFonts w:cstheme="minorHAnsi"/>
          <w:sz w:val="18"/>
          <w:szCs w:val="18"/>
        </w:rPr>
        <w:t xml:space="preserve">, </w:t>
      </w:r>
      <w:r w:rsidR="00296444" w:rsidRPr="00E96855">
        <w:rPr>
          <w:rFonts w:cstheme="minorHAnsi"/>
          <w:i/>
          <w:iCs/>
          <w:sz w:val="18"/>
          <w:szCs w:val="18"/>
        </w:rPr>
        <w:t>Administrative data</w:t>
      </w:r>
      <w:r w:rsidR="00296444" w:rsidRPr="00E96855">
        <w:rPr>
          <w:rFonts w:cstheme="minorHAnsi"/>
          <w:sz w:val="18"/>
          <w:szCs w:val="18"/>
        </w:rPr>
        <w:t xml:space="preserve"> [unpublished data]</w:t>
      </w:r>
      <w:r w:rsidRPr="00E96855">
        <w:rPr>
          <w:rFonts w:cstheme="minorHAnsi"/>
          <w:sz w:val="18"/>
          <w:szCs w:val="18"/>
        </w:rPr>
        <w:t>.</w:t>
      </w:r>
    </w:p>
  </w:footnote>
  <w:footnote w:id="36">
    <w:p w14:paraId="263630A5" w14:textId="01174B7E" w:rsidR="00A75A64" w:rsidRPr="00E96855" w:rsidRDefault="00A75A64" w:rsidP="00A75A64">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970479" w:rsidRPr="00E96855">
        <w:rPr>
          <w:rFonts w:eastAsia="Calibri" w:cstheme="minorHAnsi"/>
          <w:color w:val="000000" w:themeColor="text1"/>
          <w:sz w:val="18"/>
          <w:szCs w:val="18"/>
        </w:rPr>
        <w:t xml:space="preserve">BIS OE, </w:t>
      </w:r>
      <w:r w:rsidR="00970479" w:rsidRPr="00E96855">
        <w:rPr>
          <w:rFonts w:eastAsia="Calibri" w:cstheme="minorHAnsi"/>
          <w:i/>
          <w:iCs/>
          <w:color w:val="000000" w:themeColor="text1"/>
          <w:sz w:val="18"/>
          <w:szCs w:val="18"/>
        </w:rPr>
        <w:t xml:space="preserve">Higher Education Qualification Demand </w:t>
      </w:r>
      <w:r w:rsidR="00970479" w:rsidRPr="00E96855">
        <w:rPr>
          <w:rFonts w:eastAsia="Calibri" w:cstheme="minorHAnsi"/>
          <w:color w:val="000000" w:themeColor="text1"/>
          <w:sz w:val="18"/>
          <w:szCs w:val="18"/>
        </w:rPr>
        <w:t>[unpublished].</w:t>
      </w:r>
    </w:p>
  </w:footnote>
  <w:footnote w:id="37">
    <w:p w14:paraId="3EB4117A" w14:textId="5BFA4A6E" w:rsidR="00145E3C" w:rsidRPr="00E96855" w:rsidRDefault="00145E3C" w:rsidP="00145E3C">
      <w:pPr>
        <w:pStyle w:val="FootnoteText"/>
        <w:rPr>
          <w:rFonts w:cstheme="minorHAnsi"/>
          <w: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975856" w:rsidRPr="00E96855">
        <w:rPr>
          <w:rFonts w:cstheme="minorHAnsi"/>
          <w:sz w:val="18"/>
          <w:szCs w:val="18"/>
        </w:rPr>
        <w:t xml:space="preserve">Department of Education, </w:t>
      </w:r>
      <w:r w:rsidR="00975856" w:rsidRPr="00E96855">
        <w:rPr>
          <w:rFonts w:cstheme="minorHAnsi"/>
          <w:i/>
          <w:sz w:val="18"/>
          <w:szCs w:val="18"/>
        </w:rPr>
        <w:t xml:space="preserve">Higher Education Statistics –Student Data </w:t>
      </w:r>
      <w:r w:rsidR="00975856" w:rsidRPr="00E96855">
        <w:rPr>
          <w:rFonts w:cstheme="minorHAnsi"/>
          <w:sz w:val="18"/>
          <w:szCs w:val="18"/>
        </w:rPr>
        <w:t xml:space="preserve">– </w:t>
      </w:r>
      <w:r w:rsidR="00975856" w:rsidRPr="00E96855">
        <w:rPr>
          <w:rFonts w:cstheme="minorHAnsi"/>
          <w:i/>
          <w:iCs/>
          <w:sz w:val="18"/>
          <w:szCs w:val="18"/>
        </w:rPr>
        <w:t>2021 Section 11 Equity groups</w:t>
      </w:r>
      <w:r w:rsidRPr="00E96855">
        <w:rPr>
          <w:rFonts w:cstheme="minorHAnsi"/>
          <w:sz w:val="18"/>
          <w:szCs w:val="18"/>
        </w:rPr>
        <w:t xml:space="preserve">. </w:t>
      </w:r>
    </w:p>
  </w:footnote>
  <w:footnote w:id="38">
    <w:p w14:paraId="78DB2FCF" w14:textId="51CBA0A2" w:rsidR="00D70A2D" w:rsidRPr="00E96855" w:rsidRDefault="00D70A2D" w:rsidP="00D70A2D">
      <w:pPr>
        <w:spacing w:after="0"/>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There has been a significant increase in the reporting of students experiencing mental health conditions and associated disability from 2020 to 2021. This peak coincides with the COVID-19 </w:t>
      </w:r>
      <w:r w:rsidR="002B3A7E">
        <w:rPr>
          <w:rFonts w:cstheme="minorHAnsi"/>
          <w:sz w:val="18"/>
          <w:szCs w:val="18"/>
        </w:rPr>
        <w:t>p</w:t>
      </w:r>
      <w:r w:rsidRPr="00E96855">
        <w:rPr>
          <w:rFonts w:cstheme="minorHAnsi"/>
          <w:sz w:val="18"/>
          <w:szCs w:val="18"/>
        </w:rPr>
        <w:t>andemic.</w:t>
      </w:r>
    </w:p>
  </w:footnote>
  <w:footnote w:id="39">
    <w:p w14:paraId="772ACAE6" w14:textId="4446A620" w:rsidR="00145E3C" w:rsidRPr="00E96855" w:rsidRDefault="00145E3C" w:rsidP="00145E3C">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82740D" w:rsidRPr="00E96855">
        <w:rPr>
          <w:rFonts w:cstheme="minorHAnsi"/>
          <w:sz w:val="18"/>
          <w:szCs w:val="18"/>
        </w:rPr>
        <w:t xml:space="preserve">Regional Universities Network (RUN), </w:t>
      </w:r>
      <w:hyperlink r:id="rId18" w:history="1">
        <w:r w:rsidR="0082740D" w:rsidRPr="00E96855">
          <w:rPr>
            <w:rStyle w:val="Hyperlink"/>
            <w:rFonts w:cstheme="minorHAnsi"/>
            <w:i/>
            <w:sz w:val="18"/>
            <w:szCs w:val="18"/>
          </w:rPr>
          <w:t>Submission to the Australian Universities Accord Discussion Paper</w:t>
        </w:r>
      </w:hyperlink>
      <w:r w:rsidR="0082740D" w:rsidRPr="00E96855">
        <w:rPr>
          <w:rFonts w:cstheme="minorHAnsi"/>
          <w:sz w:val="18"/>
          <w:szCs w:val="18"/>
        </w:rPr>
        <w:t xml:space="preserve">, 2023; Universities Australia, </w:t>
      </w:r>
      <w:hyperlink r:id="rId19" w:history="1">
        <w:r w:rsidR="0082740D" w:rsidRPr="00E96855">
          <w:rPr>
            <w:rStyle w:val="Hyperlink"/>
            <w:rFonts w:cstheme="minorHAnsi"/>
            <w:i/>
            <w:sz w:val="18"/>
            <w:szCs w:val="18"/>
          </w:rPr>
          <w:t>Submission to the Australian Universities Accord Discussion Paper</w:t>
        </w:r>
      </w:hyperlink>
      <w:r w:rsidR="0082740D" w:rsidRPr="00E96855">
        <w:rPr>
          <w:rFonts w:cstheme="minorHAnsi"/>
          <w:sz w:val="18"/>
          <w:szCs w:val="18"/>
        </w:rPr>
        <w:t>, 2023.</w:t>
      </w:r>
    </w:p>
  </w:footnote>
  <w:footnote w:id="40">
    <w:p w14:paraId="61F859D0" w14:textId="4C3D1267" w:rsidR="00145E3C" w:rsidRPr="00E96855" w:rsidRDefault="00145E3C" w:rsidP="00145E3C">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7A0DEF" w:rsidRPr="00E96855">
        <w:rPr>
          <w:rFonts w:cstheme="minorHAnsi"/>
          <w:sz w:val="18"/>
          <w:szCs w:val="18"/>
        </w:rPr>
        <w:t xml:space="preserve">A Norton, </w:t>
      </w:r>
      <w:hyperlink r:id="rId20" w:history="1">
        <w:r w:rsidR="007A0DEF" w:rsidRPr="00E96855">
          <w:rPr>
            <w:rStyle w:val="Hyperlink"/>
            <w:rFonts w:cstheme="minorHAnsi"/>
            <w:i/>
            <w:sz w:val="18"/>
            <w:szCs w:val="18"/>
          </w:rPr>
          <w:t>Submission to the Australian Universities Accord Discussion Paper</w:t>
        </w:r>
      </w:hyperlink>
      <w:r w:rsidR="007A0DEF" w:rsidRPr="00E96855">
        <w:rPr>
          <w:rFonts w:cstheme="minorHAnsi"/>
          <w:i/>
          <w:sz w:val="18"/>
          <w:szCs w:val="18"/>
        </w:rPr>
        <w:t xml:space="preserve">, </w:t>
      </w:r>
      <w:r w:rsidR="007A0DEF" w:rsidRPr="00E96855">
        <w:rPr>
          <w:rFonts w:cstheme="minorHAnsi"/>
          <w:sz w:val="18"/>
          <w:szCs w:val="18"/>
        </w:rPr>
        <w:t>2023</w:t>
      </w:r>
      <w:r w:rsidRPr="00E96855">
        <w:rPr>
          <w:rFonts w:cstheme="minorHAnsi"/>
          <w:sz w:val="18"/>
          <w:szCs w:val="18"/>
        </w:rPr>
        <w:t>.</w:t>
      </w:r>
      <w:r w:rsidRPr="00E96855">
        <w:rPr>
          <w:rFonts w:cstheme="minorHAnsi"/>
          <w:i/>
          <w:sz w:val="18"/>
          <w:szCs w:val="18"/>
        </w:rPr>
        <w:t xml:space="preserve"> </w:t>
      </w:r>
    </w:p>
  </w:footnote>
  <w:footnote w:id="41">
    <w:p w14:paraId="0F9A639F" w14:textId="0CB011F5" w:rsidR="00145E3C" w:rsidRPr="00E96855" w:rsidRDefault="00145E3C" w:rsidP="00145E3C">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DB41BA" w:rsidRPr="00E96855">
        <w:rPr>
          <w:rFonts w:cstheme="minorHAnsi"/>
          <w:sz w:val="18"/>
          <w:szCs w:val="18"/>
        </w:rPr>
        <w:t xml:space="preserve">Monash University, </w:t>
      </w:r>
      <w:hyperlink r:id="rId21" w:history="1">
        <w:r w:rsidR="00DB41BA" w:rsidRPr="00E96855">
          <w:rPr>
            <w:rStyle w:val="Hyperlink"/>
            <w:rFonts w:cstheme="minorHAnsi"/>
            <w:i/>
            <w:sz w:val="18"/>
            <w:szCs w:val="18"/>
          </w:rPr>
          <w:t>Submission to the Australian Universities Accord Discussion Paper</w:t>
        </w:r>
      </w:hyperlink>
      <w:r w:rsidR="00DB41BA" w:rsidRPr="00E96855">
        <w:rPr>
          <w:rFonts w:cstheme="minorHAnsi"/>
          <w:sz w:val="18"/>
          <w:szCs w:val="18"/>
        </w:rPr>
        <w:t>, 2023.</w:t>
      </w:r>
    </w:p>
  </w:footnote>
  <w:footnote w:id="42">
    <w:p w14:paraId="307B53C0" w14:textId="453EF19B" w:rsidR="0090060E" w:rsidRPr="00E96855" w:rsidRDefault="0090060E">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BE38CF" w:rsidRPr="00E96855">
        <w:rPr>
          <w:rFonts w:cstheme="minorHAnsi"/>
          <w:sz w:val="18"/>
          <w:szCs w:val="18"/>
        </w:rPr>
        <w:t xml:space="preserve">Council of Australian Governments, </w:t>
      </w:r>
      <w:hyperlink r:id="rId22" w:history="1">
        <w:r w:rsidR="00BE38CF" w:rsidRPr="00E96855">
          <w:rPr>
            <w:rStyle w:val="Hyperlink"/>
            <w:rFonts w:cstheme="minorHAnsi"/>
            <w:i/>
            <w:sz w:val="18"/>
            <w:szCs w:val="18"/>
          </w:rPr>
          <w:t>National School Reform Agreement</w:t>
        </w:r>
      </w:hyperlink>
      <w:r w:rsidR="00BE38CF" w:rsidRPr="00E96855">
        <w:rPr>
          <w:rFonts w:cstheme="minorHAnsi"/>
          <w:i/>
          <w:sz w:val="18"/>
          <w:szCs w:val="18"/>
        </w:rPr>
        <w:t xml:space="preserve">, </w:t>
      </w:r>
      <w:r w:rsidR="00BE38CF" w:rsidRPr="00E96855">
        <w:rPr>
          <w:rFonts w:cstheme="minorHAnsi"/>
          <w:iCs/>
          <w:sz w:val="18"/>
          <w:szCs w:val="18"/>
        </w:rPr>
        <w:t>Council of Australian Governments,</w:t>
      </w:r>
      <w:r w:rsidR="00BE38CF" w:rsidRPr="00E96855">
        <w:rPr>
          <w:rFonts w:cstheme="minorHAnsi"/>
          <w:i/>
          <w:sz w:val="18"/>
          <w:szCs w:val="18"/>
        </w:rPr>
        <w:t xml:space="preserve"> </w:t>
      </w:r>
      <w:r w:rsidR="00BE38CF" w:rsidRPr="00E96855">
        <w:rPr>
          <w:rFonts w:cstheme="minorHAnsi"/>
          <w:iCs/>
          <w:sz w:val="18"/>
          <w:szCs w:val="18"/>
        </w:rPr>
        <w:t>2021, accessed 16 June 2023</w:t>
      </w:r>
      <w:r w:rsidR="00BE38CF" w:rsidRPr="00E96855">
        <w:rPr>
          <w:rFonts w:cstheme="minorHAnsi"/>
          <w:sz w:val="18"/>
          <w:szCs w:val="18"/>
        </w:rPr>
        <w:t>.</w:t>
      </w:r>
    </w:p>
  </w:footnote>
  <w:footnote w:id="43">
    <w:p w14:paraId="39926324" w14:textId="449E6C92" w:rsidR="008902D7" w:rsidRPr="00E96855" w:rsidRDefault="008902D7">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741CE9" w:rsidRPr="00E96855">
        <w:rPr>
          <w:rFonts w:cstheme="minorHAnsi"/>
          <w:sz w:val="18"/>
          <w:szCs w:val="18"/>
        </w:rPr>
        <w:t xml:space="preserve">Productivity Commission, </w:t>
      </w:r>
      <w:hyperlink r:id="rId23" w:history="1">
        <w:r w:rsidR="00741CE9" w:rsidRPr="00E96855">
          <w:rPr>
            <w:rStyle w:val="Hyperlink"/>
            <w:rFonts w:cstheme="minorHAnsi"/>
            <w:i/>
            <w:sz w:val="18"/>
            <w:szCs w:val="18"/>
          </w:rPr>
          <w:t>Review of the National School Reform Agreement – Study Report</w:t>
        </w:r>
      </w:hyperlink>
      <w:r w:rsidR="00741CE9" w:rsidRPr="00E96855">
        <w:rPr>
          <w:rFonts w:cstheme="minorHAnsi"/>
          <w:i/>
          <w:sz w:val="18"/>
          <w:szCs w:val="18"/>
        </w:rPr>
        <w:t xml:space="preserve">, </w:t>
      </w:r>
      <w:r w:rsidR="00741CE9" w:rsidRPr="00E96855">
        <w:rPr>
          <w:rFonts w:cstheme="minorHAnsi"/>
          <w:iCs/>
          <w:sz w:val="18"/>
          <w:szCs w:val="18"/>
        </w:rPr>
        <w:t>Productivity Commission, Australian Government, 2022, accessed 16 June 2023.</w:t>
      </w:r>
    </w:p>
  </w:footnote>
  <w:footnote w:id="44">
    <w:p w14:paraId="624A4527" w14:textId="637BD8D3" w:rsidR="00682F86" w:rsidRPr="00E96855" w:rsidRDefault="00682F86">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B84ADF" w:rsidRPr="00E96855">
        <w:rPr>
          <w:rFonts w:eastAsia="Calibri" w:cstheme="minorHAnsi"/>
          <w:color w:val="000000" w:themeColor="text1"/>
          <w:sz w:val="18"/>
          <w:szCs w:val="18"/>
        </w:rPr>
        <w:t xml:space="preserve">BIS OE, </w:t>
      </w:r>
      <w:r w:rsidR="00B84ADF" w:rsidRPr="00E96855">
        <w:rPr>
          <w:rFonts w:eastAsia="Calibri" w:cstheme="minorHAnsi"/>
          <w:i/>
          <w:iCs/>
          <w:color w:val="000000" w:themeColor="text1"/>
          <w:sz w:val="18"/>
          <w:szCs w:val="18"/>
        </w:rPr>
        <w:t xml:space="preserve">Higher Education Qualification Demand </w:t>
      </w:r>
      <w:r w:rsidR="00B84ADF" w:rsidRPr="00E96855">
        <w:rPr>
          <w:rFonts w:eastAsia="Calibri" w:cstheme="minorHAnsi"/>
          <w:color w:val="000000" w:themeColor="text1"/>
          <w:sz w:val="18"/>
          <w:szCs w:val="18"/>
        </w:rPr>
        <w:t>[unpublished].</w:t>
      </w:r>
    </w:p>
  </w:footnote>
  <w:footnote w:id="45">
    <w:p w14:paraId="0B9119A5" w14:textId="4587AD10" w:rsidR="00AF746C" w:rsidRPr="00E96855" w:rsidRDefault="00AF746C" w:rsidP="00AF746C">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ED6F7D" w:rsidRPr="00E96855">
        <w:rPr>
          <w:rFonts w:cstheme="minorHAnsi"/>
          <w:sz w:val="18"/>
          <w:szCs w:val="18"/>
        </w:rPr>
        <w:t xml:space="preserve">NSC, </w:t>
      </w:r>
      <w:hyperlink r:id="rId24" w:history="1">
        <w:r w:rsidR="00ED6F7D" w:rsidRPr="00E96855">
          <w:rPr>
            <w:rStyle w:val="Hyperlink"/>
            <w:rFonts w:cstheme="minorHAnsi"/>
            <w:i/>
            <w:iCs/>
            <w:sz w:val="18"/>
            <w:szCs w:val="18"/>
          </w:rPr>
          <w:t>Skills Priority List: Key Findings Report</w:t>
        </w:r>
      </w:hyperlink>
      <w:r w:rsidR="00ED6F7D" w:rsidRPr="00E96855">
        <w:rPr>
          <w:rFonts w:cstheme="minorHAnsi"/>
          <w:i/>
          <w:iCs/>
          <w:sz w:val="18"/>
          <w:szCs w:val="18"/>
        </w:rPr>
        <w:t xml:space="preserve">, </w:t>
      </w:r>
      <w:r w:rsidR="00ED6F7D" w:rsidRPr="00E96855">
        <w:rPr>
          <w:rFonts w:cstheme="minorHAnsi"/>
          <w:sz w:val="18"/>
          <w:szCs w:val="18"/>
        </w:rPr>
        <w:t>NSC, Australian Government, 2022, accessed 16 June 2023.</w:t>
      </w:r>
    </w:p>
  </w:footnote>
  <w:footnote w:id="46">
    <w:p w14:paraId="589193E0" w14:textId="73E65A50" w:rsidR="00AF746C" w:rsidRPr="00E96855" w:rsidRDefault="00AF746C" w:rsidP="00AF746C">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B95DDF" w:rsidRPr="00E96855">
        <w:rPr>
          <w:rFonts w:cstheme="minorHAnsi"/>
          <w:sz w:val="18"/>
          <w:szCs w:val="18"/>
        </w:rPr>
        <w:t xml:space="preserve">NSC, </w:t>
      </w:r>
      <w:r w:rsidR="00B95DDF" w:rsidRPr="00E96855">
        <w:rPr>
          <w:rFonts w:cstheme="minorHAnsi"/>
          <w:i/>
          <w:iCs/>
          <w:sz w:val="18"/>
          <w:szCs w:val="18"/>
        </w:rPr>
        <w:t>Skills Priority List.</w:t>
      </w:r>
    </w:p>
  </w:footnote>
  <w:footnote w:id="47">
    <w:p w14:paraId="63E2D668" w14:textId="50F8B823" w:rsidR="00AF746C" w:rsidRPr="00E96855" w:rsidRDefault="00AF746C" w:rsidP="00AF746C">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686DE5" w:rsidRPr="00E96855">
        <w:rPr>
          <w:rFonts w:cstheme="minorHAnsi"/>
          <w:sz w:val="18"/>
          <w:szCs w:val="18"/>
        </w:rPr>
        <w:t>NSC</w:t>
      </w:r>
      <w:r w:rsidR="00C64EC6" w:rsidRPr="00E96855">
        <w:rPr>
          <w:rFonts w:cstheme="minorHAnsi"/>
          <w:sz w:val="18"/>
          <w:szCs w:val="18"/>
        </w:rPr>
        <w:t xml:space="preserve">, </w:t>
      </w:r>
      <w:hyperlink r:id="rId25" w:history="1">
        <w:r w:rsidR="00C64EC6" w:rsidRPr="00E96855">
          <w:rPr>
            <w:rStyle w:val="Hyperlink"/>
            <w:rFonts w:cstheme="minorHAnsi"/>
            <w:i/>
            <w:iCs/>
            <w:sz w:val="18"/>
            <w:szCs w:val="18"/>
          </w:rPr>
          <w:t>Employment projections</w:t>
        </w:r>
      </w:hyperlink>
      <w:r w:rsidR="00C64EC6" w:rsidRPr="00E96855">
        <w:rPr>
          <w:rFonts w:cstheme="minorHAnsi"/>
          <w:sz w:val="18"/>
          <w:szCs w:val="18"/>
        </w:rPr>
        <w:t>, NSC website, 2022, accessed 7 June 2023.</w:t>
      </w:r>
    </w:p>
  </w:footnote>
  <w:footnote w:id="48">
    <w:p w14:paraId="1048526A" w14:textId="124F494A" w:rsidR="00AF746C" w:rsidRPr="00E96855" w:rsidRDefault="00AF746C" w:rsidP="00AF746C">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F97D50" w:rsidRPr="00E96855">
        <w:rPr>
          <w:rFonts w:cstheme="minorHAnsi"/>
          <w:sz w:val="18"/>
          <w:szCs w:val="18"/>
        </w:rPr>
        <w:t xml:space="preserve">NSC, </w:t>
      </w:r>
      <w:r w:rsidR="00F97D50" w:rsidRPr="00E96855">
        <w:rPr>
          <w:rFonts w:cstheme="minorHAnsi"/>
          <w:i/>
          <w:iCs/>
          <w:sz w:val="18"/>
          <w:szCs w:val="18"/>
        </w:rPr>
        <w:t>Skills Priority List.</w:t>
      </w:r>
    </w:p>
  </w:footnote>
  <w:footnote w:id="49">
    <w:p w14:paraId="418E5EEF" w14:textId="3A62E535" w:rsidR="00AF746C" w:rsidRPr="00E96855" w:rsidRDefault="00AF746C" w:rsidP="00AF746C">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543AF7" w:rsidRPr="00E96855">
        <w:rPr>
          <w:rFonts w:cstheme="minorHAnsi"/>
          <w:sz w:val="18"/>
          <w:szCs w:val="18"/>
        </w:rPr>
        <w:t xml:space="preserve">NSC, </w:t>
      </w:r>
      <w:r w:rsidR="00543AF7" w:rsidRPr="00E96855">
        <w:rPr>
          <w:rFonts w:cstheme="minorHAnsi"/>
          <w:i/>
          <w:sz w:val="18"/>
          <w:szCs w:val="18"/>
        </w:rPr>
        <w:t>Employment outlook (five years to November 2026).</w:t>
      </w:r>
    </w:p>
  </w:footnote>
  <w:footnote w:id="50">
    <w:p w14:paraId="0DDCDA08" w14:textId="6674CFC4" w:rsidR="00AF746C" w:rsidRPr="00E96855" w:rsidRDefault="00AF746C" w:rsidP="00AF746C">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D447AA" w:rsidRPr="00E96855">
        <w:rPr>
          <w:rFonts w:cstheme="minorHAnsi"/>
          <w:sz w:val="18"/>
          <w:szCs w:val="18"/>
        </w:rPr>
        <w:t xml:space="preserve">NSC, </w:t>
      </w:r>
      <w:r w:rsidR="00D447AA" w:rsidRPr="00E96855">
        <w:rPr>
          <w:rFonts w:cstheme="minorHAnsi"/>
          <w:i/>
          <w:iCs/>
          <w:sz w:val="18"/>
          <w:szCs w:val="18"/>
        </w:rPr>
        <w:t>Skills Priority List.</w:t>
      </w:r>
    </w:p>
  </w:footnote>
  <w:footnote w:id="51">
    <w:p w14:paraId="51FA5D07" w14:textId="77777777" w:rsidR="00872E40" w:rsidRPr="00E96855" w:rsidRDefault="00872E40" w:rsidP="00872E40">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Productivity Commission, </w:t>
      </w:r>
      <w:hyperlink r:id="rId26" w:history="1">
        <w:r w:rsidRPr="00E96855">
          <w:rPr>
            <w:rStyle w:val="Hyperlink"/>
            <w:rFonts w:cstheme="minorHAnsi"/>
            <w:i/>
            <w:sz w:val="18"/>
            <w:szCs w:val="18"/>
          </w:rPr>
          <w:t>5-year Productivity Inquiry: From learning to growth</w:t>
        </w:r>
      </w:hyperlink>
      <w:r w:rsidRPr="00E96855">
        <w:rPr>
          <w:rFonts w:cstheme="minorHAnsi"/>
          <w:sz w:val="18"/>
          <w:szCs w:val="18"/>
        </w:rPr>
        <w:t>, Vol. 8, Productivity Commission, Australian Government, 2023, p 51, accessed 16 June 2023.</w:t>
      </w:r>
    </w:p>
  </w:footnote>
  <w:footnote w:id="52">
    <w:p w14:paraId="6CA52B43" w14:textId="1C03806A" w:rsidR="00AF746C" w:rsidRPr="00E96855" w:rsidRDefault="00AF746C" w:rsidP="00AF746C">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383D8D" w:rsidRPr="00E96855">
        <w:rPr>
          <w:rFonts w:cstheme="minorHAnsi"/>
          <w:sz w:val="18"/>
          <w:szCs w:val="18"/>
        </w:rPr>
        <w:t xml:space="preserve">JSA, </w:t>
      </w:r>
      <w:r w:rsidR="00383D8D" w:rsidRPr="00E96855">
        <w:rPr>
          <w:rFonts w:cstheme="minorHAnsi"/>
          <w:i/>
          <w:iCs/>
          <w:sz w:val="18"/>
          <w:szCs w:val="18"/>
        </w:rPr>
        <w:t>Labour market update - May 2023.</w:t>
      </w:r>
    </w:p>
  </w:footnote>
  <w:footnote w:id="53">
    <w:p w14:paraId="2796E552" w14:textId="7C2F9239" w:rsidR="0029426E" w:rsidRPr="00E96855" w:rsidRDefault="0029426E">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3D7E57" w:rsidRPr="00E96855">
        <w:rPr>
          <w:rFonts w:cstheme="minorHAnsi"/>
          <w:sz w:val="18"/>
          <w:szCs w:val="18"/>
        </w:rPr>
        <w:t xml:space="preserve">Department of Industry, Science and Resources (DISR), </w:t>
      </w:r>
      <w:hyperlink r:id="rId27" w:history="1">
        <w:r w:rsidR="003D7E57" w:rsidRPr="00E96855">
          <w:rPr>
            <w:rStyle w:val="Hyperlink"/>
            <w:rFonts w:cstheme="minorHAnsi"/>
            <w:i/>
            <w:sz w:val="18"/>
            <w:szCs w:val="18"/>
          </w:rPr>
          <w:t>List of Critical Technologies in the National Interest</w:t>
        </w:r>
      </w:hyperlink>
      <w:r w:rsidR="003D7E57" w:rsidRPr="00E96855">
        <w:rPr>
          <w:rFonts w:cstheme="minorHAnsi"/>
          <w:sz w:val="18"/>
          <w:szCs w:val="18"/>
        </w:rPr>
        <w:t xml:space="preserve">, DISR website, 2023, accessed </w:t>
      </w:r>
      <w:r w:rsidR="001E2AE6" w:rsidRPr="00E96855">
        <w:rPr>
          <w:rFonts w:cstheme="minorHAnsi"/>
          <w:sz w:val="18"/>
          <w:szCs w:val="18"/>
        </w:rPr>
        <w:t>16 May</w:t>
      </w:r>
      <w:r w:rsidR="003D7E57" w:rsidRPr="00E96855">
        <w:rPr>
          <w:rFonts w:cstheme="minorHAnsi"/>
          <w:sz w:val="18"/>
          <w:szCs w:val="18"/>
        </w:rPr>
        <w:t xml:space="preserve"> 2023. </w:t>
      </w:r>
    </w:p>
  </w:footnote>
  <w:footnote w:id="54">
    <w:p w14:paraId="6C67F195" w14:textId="677EFA45" w:rsidR="000F730D" w:rsidRPr="00E96855" w:rsidRDefault="000F730D">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3F5CF4" w:rsidRPr="00E96855">
        <w:rPr>
          <w:rFonts w:cstheme="minorHAnsi"/>
          <w:sz w:val="18"/>
          <w:szCs w:val="18"/>
        </w:rPr>
        <w:t>B Packham, ‘</w:t>
      </w:r>
      <w:hyperlink r:id="rId28" w:history="1">
        <w:r w:rsidR="003F5CF4" w:rsidRPr="00E96855">
          <w:rPr>
            <w:rStyle w:val="Hyperlink"/>
            <w:rFonts w:cstheme="minorHAnsi"/>
            <w:sz w:val="18"/>
            <w:szCs w:val="18"/>
          </w:rPr>
          <w:t>Subs need 108 PhD-level nuke scientists a year’</w:t>
        </w:r>
      </w:hyperlink>
      <w:r w:rsidR="003F5CF4" w:rsidRPr="00E96855">
        <w:rPr>
          <w:rFonts w:cstheme="minorHAnsi"/>
          <w:sz w:val="18"/>
          <w:szCs w:val="18"/>
        </w:rPr>
        <w:t xml:space="preserve">, </w:t>
      </w:r>
      <w:r w:rsidR="003F5CF4" w:rsidRPr="00E96855">
        <w:rPr>
          <w:rFonts w:cstheme="minorHAnsi"/>
          <w:i/>
          <w:iCs/>
          <w:sz w:val="18"/>
          <w:szCs w:val="18"/>
        </w:rPr>
        <w:t>The Australian,</w:t>
      </w:r>
      <w:r w:rsidR="003F5CF4" w:rsidRPr="00E96855">
        <w:rPr>
          <w:rFonts w:cstheme="minorHAnsi"/>
          <w:sz w:val="18"/>
          <w:szCs w:val="18"/>
        </w:rPr>
        <w:t xml:space="preserve"> 6 March 2023, accessed 15 June 2023.</w:t>
      </w:r>
    </w:p>
  </w:footnote>
  <w:footnote w:id="55">
    <w:p w14:paraId="2D0873C8" w14:textId="0D542826" w:rsidR="0027566E" w:rsidRPr="00E96855" w:rsidRDefault="0027566E">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A52F30" w:rsidRPr="00E96855">
        <w:rPr>
          <w:rFonts w:cstheme="minorHAnsi"/>
          <w:sz w:val="18"/>
          <w:szCs w:val="18"/>
        </w:rPr>
        <w:t>N Martin, ‘</w:t>
      </w:r>
      <w:hyperlink r:id="rId29" w:history="1">
        <w:r w:rsidR="00A52F30" w:rsidRPr="00E96855">
          <w:rPr>
            <w:rStyle w:val="Hyperlink"/>
            <w:rFonts w:cstheme="minorHAnsi"/>
            <w:sz w:val="18"/>
            <w:szCs w:val="18"/>
          </w:rPr>
          <w:t>Three tiers and more than 8000 new engineers: what it will take to deliver AUKUS nuclear submarine program</w:t>
        </w:r>
      </w:hyperlink>
      <w:r w:rsidR="00A52F30" w:rsidRPr="00E96855">
        <w:rPr>
          <w:rFonts w:cstheme="minorHAnsi"/>
          <w:sz w:val="18"/>
          <w:szCs w:val="18"/>
        </w:rPr>
        <w:t xml:space="preserve">', </w:t>
      </w:r>
      <w:r w:rsidR="00A52F30" w:rsidRPr="00E96855">
        <w:rPr>
          <w:rFonts w:cstheme="minorHAnsi"/>
          <w:i/>
          <w:iCs/>
          <w:sz w:val="18"/>
          <w:szCs w:val="18"/>
        </w:rPr>
        <w:t>UNSW Newsroom,</w:t>
      </w:r>
      <w:r w:rsidR="00A52F30" w:rsidRPr="00E96855">
        <w:rPr>
          <w:rFonts w:cstheme="minorHAnsi"/>
          <w:sz w:val="18"/>
          <w:szCs w:val="18"/>
        </w:rPr>
        <w:t xml:space="preserve"> 31 March 2023, accessed </w:t>
      </w:r>
      <w:r w:rsidR="001E2AE6" w:rsidRPr="00E96855">
        <w:rPr>
          <w:rFonts w:cstheme="minorHAnsi"/>
          <w:sz w:val="18"/>
          <w:szCs w:val="18"/>
        </w:rPr>
        <w:t>16 May</w:t>
      </w:r>
      <w:r w:rsidR="00A52F30" w:rsidRPr="00E96855">
        <w:rPr>
          <w:rFonts w:cstheme="minorHAnsi"/>
          <w:sz w:val="18"/>
          <w:szCs w:val="18"/>
        </w:rPr>
        <w:t xml:space="preserve"> 2023.</w:t>
      </w:r>
    </w:p>
  </w:footnote>
  <w:footnote w:id="56">
    <w:p w14:paraId="49895D1B" w14:textId="3E5DE43D" w:rsidR="006B0D7F" w:rsidRPr="00E96855" w:rsidRDefault="006B0D7F" w:rsidP="006B0D7F">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A05AB9" w:rsidRPr="00E96855">
        <w:rPr>
          <w:rFonts w:cstheme="minorHAnsi"/>
          <w:sz w:val="18"/>
          <w:szCs w:val="18"/>
        </w:rPr>
        <w:t xml:space="preserve">Australian Technology Network of Universities (ATN) and Nous Group, </w:t>
      </w:r>
      <w:hyperlink r:id="rId30" w:history="1">
        <w:r w:rsidR="00A05AB9" w:rsidRPr="00E96855">
          <w:rPr>
            <w:rStyle w:val="Hyperlink"/>
            <w:rFonts w:cstheme="minorHAnsi"/>
            <w:i/>
            <w:sz w:val="18"/>
            <w:szCs w:val="18"/>
          </w:rPr>
          <w:t>Enhancing the Value of PhDs to Australian Industry</w:t>
        </w:r>
      </w:hyperlink>
      <w:r w:rsidR="00A05AB9" w:rsidRPr="00E96855">
        <w:rPr>
          <w:rFonts w:cstheme="minorHAnsi"/>
          <w:sz w:val="18"/>
          <w:szCs w:val="18"/>
        </w:rPr>
        <w:t xml:space="preserve">, ATN website, 2017, accessed </w:t>
      </w:r>
      <w:r w:rsidR="001E2AE6" w:rsidRPr="00E96855">
        <w:rPr>
          <w:rFonts w:cstheme="minorHAnsi"/>
          <w:sz w:val="18"/>
          <w:szCs w:val="18"/>
        </w:rPr>
        <w:t>16 May</w:t>
      </w:r>
      <w:r w:rsidR="00A05AB9" w:rsidRPr="00E96855">
        <w:rPr>
          <w:rFonts w:cstheme="minorHAnsi"/>
          <w:sz w:val="18"/>
          <w:szCs w:val="18"/>
        </w:rPr>
        <w:t xml:space="preserve"> 2023.  </w:t>
      </w:r>
    </w:p>
  </w:footnote>
  <w:footnote w:id="57">
    <w:p w14:paraId="177998B0" w14:textId="1BB6F88C" w:rsidR="00AF746C" w:rsidRPr="00E96855" w:rsidRDefault="00AF746C" w:rsidP="00AF746C">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847297" w:rsidRPr="00E96855">
        <w:rPr>
          <w:rFonts w:cstheme="minorHAnsi"/>
          <w:sz w:val="18"/>
          <w:szCs w:val="18"/>
        </w:rPr>
        <w:t xml:space="preserve">National Centre for Vocational Education Research (NCVER), </w:t>
      </w:r>
      <w:hyperlink r:id="rId31" w:history="1">
        <w:r w:rsidR="00847297" w:rsidRPr="00E96855">
          <w:rPr>
            <w:rStyle w:val="Hyperlink"/>
            <w:rFonts w:cstheme="minorHAnsi"/>
            <w:i/>
            <w:sz w:val="18"/>
            <w:szCs w:val="18"/>
          </w:rPr>
          <w:t>VET student outcomes 2022</w:t>
        </w:r>
      </w:hyperlink>
      <w:r w:rsidR="00847297" w:rsidRPr="00E96855">
        <w:rPr>
          <w:rFonts w:cstheme="minorHAnsi"/>
          <w:sz w:val="18"/>
          <w:szCs w:val="18"/>
        </w:rPr>
        <w:t>, NCVER website, 2022, accessed 7 June 2023</w:t>
      </w:r>
      <w:r w:rsidRPr="00E96855">
        <w:rPr>
          <w:rFonts w:cstheme="minorHAnsi"/>
          <w:sz w:val="18"/>
          <w:szCs w:val="18"/>
        </w:rPr>
        <w:t>.</w:t>
      </w:r>
    </w:p>
  </w:footnote>
  <w:footnote w:id="58">
    <w:p w14:paraId="605DF85A" w14:textId="1342B9DD" w:rsidR="00AF746C" w:rsidRPr="00E96855" w:rsidRDefault="00AF746C" w:rsidP="00AF746C">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AB2942" w:rsidRPr="00E96855">
        <w:rPr>
          <w:rFonts w:cstheme="minorHAnsi"/>
          <w:sz w:val="18"/>
          <w:szCs w:val="18"/>
        </w:rPr>
        <w:t xml:space="preserve">Engineers Australia, </w:t>
      </w:r>
      <w:hyperlink r:id="rId32" w:history="1">
        <w:r w:rsidR="00AB2942" w:rsidRPr="00E96855">
          <w:rPr>
            <w:rStyle w:val="Hyperlink"/>
            <w:rFonts w:cstheme="minorHAnsi"/>
            <w:i/>
            <w:sz w:val="18"/>
            <w:szCs w:val="18"/>
          </w:rPr>
          <w:t>Strengthening the engineering workforce in Australia: Solutions to address the skills shortage in the short, medium, and long term</w:t>
        </w:r>
      </w:hyperlink>
      <w:r w:rsidR="00AB2942" w:rsidRPr="00E96855">
        <w:rPr>
          <w:rFonts w:cstheme="minorHAnsi"/>
          <w:sz w:val="18"/>
          <w:szCs w:val="18"/>
        </w:rPr>
        <w:t xml:space="preserve">, Engineers Australia, 2022, accessed 7 June 2023; Infrastructure Australia, </w:t>
      </w:r>
      <w:hyperlink r:id="rId33" w:history="1">
        <w:r w:rsidR="00AB2942" w:rsidRPr="00E96855">
          <w:rPr>
            <w:rStyle w:val="Hyperlink"/>
            <w:rFonts w:cstheme="minorHAnsi"/>
            <w:i/>
            <w:sz w:val="18"/>
            <w:szCs w:val="18"/>
          </w:rPr>
          <w:t>Infrastructure workforce and skills supply: A report from Infrastructure Australia’s Market Capacity Program</w:t>
        </w:r>
      </w:hyperlink>
      <w:r w:rsidR="00AB2942" w:rsidRPr="00E96855">
        <w:rPr>
          <w:rFonts w:cstheme="minorHAnsi"/>
          <w:sz w:val="18"/>
          <w:szCs w:val="18"/>
        </w:rPr>
        <w:t>, Infrastructure Australia, Australian Government, 2021, accessed 7 June 2023</w:t>
      </w:r>
      <w:r w:rsidRPr="00E96855">
        <w:rPr>
          <w:rFonts w:cstheme="minorHAnsi"/>
          <w:sz w:val="18"/>
          <w:szCs w:val="18"/>
        </w:rPr>
        <w:t>.</w:t>
      </w:r>
    </w:p>
  </w:footnote>
  <w:footnote w:id="59">
    <w:p w14:paraId="6FF9FC8F" w14:textId="3138AB89" w:rsidR="00AF746C" w:rsidRPr="00E96855" w:rsidRDefault="00AF746C" w:rsidP="00AF746C">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3346A7" w:rsidRPr="00E96855">
        <w:rPr>
          <w:rFonts w:eastAsia="Calibri" w:cstheme="minorHAnsi"/>
          <w:color w:val="000000" w:themeColor="text1"/>
          <w:sz w:val="18"/>
          <w:szCs w:val="18"/>
        </w:rPr>
        <w:t xml:space="preserve">M Bean and P Dawkins, </w:t>
      </w:r>
      <w:hyperlink r:id="rId34" w:history="1">
        <w:r w:rsidR="003346A7" w:rsidRPr="00E96855">
          <w:rPr>
            <w:rStyle w:val="Hyperlink"/>
            <w:rFonts w:eastAsia="Calibri" w:cstheme="minorHAnsi"/>
            <w:i/>
            <w:iCs/>
            <w:sz w:val="18"/>
            <w:szCs w:val="18"/>
          </w:rPr>
          <w:t>Review of University-Industry Collaboration in Teaching and Learning</w:t>
        </w:r>
      </w:hyperlink>
      <w:r w:rsidR="003346A7" w:rsidRPr="00E96855">
        <w:rPr>
          <w:rFonts w:eastAsia="Calibri" w:cstheme="minorHAnsi"/>
          <w:i/>
          <w:iCs/>
          <w:color w:val="000000" w:themeColor="text1"/>
          <w:sz w:val="18"/>
          <w:szCs w:val="18"/>
        </w:rPr>
        <w:t>,</w:t>
      </w:r>
      <w:r w:rsidR="003346A7" w:rsidRPr="00E96855">
        <w:rPr>
          <w:rFonts w:eastAsia="Calibri" w:cstheme="minorHAnsi"/>
          <w:color w:val="000000" w:themeColor="text1"/>
          <w:sz w:val="18"/>
          <w:szCs w:val="18"/>
        </w:rPr>
        <w:t xml:space="preserve"> Department of Education, Skills and Employment (DESE), Australian Government, 2021, accessed 7 June 2023.</w:t>
      </w:r>
    </w:p>
  </w:footnote>
  <w:footnote w:id="60">
    <w:p w14:paraId="75410A60" w14:textId="09B82CC5" w:rsidR="00AF746C" w:rsidRPr="00E96855" w:rsidRDefault="00AF746C" w:rsidP="00150FBA">
      <w:pPr>
        <w:spacing w:after="0" w:line="240" w:lineRule="auto"/>
        <w:rPr>
          <w:rFonts w:eastAsia="Times New Roman"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150FBA" w:rsidRPr="00E96855">
        <w:rPr>
          <w:rFonts w:eastAsia="Times New Roman" w:cstheme="minorHAnsi"/>
          <w:sz w:val="18"/>
          <w:szCs w:val="18"/>
        </w:rPr>
        <w:t xml:space="preserve">Universities Australia (UA), Australian Chamber of Commerce and Industry (ACCI), AiGroup, Business Council of Australia (BCA) and Australian Collaborative Education Network Limited (ACEN), </w:t>
      </w:r>
      <w:hyperlink r:id="rId35" w:history="1">
        <w:r w:rsidR="00150FBA" w:rsidRPr="00E96855">
          <w:rPr>
            <w:rStyle w:val="Hyperlink"/>
            <w:rFonts w:eastAsia="Times New Roman" w:cstheme="minorHAnsi"/>
            <w:i/>
            <w:sz w:val="18"/>
            <w:szCs w:val="18"/>
          </w:rPr>
          <w:t>National Strategy on Work Integrated Learning in University Education</w:t>
        </w:r>
      </w:hyperlink>
      <w:r w:rsidR="00150FBA" w:rsidRPr="00E96855">
        <w:rPr>
          <w:rFonts w:eastAsia="Times New Roman" w:cstheme="minorHAnsi"/>
          <w:i/>
          <w:sz w:val="18"/>
          <w:szCs w:val="18"/>
        </w:rPr>
        <w:t xml:space="preserve">, </w:t>
      </w:r>
      <w:r w:rsidR="00150FBA" w:rsidRPr="00E96855">
        <w:rPr>
          <w:rFonts w:eastAsia="Times New Roman" w:cstheme="minorHAnsi"/>
          <w:iCs/>
          <w:sz w:val="18"/>
          <w:szCs w:val="18"/>
        </w:rPr>
        <w:t>ACEN website, 2015, accessed 7 June 2023</w:t>
      </w:r>
      <w:r w:rsidR="00150FBA" w:rsidRPr="00E96855">
        <w:rPr>
          <w:rFonts w:eastAsia="Times New Roman" w:cstheme="minorHAnsi"/>
          <w:i/>
          <w:sz w:val="18"/>
          <w:szCs w:val="18"/>
        </w:rPr>
        <w:t>;</w:t>
      </w:r>
      <w:r w:rsidR="00150FBA" w:rsidRPr="00E96855">
        <w:rPr>
          <w:rFonts w:eastAsia="Times New Roman" w:cstheme="minorHAnsi"/>
          <w:sz w:val="18"/>
          <w:szCs w:val="18"/>
        </w:rPr>
        <w:t xml:space="preserve"> Office of Teaching and Learning, </w:t>
      </w:r>
      <w:hyperlink r:id="rId36" w:history="1">
        <w:r w:rsidR="00150FBA" w:rsidRPr="00E96855">
          <w:rPr>
            <w:rStyle w:val="Hyperlink"/>
            <w:rFonts w:eastAsia="Times New Roman" w:cstheme="minorHAnsi"/>
            <w:i/>
            <w:sz w:val="18"/>
            <w:szCs w:val="18"/>
          </w:rPr>
          <w:t>The impact of work integrated learning on student work-readiness</w:t>
        </w:r>
      </w:hyperlink>
      <w:r w:rsidR="00150FBA" w:rsidRPr="00E96855">
        <w:rPr>
          <w:rFonts w:eastAsia="Times New Roman" w:cstheme="minorHAnsi"/>
          <w:i/>
          <w:sz w:val="18"/>
          <w:szCs w:val="18"/>
        </w:rPr>
        <w:t xml:space="preserve"> </w:t>
      </w:r>
      <w:r w:rsidR="00150FBA" w:rsidRPr="00E96855">
        <w:rPr>
          <w:rFonts w:eastAsia="Times New Roman" w:cstheme="minorHAnsi"/>
          <w:iCs/>
          <w:sz w:val="18"/>
          <w:szCs w:val="18"/>
        </w:rPr>
        <w:t>[PDF]</w:t>
      </w:r>
      <w:r w:rsidR="00150FBA" w:rsidRPr="00E96855">
        <w:rPr>
          <w:rFonts w:eastAsia="Times New Roman" w:cstheme="minorHAnsi"/>
          <w:i/>
          <w:sz w:val="18"/>
          <w:szCs w:val="18"/>
        </w:rPr>
        <w:t xml:space="preserve">, </w:t>
      </w:r>
      <w:r w:rsidR="00150FBA" w:rsidRPr="00E96855">
        <w:rPr>
          <w:rFonts w:eastAsia="Times New Roman" w:cstheme="minorHAnsi"/>
          <w:iCs/>
          <w:sz w:val="18"/>
          <w:szCs w:val="18"/>
        </w:rPr>
        <w:t>Office for Learning and Teaching, Australian Government,</w:t>
      </w:r>
      <w:r w:rsidR="00150FBA" w:rsidRPr="00E96855">
        <w:rPr>
          <w:rFonts w:eastAsia="Times New Roman" w:cstheme="minorHAnsi"/>
          <w:i/>
          <w:sz w:val="18"/>
          <w:szCs w:val="18"/>
        </w:rPr>
        <w:t xml:space="preserve"> </w:t>
      </w:r>
      <w:r w:rsidR="00150FBA" w:rsidRPr="00E96855">
        <w:rPr>
          <w:rFonts w:eastAsia="Times New Roman" w:cstheme="minorHAnsi"/>
          <w:iCs/>
          <w:sz w:val="18"/>
          <w:szCs w:val="18"/>
        </w:rPr>
        <w:t xml:space="preserve">2014, accessed 7 June 2023; D Edwards, K Perkins, J Pearce and J Hong, </w:t>
      </w:r>
      <w:hyperlink r:id="rId37" w:history="1">
        <w:r w:rsidR="00150FBA" w:rsidRPr="00E96855">
          <w:rPr>
            <w:rStyle w:val="Hyperlink"/>
            <w:rFonts w:eastAsia="Times New Roman" w:cstheme="minorHAnsi"/>
            <w:i/>
            <w:sz w:val="18"/>
            <w:szCs w:val="18"/>
          </w:rPr>
          <w:t>Work Integrated Learning in STEM in Australian Universities</w:t>
        </w:r>
      </w:hyperlink>
      <w:r w:rsidR="00150FBA" w:rsidRPr="00E96855">
        <w:rPr>
          <w:rFonts w:eastAsia="Times New Roman" w:cstheme="minorHAnsi"/>
          <w:i/>
          <w:sz w:val="18"/>
          <w:szCs w:val="18"/>
        </w:rPr>
        <w:t>,</w:t>
      </w:r>
      <w:r w:rsidR="00150FBA" w:rsidRPr="00E96855">
        <w:rPr>
          <w:rFonts w:eastAsia="Times New Roman" w:cstheme="minorHAnsi"/>
          <w:iCs/>
          <w:sz w:val="18"/>
          <w:szCs w:val="18"/>
        </w:rPr>
        <w:t xml:space="preserve"> report to the Office of the Chief Scientist, Australian Council for Educational Research (ACER), 2015, accessed 7 June 2023; </w:t>
      </w:r>
      <w:r w:rsidR="00150FBA" w:rsidRPr="00E96855">
        <w:rPr>
          <w:rFonts w:eastAsia="Times New Roman" w:cstheme="minorHAnsi"/>
          <w:sz w:val="18"/>
          <w:szCs w:val="18"/>
        </w:rPr>
        <w:t xml:space="preserve">Universities Australia, </w:t>
      </w:r>
      <w:hyperlink r:id="rId38" w:history="1">
        <w:r w:rsidR="00150FBA" w:rsidRPr="00E96855">
          <w:rPr>
            <w:rStyle w:val="Hyperlink"/>
            <w:rFonts w:eastAsia="Times New Roman" w:cstheme="minorHAnsi"/>
            <w:sz w:val="18"/>
            <w:szCs w:val="18"/>
          </w:rPr>
          <w:t xml:space="preserve">Work Integrated Learning in Universities: Final Report </w:t>
        </w:r>
      </w:hyperlink>
      <w:r w:rsidR="00150FBA" w:rsidRPr="00E96855">
        <w:rPr>
          <w:rStyle w:val="Hyperlink"/>
          <w:rFonts w:eastAsia="Times New Roman" w:cstheme="minorHAnsi"/>
          <w:color w:val="auto"/>
          <w:sz w:val="18"/>
          <w:szCs w:val="18"/>
          <w:u w:val="none"/>
        </w:rPr>
        <w:t>[PDF]</w:t>
      </w:r>
      <w:r w:rsidR="00150FBA" w:rsidRPr="00E96855">
        <w:rPr>
          <w:rFonts w:eastAsia="Times New Roman" w:cstheme="minorHAnsi"/>
          <w:sz w:val="18"/>
          <w:szCs w:val="18"/>
        </w:rPr>
        <w:t>, Universities Australia, 2019, accessed 7 June 2023.</w:t>
      </w:r>
    </w:p>
  </w:footnote>
  <w:footnote w:id="61">
    <w:p w14:paraId="5B37FBC9" w14:textId="00D68C3F" w:rsidR="00AF746C" w:rsidRPr="00E96855" w:rsidRDefault="00AF746C" w:rsidP="00AF746C">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572291" w:rsidRPr="00E96855">
        <w:rPr>
          <w:rFonts w:cstheme="minorHAnsi"/>
          <w:sz w:val="18"/>
          <w:szCs w:val="18"/>
        </w:rPr>
        <w:t xml:space="preserve">AiGroup, </w:t>
      </w:r>
      <w:hyperlink r:id="rId39" w:history="1">
        <w:r w:rsidR="00572291" w:rsidRPr="00E96855">
          <w:rPr>
            <w:rStyle w:val="Hyperlink"/>
            <w:rFonts w:cstheme="minorHAnsi"/>
            <w:i/>
            <w:sz w:val="18"/>
            <w:szCs w:val="18"/>
          </w:rPr>
          <w:t>Connecting the Dots: Exploring young Australians’ pathways from education and training into work</w:t>
        </w:r>
      </w:hyperlink>
      <w:r w:rsidR="00572291" w:rsidRPr="00E96855">
        <w:rPr>
          <w:rFonts w:cstheme="minorHAnsi"/>
          <w:sz w:val="18"/>
          <w:szCs w:val="18"/>
        </w:rPr>
        <w:t>, AiGroup, 2023, accessed 7 June 2023.</w:t>
      </w:r>
    </w:p>
  </w:footnote>
  <w:footnote w:id="62">
    <w:p w14:paraId="0DC3320D" w14:textId="6A9E478B" w:rsidR="00AF746C" w:rsidRPr="00E96855" w:rsidRDefault="00AF746C" w:rsidP="00AF746C">
      <w:pPr>
        <w:pStyle w:val="FootnoteText"/>
        <w:rPr>
          <w:rFonts w:cstheme="minorHAnsi"/>
          <w: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E630DA" w:rsidRPr="00E96855">
        <w:rPr>
          <w:rFonts w:cstheme="minorHAnsi"/>
          <w:sz w:val="18"/>
          <w:szCs w:val="18"/>
        </w:rPr>
        <w:t xml:space="preserve">JSA, </w:t>
      </w:r>
      <w:r w:rsidR="00E630DA" w:rsidRPr="00E96855">
        <w:rPr>
          <w:rFonts w:cstheme="minorHAnsi"/>
          <w:i/>
          <w:iCs/>
          <w:sz w:val="18"/>
          <w:szCs w:val="18"/>
        </w:rPr>
        <w:t>Employment Projections</w:t>
      </w:r>
      <w:r w:rsidR="00E630DA" w:rsidRPr="00E96855">
        <w:rPr>
          <w:rFonts w:cstheme="minorHAnsi"/>
          <w:sz w:val="18"/>
          <w:szCs w:val="18"/>
        </w:rPr>
        <w:t>.</w:t>
      </w:r>
      <w:r w:rsidR="00B8571D" w:rsidRPr="00E96855">
        <w:rPr>
          <w:rFonts w:cstheme="minorHAnsi"/>
          <w:sz w:val="18"/>
          <w:szCs w:val="18"/>
        </w:rPr>
        <w:t xml:space="preserve">  </w:t>
      </w:r>
    </w:p>
  </w:footnote>
  <w:footnote w:id="63">
    <w:p w14:paraId="1463E302" w14:textId="38202ABD" w:rsidR="00AF746C" w:rsidRPr="00E96855" w:rsidRDefault="00AF746C" w:rsidP="00AF746C">
      <w:pPr>
        <w:pStyle w:val="FootnoteText"/>
        <w:rPr>
          <w:rStyle w:val="FootnoteReference"/>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EF42F4" w:rsidRPr="00E96855">
        <w:rPr>
          <w:rFonts w:cstheme="minorHAnsi"/>
          <w:sz w:val="18"/>
          <w:szCs w:val="18"/>
        </w:rPr>
        <w:t xml:space="preserve">New Zealand Qualifications Authority (NZQA), </w:t>
      </w:r>
      <w:hyperlink r:id="rId40" w:history="1">
        <w:r w:rsidR="00EF42F4" w:rsidRPr="00E96855">
          <w:rPr>
            <w:rStyle w:val="Hyperlink"/>
            <w:rFonts w:cstheme="minorHAnsi"/>
            <w:i/>
            <w:sz w:val="18"/>
            <w:szCs w:val="18"/>
          </w:rPr>
          <w:t>Micro-credentials</w:t>
        </w:r>
      </w:hyperlink>
      <w:r w:rsidR="00EF42F4" w:rsidRPr="00E96855">
        <w:rPr>
          <w:rFonts w:cstheme="minorHAnsi"/>
          <w:sz w:val="18"/>
          <w:szCs w:val="18"/>
        </w:rPr>
        <w:t xml:space="preserve">, NZQA website, 2023, accessed </w:t>
      </w:r>
      <w:r w:rsidR="001E53D5" w:rsidRPr="00E96855">
        <w:rPr>
          <w:rFonts w:cstheme="minorHAnsi"/>
          <w:sz w:val="18"/>
          <w:szCs w:val="18"/>
        </w:rPr>
        <w:t>24 May</w:t>
      </w:r>
      <w:r w:rsidR="00EF42F4" w:rsidRPr="00E96855">
        <w:rPr>
          <w:rFonts w:cstheme="minorHAnsi"/>
          <w:sz w:val="18"/>
          <w:szCs w:val="18"/>
        </w:rPr>
        <w:t xml:space="preserve"> 2023.</w:t>
      </w:r>
    </w:p>
  </w:footnote>
  <w:footnote w:id="64">
    <w:p w14:paraId="570885BD" w14:textId="66EB5EAF" w:rsidR="00AF746C" w:rsidRPr="00E96855" w:rsidRDefault="00AF746C" w:rsidP="00AF746C">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B5621C" w:rsidRPr="00E96855">
        <w:rPr>
          <w:rFonts w:cstheme="minorHAnsi"/>
          <w:sz w:val="18"/>
          <w:szCs w:val="18"/>
        </w:rPr>
        <w:t xml:space="preserve">Office for Students (OfS), </w:t>
      </w:r>
      <w:hyperlink r:id="rId41" w:history="1">
        <w:r w:rsidR="00B5621C" w:rsidRPr="00E96855">
          <w:rPr>
            <w:rStyle w:val="Hyperlink"/>
            <w:rFonts w:cstheme="minorHAnsi"/>
            <w:i/>
            <w:iCs/>
            <w:sz w:val="18"/>
            <w:szCs w:val="18"/>
          </w:rPr>
          <w:t>Higher education short course trial</w:t>
        </w:r>
      </w:hyperlink>
      <w:r w:rsidR="00B5621C" w:rsidRPr="00E96855">
        <w:rPr>
          <w:rFonts w:cstheme="minorHAnsi"/>
          <w:i/>
          <w:iCs/>
          <w:sz w:val="18"/>
          <w:szCs w:val="18"/>
        </w:rPr>
        <w:t>,</w:t>
      </w:r>
      <w:r w:rsidR="00B5621C" w:rsidRPr="00E96855">
        <w:rPr>
          <w:rFonts w:cstheme="minorHAnsi"/>
          <w:sz w:val="18"/>
          <w:szCs w:val="18"/>
        </w:rPr>
        <w:t xml:space="preserve"> OfS Website, 2023, accessed 7 June 2023</w:t>
      </w:r>
      <w:r w:rsidRPr="00E96855">
        <w:rPr>
          <w:rFonts w:cstheme="minorHAnsi"/>
          <w:sz w:val="18"/>
          <w:szCs w:val="18"/>
        </w:rPr>
        <w:t>.</w:t>
      </w:r>
    </w:p>
  </w:footnote>
  <w:footnote w:id="65">
    <w:p w14:paraId="5C699390" w14:textId="77777777" w:rsidR="00FC381C" w:rsidRPr="00E96855" w:rsidRDefault="00FC381C" w:rsidP="00FC381C">
      <w:pPr>
        <w:pStyle w:val="FootnoteText"/>
        <w:rPr>
          <w:rFonts w:cstheme="minorHAnsi"/>
          <w:sz w:val="18"/>
          <w:szCs w:val="18"/>
        </w:rPr>
      </w:pPr>
      <w:r w:rsidRPr="00E96855">
        <w:rPr>
          <w:rStyle w:val="FootnoteReference"/>
          <w:rFonts w:cstheme="minorHAnsi"/>
          <w:sz w:val="18"/>
          <w:szCs w:val="18"/>
        </w:rPr>
        <w:footnoteRef/>
      </w:r>
      <w:r w:rsidRPr="00E96855">
        <w:rPr>
          <w:rFonts w:cstheme="minorHAnsi"/>
          <w:color w:val="000000"/>
          <w:sz w:val="18"/>
          <w:szCs w:val="18"/>
        </w:rPr>
        <w:t xml:space="preserve"> D Gonski and P Shergold</w:t>
      </w:r>
      <w:hyperlink r:id="rId42" w:history="1">
        <w:r w:rsidRPr="00E96855">
          <w:rPr>
            <w:rStyle w:val="Hyperlink"/>
            <w:rFonts w:cstheme="minorHAnsi"/>
            <w:i/>
            <w:iCs/>
            <w:sz w:val="18"/>
            <w:szCs w:val="18"/>
          </w:rPr>
          <w:t>, In the same sentence - bringing higher and vocational education together</w:t>
        </w:r>
      </w:hyperlink>
      <w:r w:rsidRPr="00E96855">
        <w:rPr>
          <w:rFonts w:cstheme="minorHAnsi"/>
          <w:i/>
          <w:iCs/>
          <w:color w:val="000000"/>
          <w:sz w:val="18"/>
          <w:szCs w:val="18"/>
        </w:rPr>
        <w:t>,</w:t>
      </w:r>
      <w:r w:rsidRPr="00E96855">
        <w:rPr>
          <w:rFonts w:cstheme="minorHAnsi"/>
          <w:color w:val="000000"/>
          <w:sz w:val="18"/>
          <w:szCs w:val="18"/>
        </w:rPr>
        <w:t xml:space="preserve"> Department of Education, New South Wales Government, 2021, accessed 7 June 2023.</w:t>
      </w:r>
    </w:p>
  </w:footnote>
  <w:footnote w:id="66">
    <w:p w14:paraId="594EECC1" w14:textId="77777777" w:rsidR="00FC381C" w:rsidRPr="00E96855" w:rsidRDefault="00FC381C" w:rsidP="00FC381C">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Institute of Applied Technology – Digital, </w:t>
      </w:r>
      <w:hyperlink r:id="rId43" w:history="1">
        <w:r w:rsidRPr="00E96855">
          <w:rPr>
            <w:rStyle w:val="Hyperlink"/>
            <w:rFonts w:cstheme="minorHAnsi"/>
            <w:i/>
            <w:sz w:val="18"/>
            <w:szCs w:val="18"/>
          </w:rPr>
          <w:t>Submission to the Australian Universities Accord Discussion Paper</w:t>
        </w:r>
      </w:hyperlink>
      <w:r w:rsidRPr="00E96855">
        <w:rPr>
          <w:rFonts w:cstheme="minorHAnsi"/>
          <w:sz w:val="18"/>
          <w:szCs w:val="18"/>
        </w:rPr>
        <w:t>, 2023.</w:t>
      </w:r>
    </w:p>
  </w:footnote>
  <w:footnote w:id="67">
    <w:p w14:paraId="5628F707" w14:textId="0BDDF17D" w:rsidR="00AF746C" w:rsidRPr="00E96855" w:rsidRDefault="00AF746C" w:rsidP="00AF746C">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A03948" w:rsidRPr="00E96855">
        <w:rPr>
          <w:rFonts w:cstheme="minorHAnsi"/>
          <w:sz w:val="18"/>
          <w:szCs w:val="18"/>
        </w:rPr>
        <w:t xml:space="preserve">Productivity Commission, </w:t>
      </w:r>
      <w:hyperlink r:id="rId44" w:history="1">
        <w:r w:rsidR="00A03948" w:rsidRPr="00E96855">
          <w:rPr>
            <w:rStyle w:val="Hyperlink"/>
            <w:rFonts w:cstheme="minorHAnsi"/>
            <w:i/>
            <w:sz w:val="18"/>
            <w:szCs w:val="18"/>
          </w:rPr>
          <w:t>5-Year Productivity Inquiry: Advancing Prosperity. Recommendations and Reform Directives</w:t>
        </w:r>
      </w:hyperlink>
      <w:r w:rsidR="00A03948" w:rsidRPr="00E96855">
        <w:rPr>
          <w:rFonts w:cstheme="minorHAnsi"/>
          <w:sz w:val="18"/>
          <w:szCs w:val="18"/>
        </w:rPr>
        <w:t>, Productivity Commission, Australian Government, 2023, accessed 7 June 2023.</w:t>
      </w:r>
      <w:r w:rsidRPr="00E96855">
        <w:rPr>
          <w:rFonts w:cstheme="minorHAnsi"/>
          <w:sz w:val="18"/>
          <w:szCs w:val="18"/>
        </w:rPr>
        <w:t xml:space="preserve"> </w:t>
      </w:r>
    </w:p>
  </w:footnote>
  <w:footnote w:id="68">
    <w:p w14:paraId="35A3EE19" w14:textId="77777777" w:rsidR="00272CC8" w:rsidRPr="00E96855" w:rsidRDefault="00272CC8" w:rsidP="00272CC8">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Department of Education, </w:t>
      </w:r>
      <w:r w:rsidRPr="00E96855">
        <w:rPr>
          <w:rFonts w:cstheme="minorHAnsi"/>
          <w:i/>
          <w:sz w:val="18"/>
          <w:szCs w:val="18"/>
        </w:rPr>
        <w:t>Higher Education Statistics – 2021 Student Data</w:t>
      </w:r>
      <w:r w:rsidRPr="00E96855">
        <w:rPr>
          <w:rFonts w:cstheme="minorHAnsi"/>
          <w:sz w:val="18"/>
          <w:szCs w:val="18"/>
        </w:rPr>
        <w:t>.</w:t>
      </w:r>
    </w:p>
  </w:footnote>
  <w:footnote w:id="69">
    <w:p w14:paraId="6CF1F2F8" w14:textId="77777777" w:rsidR="00272CC8" w:rsidRPr="00E96855" w:rsidRDefault="00272CC8" w:rsidP="00272CC8">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TEQSA, </w:t>
      </w:r>
      <w:hyperlink r:id="rId45" w:history="1">
        <w:r w:rsidRPr="00E96855">
          <w:rPr>
            <w:rStyle w:val="Hyperlink"/>
            <w:rFonts w:cstheme="minorHAnsi"/>
            <w:i/>
            <w:iCs/>
            <w:sz w:val="18"/>
            <w:szCs w:val="18"/>
          </w:rPr>
          <w:t>Applications for accreditation of Undergraduate and Graduate Certificate courses</w:t>
        </w:r>
      </w:hyperlink>
      <w:r w:rsidRPr="00E96855">
        <w:rPr>
          <w:rFonts w:cstheme="minorHAnsi"/>
          <w:i/>
          <w:iCs/>
          <w:sz w:val="18"/>
          <w:szCs w:val="18"/>
        </w:rPr>
        <w:t>,</w:t>
      </w:r>
      <w:r w:rsidRPr="00E96855">
        <w:rPr>
          <w:rFonts w:cstheme="minorHAnsi"/>
          <w:sz w:val="18"/>
          <w:szCs w:val="18"/>
        </w:rPr>
        <w:t xml:space="preserve"> TEQSA website, 2023, accessed 7 June 2023.</w:t>
      </w:r>
    </w:p>
  </w:footnote>
  <w:footnote w:id="70">
    <w:p w14:paraId="21D14489" w14:textId="2FB40114" w:rsidR="00AF746C" w:rsidRPr="00E96855" w:rsidRDefault="00AF746C" w:rsidP="00AF746C">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625019" w:rsidRPr="00E96855">
        <w:rPr>
          <w:rFonts w:eastAsia="Calibri" w:cstheme="minorHAnsi"/>
          <w:color w:val="000000" w:themeColor="text1"/>
          <w:sz w:val="18"/>
          <w:szCs w:val="18"/>
        </w:rPr>
        <w:t xml:space="preserve">Dawkins and Bean, </w:t>
      </w:r>
      <w:r w:rsidR="00625019" w:rsidRPr="00E96855">
        <w:rPr>
          <w:rFonts w:eastAsia="Calibri" w:cstheme="minorHAnsi"/>
          <w:i/>
          <w:color w:val="000000" w:themeColor="text1"/>
          <w:sz w:val="18"/>
          <w:szCs w:val="18"/>
        </w:rPr>
        <w:t>Review of University-Industry Collaboration in Teaching and Learning</w:t>
      </w:r>
      <w:r w:rsidR="001B482D" w:rsidRPr="00E96855">
        <w:rPr>
          <w:rFonts w:eastAsia="Calibri" w:cstheme="minorHAnsi"/>
          <w:color w:val="000000" w:themeColor="text1"/>
          <w:sz w:val="18"/>
          <w:szCs w:val="18"/>
        </w:rPr>
        <w:t>.</w:t>
      </w:r>
    </w:p>
  </w:footnote>
  <w:footnote w:id="71">
    <w:p w14:paraId="105C4CA4" w14:textId="585A6AD5" w:rsidR="009058B0" w:rsidRPr="00E96855" w:rsidRDefault="009058B0">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DE2DD3" w:rsidRPr="00E96855">
        <w:rPr>
          <w:rFonts w:cstheme="minorHAnsi"/>
          <w:sz w:val="18"/>
          <w:szCs w:val="18"/>
          <w:shd w:val="clear" w:color="auto" w:fill="FFFFFF"/>
        </w:rPr>
        <w:t xml:space="preserve">M Parkinson, J Howe and J Azarias, </w:t>
      </w:r>
      <w:hyperlink r:id="rId46" w:history="1">
        <w:r w:rsidR="00DE2DD3" w:rsidRPr="00E96855">
          <w:rPr>
            <w:rStyle w:val="Hyperlink"/>
            <w:rFonts w:cstheme="minorHAnsi"/>
            <w:i/>
            <w:iCs/>
            <w:sz w:val="18"/>
            <w:szCs w:val="18"/>
            <w:shd w:val="clear" w:color="auto" w:fill="FFFFFF"/>
          </w:rPr>
          <w:t>Review of the Migration System Final Report</w:t>
        </w:r>
      </w:hyperlink>
      <w:r w:rsidR="00DE2DD3" w:rsidRPr="00E96855">
        <w:rPr>
          <w:rFonts w:cstheme="minorHAnsi"/>
          <w:sz w:val="18"/>
          <w:szCs w:val="18"/>
          <w:shd w:val="clear" w:color="auto" w:fill="FFFFFF"/>
        </w:rPr>
        <w:t>, Department of Home Affairs, Australian Government, 2023, accessed 14 June</w:t>
      </w:r>
      <w:r w:rsidR="00D824CD" w:rsidRPr="00E96855">
        <w:rPr>
          <w:rFonts w:cstheme="minorHAnsi"/>
          <w:sz w:val="18"/>
          <w:szCs w:val="18"/>
          <w:shd w:val="clear" w:color="auto" w:fill="FFFFFF"/>
        </w:rPr>
        <w:t xml:space="preserve"> 2023</w:t>
      </w:r>
      <w:r w:rsidR="00DE2DD3" w:rsidRPr="00E96855">
        <w:rPr>
          <w:rFonts w:cstheme="minorHAnsi"/>
          <w:sz w:val="18"/>
          <w:szCs w:val="18"/>
          <w:shd w:val="clear" w:color="auto" w:fill="FFFFFF"/>
        </w:rPr>
        <w:t>.</w:t>
      </w:r>
    </w:p>
  </w:footnote>
  <w:footnote w:id="72">
    <w:p w14:paraId="4D506D4F" w14:textId="75955134" w:rsidR="006B0B0E" w:rsidRPr="00E96855" w:rsidRDefault="006B0B0E">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BE417F" w:rsidRPr="00E96855">
        <w:rPr>
          <w:rFonts w:cstheme="minorHAnsi"/>
          <w:sz w:val="18"/>
          <w:szCs w:val="18"/>
        </w:rPr>
        <w:t xml:space="preserve">ABS, </w:t>
      </w:r>
      <w:r w:rsidR="00BE417F" w:rsidRPr="00E96855">
        <w:rPr>
          <w:rFonts w:cstheme="minorHAnsi"/>
          <w:i/>
          <w:sz w:val="18"/>
          <w:szCs w:val="18"/>
        </w:rPr>
        <w:t>Education and Work</w:t>
      </w:r>
      <w:r w:rsidR="00BE417F" w:rsidRPr="00E96855">
        <w:rPr>
          <w:rFonts w:cstheme="minorHAnsi"/>
          <w:sz w:val="18"/>
          <w:szCs w:val="18"/>
        </w:rPr>
        <w:t xml:space="preserve">, </w:t>
      </w:r>
      <w:r w:rsidR="00BE417F" w:rsidRPr="00E96855">
        <w:rPr>
          <w:rFonts w:cstheme="minorHAnsi"/>
          <w:i/>
          <w:iCs/>
          <w:sz w:val="18"/>
          <w:szCs w:val="18"/>
        </w:rPr>
        <w:t>Australia.</w:t>
      </w:r>
    </w:p>
  </w:footnote>
  <w:footnote w:id="73">
    <w:p w14:paraId="1F206DC2" w14:textId="6CE6A0A3" w:rsidR="005F472F" w:rsidRPr="00E96855" w:rsidRDefault="005F472F">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6E68A7" w:rsidRPr="00E96855">
        <w:rPr>
          <w:rFonts w:cstheme="minorHAnsi"/>
          <w:sz w:val="18"/>
          <w:szCs w:val="18"/>
        </w:rPr>
        <w:t xml:space="preserve">ABS, </w:t>
      </w:r>
      <w:hyperlink r:id="rId47" w:history="1">
        <w:r w:rsidR="006E68A7" w:rsidRPr="00E96855">
          <w:rPr>
            <w:rStyle w:val="Hyperlink"/>
            <w:rFonts w:cstheme="minorHAnsi"/>
            <w:i/>
            <w:sz w:val="18"/>
            <w:szCs w:val="18"/>
          </w:rPr>
          <w:t>2021 Census Data</w:t>
        </w:r>
      </w:hyperlink>
      <w:r w:rsidR="006E68A7" w:rsidRPr="00E96855">
        <w:rPr>
          <w:rFonts w:cstheme="minorHAnsi"/>
          <w:i/>
          <w:sz w:val="18"/>
          <w:szCs w:val="18"/>
        </w:rPr>
        <w:t>,</w:t>
      </w:r>
      <w:r w:rsidR="006E68A7" w:rsidRPr="00E96855">
        <w:rPr>
          <w:rFonts w:cstheme="minorHAnsi"/>
          <w:sz w:val="18"/>
          <w:szCs w:val="18"/>
        </w:rPr>
        <w:t xml:space="preserve"> ABS website, 2023, accessed 8 June 2023.</w:t>
      </w:r>
    </w:p>
  </w:footnote>
  <w:footnote w:id="74">
    <w:p w14:paraId="289117B8" w14:textId="7AAC21D8" w:rsidR="00927C03" w:rsidRPr="00E96855" w:rsidRDefault="00927C03">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Department of Education</w:t>
      </w:r>
      <w:r w:rsidR="009A3B9E" w:rsidRPr="00E96855">
        <w:rPr>
          <w:rFonts w:cstheme="minorHAnsi"/>
          <w:sz w:val="18"/>
          <w:szCs w:val="18"/>
        </w:rPr>
        <w:t xml:space="preserve">, </w:t>
      </w:r>
      <w:r w:rsidR="009A3B9E" w:rsidRPr="00E96855">
        <w:rPr>
          <w:rFonts w:cstheme="minorHAnsi"/>
          <w:i/>
          <w:sz w:val="18"/>
          <w:szCs w:val="18"/>
        </w:rPr>
        <w:t xml:space="preserve">Higher Education Statistics –Student Data </w:t>
      </w:r>
      <w:r w:rsidR="009A3B9E" w:rsidRPr="00E96855">
        <w:rPr>
          <w:rFonts w:cstheme="minorHAnsi"/>
          <w:iCs/>
          <w:sz w:val="18"/>
          <w:szCs w:val="18"/>
        </w:rPr>
        <w:t>[unpublished data]</w:t>
      </w:r>
      <w:r w:rsidRPr="00E96855">
        <w:rPr>
          <w:rFonts w:cstheme="minorHAnsi"/>
          <w:sz w:val="18"/>
          <w:szCs w:val="18"/>
        </w:rPr>
        <w:t>.</w:t>
      </w:r>
    </w:p>
  </w:footnote>
  <w:footnote w:id="75">
    <w:p w14:paraId="6943B1FA" w14:textId="793028B2" w:rsidR="00FB5C88" w:rsidRPr="00E96855" w:rsidRDefault="00FB5C88">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Department of Education</w:t>
      </w:r>
      <w:r w:rsidR="007C135B" w:rsidRPr="00E96855">
        <w:rPr>
          <w:rFonts w:cstheme="minorHAnsi"/>
          <w:sz w:val="18"/>
          <w:szCs w:val="18"/>
        </w:rPr>
        <w:t xml:space="preserve">, </w:t>
      </w:r>
      <w:r w:rsidR="007C135B" w:rsidRPr="00E96855">
        <w:rPr>
          <w:rFonts w:cstheme="minorHAnsi"/>
          <w:i/>
          <w:sz w:val="18"/>
          <w:szCs w:val="18"/>
        </w:rPr>
        <w:t xml:space="preserve">Higher Education Statistics –Student Data </w:t>
      </w:r>
      <w:r w:rsidR="007C135B" w:rsidRPr="00E96855">
        <w:rPr>
          <w:rFonts w:cstheme="minorHAnsi"/>
          <w:sz w:val="18"/>
          <w:szCs w:val="18"/>
        </w:rPr>
        <w:t xml:space="preserve">– </w:t>
      </w:r>
      <w:r w:rsidR="007C135B" w:rsidRPr="00E96855">
        <w:rPr>
          <w:rFonts w:cstheme="minorHAnsi"/>
          <w:i/>
          <w:iCs/>
          <w:sz w:val="18"/>
          <w:szCs w:val="18"/>
        </w:rPr>
        <w:t>2021 Section 11 Equity groups</w:t>
      </w:r>
      <w:r w:rsidR="007C135B" w:rsidRPr="00E96855">
        <w:rPr>
          <w:rFonts w:cstheme="minorHAnsi"/>
          <w:i/>
          <w:sz w:val="18"/>
          <w:szCs w:val="18"/>
        </w:rPr>
        <w:t>.</w:t>
      </w:r>
    </w:p>
  </w:footnote>
  <w:footnote w:id="76">
    <w:p w14:paraId="6854DB89" w14:textId="684D1667" w:rsidR="004C1660" w:rsidRPr="00E96855" w:rsidRDefault="004C1660">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Department of Education, </w:t>
      </w:r>
      <w:r w:rsidRPr="00E96855">
        <w:rPr>
          <w:rFonts w:cstheme="minorHAnsi"/>
          <w:i/>
          <w:sz w:val="18"/>
          <w:szCs w:val="18"/>
        </w:rPr>
        <w:t xml:space="preserve">Higher Education Statistics –Student Data </w:t>
      </w:r>
      <w:r w:rsidRPr="00E96855">
        <w:rPr>
          <w:rFonts w:cstheme="minorHAnsi"/>
          <w:sz w:val="18"/>
          <w:szCs w:val="18"/>
        </w:rPr>
        <w:t xml:space="preserve">– </w:t>
      </w:r>
      <w:r w:rsidRPr="00E96855">
        <w:rPr>
          <w:rFonts w:cstheme="minorHAnsi"/>
          <w:i/>
          <w:iCs/>
          <w:sz w:val="18"/>
          <w:szCs w:val="18"/>
        </w:rPr>
        <w:t>2021 Section 11 Equity groups</w:t>
      </w:r>
      <w:r w:rsidRPr="00E96855">
        <w:rPr>
          <w:rFonts w:cstheme="minorHAnsi"/>
          <w:i/>
          <w:sz w:val="18"/>
          <w:szCs w:val="18"/>
        </w:rPr>
        <w:t>.</w:t>
      </w:r>
    </w:p>
  </w:footnote>
  <w:footnote w:id="77">
    <w:p w14:paraId="69C93E8D" w14:textId="3AC07F1B" w:rsidR="002D353E" w:rsidRPr="00E96855" w:rsidRDefault="002D353E">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Department of Education</w:t>
      </w:r>
      <w:r w:rsidR="00581DDE" w:rsidRPr="00E96855">
        <w:rPr>
          <w:rFonts w:cstheme="minorHAnsi"/>
          <w:sz w:val="18"/>
          <w:szCs w:val="18"/>
        </w:rPr>
        <w:t xml:space="preserve">, </w:t>
      </w:r>
      <w:r w:rsidR="00581DDE" w:rsidRPr="00E96855">
        <w:rPr>
          <w:rFonts w:cstheme="minorHAnsi"/>
          <w:i/>
          <w:sz w:val="18"/>
          <w:szCs w:val="18"/>
        </w:rPr>
        <w:t xml:space="preserve">Higher Education Statistics –Student Data </w:t>
      </w:r>
      <w:r w:rsidR="00581DDE" w:rsidRPr="00E96855">
        <w:rPr>
          <w:rFonts w:cstheme="minorHAnsi"/>
          <w:iCs/>
          <w:sz w:val="18"/>
          <w:szCs w:val="18"/>
        </w:rPr>
        <w:t>[unpublished data].</w:t>
      </w:r>
    </w:p>
  </w:footnote>
  <w:footnote w:id="78">
    <w:p w14:paraId="684B23FA" w14:textId="5AE3EEAD" w:rsidR="001C1287" w:rsidRPr="00E96855" w:rsidRDefault="001C1287">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187472" w:rsidRPr="00E96855">
        <w:rPr>
          <w:rFonts w:cstheme="minorHAnsi"/>
          <w:sz w:val="18"/>
          <w:szCs w:val="18"/>
        </w:rPr>
        <w:t>Department of Education</w:t>
      </w:r>
      <w:r w:rsidR="003E2E96" w:rsidRPr="00E96855">
        <w:rPr>
          <w:rFonts w:cstheme="minorHAnsi"/>
          <w:sz w:val="18"/>
          <w:szCs w:val="18"/>
        </w:rPr>
        <w:t xml:space="preserve">, </w:t>
      </w:r>
      <w:r w:rsidR="003E2E96" w:rsidRPr="00E96855">
        <w:rPr>
          <w:rFonts w:cstheme="minorHAnsi"/>
          <w:i/>
          <w:sz w:val="18"/>
          <w:szCs w:val="18"/>
        </w:rPr>
        <w:t xml:space="preserve">Higher Education Statistics –Student Data </w:t>
      </w:r>
      <w:r w:rsidR="003E2E96" w:rsidRPr="00E96855">
        <w:rPr>
          <w:rFonts w:cstheme="minorHAnsi"/>
          <w:iCs/>
          <w:sz w:val="18"/>
          <w:szCs w:val="18"/>
        </w:rPr>
        <w:t>[unpublished data]</w:t>
      </w:r>
      <w:r w:rsidR="00187472" w:rsidRPr="00E96855">
        <w:rPr>
          <w:rFonts w:cstheme="minorHAnsi"/>
          <w:sz w:val="18"/>
          <w:szCs w:val="18"/>
        </w:rPr>
        <w:t>.</w:t>
      </w:r>
    </w:p>
  </w:footnote>
  <w:footnote w:id="79">
    <w:p w14:paraId="13AF6616" w14:textId="7F2A4CEA" w:rsidR="008B1A15" w:rsidRPr="00E96855" w:rsidRDefault="008B1A15" w:rsidP="008B1A15">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807EAF" w:rsidRPr="00E96855">
        <w:rPr>
          <w:rFonts w:cstheme="minorHAnsi"/>
          <w:sz w:val="18"/>
          <w:szCs w:val="18"/>
        </w:rPr>
        <w:t>Advice to the Accord Panel from Universities Australia [unpublished], 2023.</w:t>
      </w:r>
    </w:p>
  </w:footnote>
  <w:footnote w:id="80">
    <w:p w14:paraId="32FBC0E8" w14:textId="77777777" w:rsidR="00272CC8" w:rsidRDefault="00272CC8" w:rsidP="00272CC8">
      <w:pPr>
        <w:pStyle w:val="FootnoteText"/>
      </w:pPr>
      <w:r>
        <w:rPr>
          <w:rStyle w:val="FootnoteReference"/>
        </w:rPr>
        <w:footnoteRef/>
      </w:r>
      <w:r>
        <w:t xml:space="preserve"> </w:t>
      </w:r>
      <w:r w:rsidRPr="00E96855">
        <w:rPr>
          <w:rFonts w:cstheme="minorHAnsi"/>
          <w:sz w:val="18"/>
          <w:szCs w:val="18"/>
        </w:rPr>
        <w:t xml:space="preserve">Queensland Widening Tertiary Participation Consortium, </w:t>
      </w:r>
      <w:hyperlink r:id="rId48" w:history="1">
        <w:r w:rsidRPr="00E96855">
          <w:rPr>
            <w:rStyle w:val="Hyperlink"/>
            <w:rFonts w:cstheme="minorHAnsi"/>
            <w:i/>
            <w:sz w:val="18"/>
            <w:szCs w:val="18"/>
          </w:rPr>
          <w:t>Submission to the Australian Universities Accord Discussion Paper</w:t>
        </w:r>
      </w:hyperlink>
      <w:r w:rsidRPr="00E96855">
        <w:rPr>
          <w:rFonts w:cstheme="minorHAnsi"/>
          <w:sz w:val="18"/>
          <w:szCs w:val="18"/>
        </w:rPr>
        <w:t>, 2023.</w:t>
      </w:r>
    </w:p>
  </w:footnote>
  <w:footnote w:id="81">
    <w:p w14:paraId="77B7ED2C" w14:textId="3890B0B5" w:rsidR="00FD7265" w:rsidRPr="00E96855" w:rsidRDefault="00FD7265">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67153A" w:rsidRPr="00E96855">
        <w:rPr>
          <w:rFonts w:cstheme="minorHAnsi"/>
          <w:sz w:val="18"/>
          <w:szCs w:val="18"/>
          <w:shd w:val="clear" w:color="auto" w:fill="FFFFFF"/>
        </w:rPr>
        <w:t xml:space="preserve">D Napthine, P Lee, C Graham and M Wills, </w:t>
      </w:r>
      <w:hyperlink r:id="rId49" w:history="1">
        <w:r w:rsidR="0067153A" w:rsidRPr="00E96855">
          <w:rPr>
            <w:rStyle w:val="Hyperlink"/>
            <w:rFonts w:cstheme="minorHAnsi"/>
            <w:i/>
            <w:iCs/>
            <w:sz w:val="18"/>
            <w:szCs w:val="18"/>
            <w:shd w:val="clear" w:color="auto" w:fill="FFFFFF"/>
          </w:rPr>
          <w:t>National Regional, Rural and Remote Education Strategy final report</w:t>
        </w:r>
      </w:hyperlink>
      <w:r w:rsidR="0067153A" w:rsidRPr="00E96855">
        <w:rPr>
          <w:rFonts w:cstheme="minorHAnsi"/>
          <w:color w:val="444444"/>
          <w:sz w:val="18"/>
          <w:szCs w:val="18"/>
          <w:shd w:val="clear" w:color="auto" w:fill="FFFFFF"/>
        </w:rPr>
        <w:t xml:space="preserve">, </w:t>
      </w:r>
      <w:r w:rsidR="0067153A" w:rsidRPr="00E96855">
        <w:rPr>
          <w:rFonts w:cstheme="minorHAnsi"/>
          <w:sz w:val="18"/>
          <w:szCs w:val="18"/>
          <w:shd w:val="clear" w:color="auto" w:fill="FFFFFF"/>
        </w:rPr>
        <w:t>Department of Education and Training (DET), Australian Government, 2019, accessed 7 June 2023</w:t>
      </w:r>
      <w:r w:rsidR="007C7CF1" w:rsidRPr="00E96855">
        <w:rPr>
          <w:rFonts w:cstheme="minorHAnsi"/>
          <w:sz w:val="18"/>
          <w:szCs w:val="18"/>
        </w:rPr>
        <w:t>.</w:t>
      </w:r>
      <w:r w:rsidR="00C93F7A" w:rsidRPr="00E96855">
        <w:rPr>
          <w:rFonts w:cstheme="minorHAnsi"/>
          <w:sz w:val="18"/>
          <w:szCs w:val="18"/>
        </w:rPr>
        <w:t xml:space="preserve"> </w:t>
      </w:r>
    </w:p>
  </w:footnote>
  <w:footnote w:id="82">
    <w:p w14:paraId="46DCFCA0" w14:textId="64ACFC50" w:rsidR="005D45D1" w:rsidRPr="00E96855" w:rsidRDefault="005D45D1">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267A46" w:rsidRPr="00E96855">
        <w:rPr>
          <w:rFonts w:cstheme="minorHAnsi"/>
          <w:sz w:val="18"/>
          <w:szCs w:val="18"/>
        </w:rPr>
        <w:t xml:space="preserve">Charles Darwin University (CDU), </w:t>
      </w:r>
      <w:hyperlink r:id="rId50" w:history="1">
        <w:r w:rsidR="00267A46" w:rsidRPr="00E96855">
          <w:rPr>
            <w:rStyle w:val="Hyperlink"/>
            <w:rFonts w:cstheme="minorHAnsi"/>
            <w:i/>
            <w:sz w:val="18"/>
            <w:szCs w:val="18"/>
          </w:rPr>
          <w:t>Inaugural CDU Bidjipidji School Camp Report 2021</w:t>
        </w:r>
        <w:r w:rsidR="00267A46" w:rsidRPr="00E96855">
          <w:rPr>
            <w:rStyle w:val="Hyperlink"/>
            <w:rFonts w:cstheme="minorHAnsi"/>
            <w:i/>
            <w:color w:val="auto"/>
            <w:sz w:val="18"/>
            <w:szCs w:val="18"/>
            <w:u w:val="none"/>
          </w:rPr>
          <w:t xml:space="preserve"> </w:t>
        </w:r>
        <w:r w:rsidR="00267A46" w:rsidRPr="00E96855">
          <w:rPr>
            <w:rStyle w:val="Hyperlink"/>
            <w:rFonts w:cstheme="minorHAnsi"/>
            <w:color w:val="auto"/>
            <w:sz w:val="18"/>
            <w:szCs w:val="18"/>
            <w:u w:val="none"/>
          </w:rPr>
          <w:t>[PDF]</w:t>
        </w:r>
      </w:hyperlink>
      <w:r w:rsidR="00267A46" w:rsidRPr="00E96855">
        <w:rPr>
          <w:rFonts w:cstheme="minorHAnsi"/>
          <w:sz w:val="18"/>
          <w:szCs w:val="18"/>
        </w:rPr>
        <w:t>, CDU, 2021, accessed June 14 2023.</w:t>
      </w:r>
    </w:p>
  </w:footnote>
  <w:footnote w:id="83">
    <w:p w14:paraId="5D1B22C6" w14:textId="71D53D79" w:rsidR="008B1A15" w:rsidRPr="00E96855" w:rsidRDefault="008B1A15" w:rsidP="00BC654C">
      <w:pPr>
        <w:spacing w:after="0" w:line="240" w:lineRule="auto"/>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BA3931" w:rsidRPr="00E96855">
        <w:rPr>
          <w:rFonts w:cstheme="minorHAnsi"/>
          <w:sz w:val="18"/>
          <w:szCs w:val="18"/>
        </w:rPr>
        <w:t xml:space="preserve">T Pitman, S Trinidad, M Devlin, A Harvey, M Brett and J McKay, </w:t>
      </w:r>
      <w:hyperlink r:id="rId51" w:history="1">
        <w:r w:rsidR="00BA3931" w:rsidRPr="00E96855">
          <w:rPr>
            <w:rStyle w:val="Hyperlink"/>
            <w:rFonts w:cstheme="minorHAnsi"/>
            <w:i/>
            <w:sz w:val="18"/>
            <w:szCs w:val="18"/>
          </w:rPr>
          <w:t>Pathways to higher education: The efficacy of enabling and sub-bachelor pathways for disadvantaged students</w:t>
        </w:r>
      </w:hyperlink>
      <w:r w:rsidR="00BA3931" w:rsidRPr="00E96855">
        <w:rPr>
          <w:rFonts w:cstheme="minorHAnsi"/>
          <w:sz w:val="18"/>
          <w:szCs w:val="18"/>
        </w:rPr>
        <w:t xml:space="preserve">, report to the Australian Government DET, </w:t>
      </w:r>
      <w:r w:rsidR="00126B23" w:rsidRPr="00E96855">
        <w:rPr>
          <w:rFonts w:cstheme="minorHAnsi"/>
          <w:sz w:val="18"/>
          <w:szCs w:val="18"/>
        </w:rPr>
        <w:t>National Centre for Student Equity in Higher Education (</w:t>
      </w:r>
      <w:r w:rsidR="00BA3931" w:rsidRPr="00E96855">
        <w:rPr>
          <w:rFonts w:cstheme="minorHAnsi"/>
          <w:sz w:val="18"/>
          <w:szCs w:val="18"/>
        </w:rPr>
        <w:t>NCSEHE</w:t>
      </w:r>
      <w:r w:rsidR="00126B23" w:rsidRPr="00E96855">
        <w:rPr>
          <w:rFonts w:cstheme="minorHAnsi"/>
          <w:sz w:val="18"/>
          <w:szCs w:val="18"/>
        </w:rPr>
        <w:t>)</w:t>
      </w:r>
      <w:r w:rsidR="00BA3931" w:rsidRPr="00E96855">
        <w:rPr>
          <w:rFonts w:cstheme="minorHAnsi"/>
          <w:sz w:val="18"/>
          <w:szCs w:val="18"/>
        </w:rPr>
        <w:t xml:space="preserve">, 2016, accessed 8 June 2023; NCSEHE, </w:t>
      </w:r>
      <w:hyperlink r:id="rId52" w:history="1">
        <w:r w:rsidR="00BA3931" w:rsidRPr="00E96855">
          <w:rPr>
            <w:rStyle w:val="Hyperlink"/>
            <w:rFonts w:cstheme="minorHAnsi"/>
            <w:i/>
            <w:sz w:val="18"/>
            <w:szCs w:val="18"/>
          </w:rPr>
          <w:t>Submission to the Australian Universities Accord</w:t>
        </w:r>
        <w:r w:rsidR="00D43946" w:rsidRPr="00E96855">
          <w:rPr>
            <w:rStyle w:val="Hyperlink"/>
            <w:rFonts w:cstheme="minorHAnsi"/>
            <w:i/>
            <w:sz w:val="18"/>
            <w:szCs w:val="18"/>
          </w:rPr>
          <w:t xml:space="preserve"> </w:t>
        </w:r>
        <w:r w:rsidR="00BA3931" w:rsidRPr="00E96855">
          <w:rPr>
            <w:rStyle w:val="Hyperlink"/>
            <w:rFonts w:cstheme="minorHAnsi"/>
            <w:i/>
            <w:sz w:val="18"/>
            <w:szCs w:val="18"/>
          </w:rPr>
          <w:t>Terms of Reference</w:t>
        </w:r>
      </w:hyperlink>
      <w:r w:rsidR="00BA3931" w:rsidRPr="00E96855">
        <w:rPr>
          <w:rFonts w:cstheme="minorHAnsi"/>
          <w:sz w:val="18"/>
          <w:szCs w:val="18"/>
        </w:rPr>
        <w:t>, 2022.</w:t>
      </w:r>
    </w:p>
  </w:footnote>
  <w:footnote w:id="84">
    <w:p w14:paraId="2D9A175B" w14:textId="77777777" w:rsidR="00272CC8" w:rsidRPr="00E96855" w:rsidRDefault="00272CC8" w:rsidP="00272CC8">
      <w:pPr>
        <w:spacing w:after="0"/>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Based on analysis of Department of Education, </w:t>
      </w:r>
      <w:r w:rsidRPr="00E96855">
        <w:rPr>
          <w:rFonts w:cstheme="minorHAnsi"/>
          <w:i/>
          <w:sz w:val="18"/>
          <w:szCs w:val="18"/>
        </w:rPr>
        <w:t xml:space="preserve">Higher Education Statistics –Student Data </w:t>
      </w:r>
      <w:r w:rsidRPr="00E96855">
        <w:rPr>
          <w:rFonts w:cstheme="minorHAnsi"/>
          <w:iCs/>
          <w:sz w:val="18"/>
          <w:szCs w:val="18"/>
        </w:rPr>
        <w:t>[unpublished data]</w:t>
      </w:r>
      <w:r w:rsidRPr="00E96855">
        <w:rPr>
          <w:rFonts w:cstheme="minorHAnsi"/>
          <w:sz w:val="18"/>
          <w:szCs w:val="18"/>
        </w:rPr>
        <w:t>.</w:t>
      </w:r>
    </w:p>
  </w:footnote>
  <w:footnote w:id="85">
    <w:p w14:paraId="0B7ECBD6" w14:textId="77777777" w:rsidR="00272CC8" w:rsidRPr="00E96855" w:rsidRDefault="00272CC8" w:rsidP="00272CC8">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Department of Education, </w:t>
      </w:r>
      <w:r w:rsidRPr="00E96855">
        <w:rPr>
          <w:rFonts w:cstheme="minorHAnsi"/>
          <w:i/>
          <w:iCs/>
          <w:sz w:val="18"/>
          <w:szCs w:val="18"/>
        </w:rPr>
        <w:t>Administrative data</w:t>
      </w:r>
      <w:r w:rsidRPr="00E96855">
        <w:rPr>
          <w:rFonts w:cstheme="minorHAnsi"/>
          <w:sz w:val="18"/>
          <w:szCs w:val="18"/>
        </w:rPr>
        <w:t xml:space="preserve"> [unpublished data]. </w:t>
      </w:r>
    </w:p>
  </w:footnote>
  <w:footnote w:id="86">
    <w:p w14:paraId="1A5E990D" w14:textId="77777777" w:rsidR="00272CC8" w:rsidRPr="00E96855" w:rsidRDefault="00272CC8" w:rsidP="00272CC8">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Department of Education, </w:t>
      </w:r>
      <w:r w:rsidRPr="00E96855">
        <w:rPr>
          <w:rFonts w:cstheme="minorHAnsi"/>
          <w:i/>
          <w:iCs/>
          <w:sz w:val="18"/>
          <w:szCs w:val="18"/>
        </w:rPr>
        <w:t>Administrative data</w:t>
      </w:r>
      <w:r w:rsidRPr="00E96855">
        <w:rPr>
          <w:rFonts w:cstheme="minorHAnsi"/>
          <w:sz w:val="18"/>
          <w:szCs w:val="18"/>
        </w:rPr>
        <w:t xml:space="preserve"> [unpublished data].</w:t>
      </w:r>
    </w:p>
  </w:footnote>
  <w:footnote w:id="87">
    <w:p w14:paraId="55408B0B" w14:textId="66B6F131" w:rsidR="00EE3B0D" w:rsidRPr="00E96855" w:rsidRDefault="00EE3B0D">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541E40" w:rsidRPr="00E96855">
        <w:rPr>
          <w:rFonts w:cstheme="minorHAnsi"/>
          <w:sz w:val="18"/>
          <w:szCs w:val="18"/>
        </w:rPr>
        <w:t xml:space="preserve">Universities Australia, </w:t>
      </w:r>
      <w:hyperlink r:id="rId53" w:history="1">
        <w:r w:rsidR="00541E40" w:rsidRPr="00E96855">
          <w:rPr>
            <w:rStyle w:val="Hyperlink"/>
            <w:rFonts w:cstheme="minorHAnsi"/>
            <w:i/>
            <w:iCs/>
            <w:sz w:val="18"/>
            <w:szCs w:val="18"/>
          </w:rPr>
          <w:t>2017 Universities Australia Student Finances Survey</w:t>
        </w:r>
        <w:r w:rsidR="00541E40" w:rsidRPr="00E96855">
          <w:rPr>
            <w:rStyle w:val="Hyperlink"/>
            <w:rFonts w:cstheme="minorHAnsi"/>
            <w:sz w:val="18"/>
            <w:szCs w:val="18"/>
          </w:rPr>
          <w:t xml:space="preserve"> </w:t>
        </w:r>
        <w:r w:rsidR="00541E40" w:rsidRPr="00E96855">
          <w:rPr>
            <w:rStyle w:val="Hyperlink"/>
            <w:rFonts w:cstheme="minorHAnsi"/>
            <w:color w:val="auto"/>
            <w:sz w:val="18"/>
            <w:szCs w:val="18"/>
            <w:u w:val="none"/>
          </w:rPr>
          <w:t>[PDF]</w:t>
        </w:r>
      </w:hyperlink>
      <w:r w:rsidR="00541E40" w:rsidRPr="00E96855">
        <w:rPr>
          <w:rFonts w:cstheme="minorHAnsi"/>
          <w:sz w:val="18"/>
          <w:szCs w:val="18"/>
        </w:rPr>
        <w:t>, Universities Australia, 2018, accessed 13 June 2023.</w:t>
      </w:r>
    </w:p>
  </w:footnote>
  <w:footnote w:id="88">
    <w:p w14:paraId="4A43B46B" w14:textId="37827BCE" w:rsidR="008B1A15" w:rsidRPr="00E96855" w:rsidRDefault="008B1A15" w:rsidP="008B1A15">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814283" w:rsidRPr="00E96855">
        <w:rPr>
          <w:rFonts w:cstheme="minorHAnsi"/>
          <w:sz w:val="18"/>
          <w:szCs w:val="18"/>
        </w:rPr>
        <w:t xml:space="preserve">ABS, </w:t>
      </w:r>
      <w:hyperlink r:id="rId54" w:history="1">
        <w:r w:rsidR="00814283" w:rsidRPr="00E96855">
          <w:rPr>
            <w:rStyle w:val="Hyperlink"/>
            <w:rFonts w:cstheme="minorHAnsi"/>
            <w:i/>
            <w:sz w:val="18"/>
            <w:szCs w:val="18"/>
          </w:rPr>
          <w:t>Work-related Training and Adult Learning, Australia</w:t>
        </w:r>
      </w:hyperlink>
      <w:r w:rsidR="00814283" w:rsidRPr="00E96855">
        <w:rPr>
          <w:rFonts w:cstheme="minorHAnsi"/>
          <w:sz w:val="18"/>
          <w:szCs w:val="18"/>
        </w:rPr>
        <w:t>, ABS website, 2022, accessed 15 June 2023.</w:t>
      </w:r>
    </w:p>
  </w:footnote>
  <w:footnote w:id="89">
    <w:p w14:paraId="6227170E" w14:textId="298CAA8D" w:rsidR="008B1A15" w:rsidRPr="00E96855" w:rsidRDefault="008B1A15" w:rsidP="00BC654C">
      <w:pPr>
        <w:spacing w:after="0"/>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5C0310" w:rsidRPr="00E96855">
        <w:rPr>
          <w:rFonts w:cstheme="minorHAnsi"/>
          <w:sz w:val="18"/>
          <w:szCs w:val="18"/>
        </w:rPr>
        <w:t xml:space="preserve">Four in every five domestic bachelor degree students worked while studying between the 2010–11 and 2015–16 financial years (80–84 %). DESE, </w:t>
      </w:r>
      <w:hyperlink r:id="rId55" w:history="1">
        <w:r w:rsidR="005C0310" w:rsidRPr="00E96855">
          <w:rPr>
            <w:rStyle w:val="Hyperlink"/>
            <w:rFonts w:cstheme="minorHAnsi"/>
            <w:i/>
            <w:iCs/>
            <w:sz w:val="18"/>
            <w:szCs w:val="18"/>
          </w:rPr>
          <w:t>Factors affecting higher education completion</w:t>
        </w:r>
        <w:r w:rsidR="005C0310" w:rsidRPr="00E96855">
          <w:rPr>
            <w:rStyle w:val="Hyperlink"/>
            <w:rFonts w:cstheme="minorHAnsi"/>
            <w:sz w:val="18"/>
            <w:szCs w:val="18"/>
          </w:rPr>
          <w:t xml:space="preserve"> </w:t>
        </w:r>
        <w:r w:rsidR="005C0310" w:rsidRPr="00E96855">
          <w:rPr>
            <w:rStyle w:val="Hyperlink"/>
            <w:rFonts w:cstheme="minorHAnsi"/>
            <w:color w:val="auto"/>
            <w:sz w:val="18"/>
            <w:szCs w:val="18"/>
            <w:u w:val="none"/>
          </w:rPr>
          <w:t>[PDF]</w:t>
        </w:r>
      </w:hyperlink>
      <w:r w:rsidR="005C0310" w:rsidRPr="00E96855">
        <w:rPr>
          <w:rFonts w:cstheme="minorHAnsi"/>
          <w:sz w:val="18"/>
          <w:szCs w:val="18"/>
        </w:rPr>
        <w:t xml:space="preserve">, DESE, n.d., accessed 6 June 2023. This is consistent with the </w:t>
      </w:r>
      <w:r w:rsidR="005C0310" w:rsidRPr="00E96855">
        <w:rPr>
          <w:rFonts w:cstheme="minorHAnsi"/>
          <w:i/>
          <w:iCs/>
          <w:sz w:val="18"/>
          <w:szCs w:val="18"/>
        </w:rPr>
        <w:t>2017 Universities Australia Student Finances Survey</w:t>
      </w:r>
      <w:r w:rsidR="005C0310" w:rsidRPr="00E96855">
        <w:rPr>
          <w:rFonts w:cstheme="minorHAnsi"/>
          <w:sz w:val="18"/>
          <w:szCs w:val="18"/>
        </w:rPr>
        <w:t xml:space="preserve">. In May 2022, the ABS found that 77 % of the 2.1 million people currently studying for a certificate, diploma or degree were also working. ABS, </w:t>
      </w:r>
      <w:r w:rsidR="005C0310" w:rsidRPr="00E96855">
        <w:rPr>
          <w:rFonts w:cstheme="minorHAnsi"/>
          <w:i/>
          <w:sz w:val="18"/>
          <w:szCs w:val="18"/>
        </w:rPr>
        <w:t>Education and Work, Australia</w:t>
      </w:r>
      <w:r w:rsidR="005C0310" w:rsidRPr="00E96855">
        <w:rPr>
          <w:rFonts w:cstheme="minorHAnsi"/>
          <w:sz w:val="18"/>
          <w:szCs w:val="18"/>
        </w:rPr>
        <w:t>.</w:t>
      </w:r>
    </w:p>
  </w:footnote>
  <w:footnote w:id="90">
    <w:p w14:paraId="64052FE9" w14:textId="1477A05E" w:rsidR="00290250" w:rsidRPr="00E96855" w:rsidRDefault="00290250">
      <w:pPr>
        <w:pStyle w:val="FootnoteText"/>
        <w:rPr>
          <w:rFonts w:cstheme="minorHAnsi"/>
          <w:sz w:val="18"/>
          <w:szCs w:val="18"/>
        </w:rPr>
      </w:pPr>
      <w:r w:rsidRPr="00E96855">
        <w:rPr>
          <w:rStyle w:val="FootnoteReference"/>
          <w:rFonts w:cstheme="minorHAnsi"/>
          <w:sz w:val="18"/>
          <w:szCs w:val="18"/>
        </w:rPr>
        <w:footnoteRef/>
      </w:r>
      <w:r w:rsidR="00334902" w:rsidRPr="00E96855">
        <w:rPr>
          <w:rFonts w:cstheme="minorHAnsi"/>
          <w:sz w:val="18"/>
          <w:szCs w:val="18"/>
        </w:rPr>
        <w:t xml:space="preserve"> </w:t>
      </w:r>
      <w:r w:rsidR="00647C94" w:rsidRPr="00E96855">
        <w:rPr>
          <w:rFonts w:cstheme="minorHAnsi"/>
          <w:sz w:val="18"/>
          <w:szCs w:val="18"/>
        </w:rPr>
        <w:t xml:space="preserve">Department of Social Services (DSS), </w:t>
      </w:r>
      <w:r w:rsidR="00647C94" w:rsidRPr="00E96855">
        <w:rPr>
          <w:rFonts w:cstheme="minorHAnsi"/>
          <w:i/>
          <w:iCs/>
          <w:sz w:val="18"/>
          <w:szCs w:val="18"/>
        </w:rPr>
        <w:t>Data from the Department of Social Services</w:t>
      </w:r>
      <w:r w:rsidR="00647C94" w:rsidRPr="00E96855">
        <w:rPr>
          <w:rFonts w:cstheme="minorHAnsi"/>
          <w:sz w:val="18"/>
          <w:szCs w:val="18"/>
        </w:rPr>
        <w:t xml:space="preserve"> [unpublished data], DSS, Canberra, 2023.</w:t>
      </w:r>
    </w:p>
  </w:footnote>
  <w:footnote w:id="91">
    <w:p w14:paraId="0F583C33" w14:textId="6D3C6F40" w:rsidR="00492ECC" w:rsidRPr="00E96855" w:rsidRDefault="00492ECC" w:rsidP="00492ECC">
      <w:pPr>
        <w:pStyle w:val="FootnoteText"/>
        <w:rPr>
          <w:rFonts w:cstheme="minorHAnsi"/>
          <w:sz w:val="18"/>
          <w:szCs w:val="18"/>
        </w:rPr>
      </w:pPr>
      <w:r w:rsidRPr="00E96855">
        <w:rPr>
          <w:rStyle w:val="FootnoteReference"/>
          <w:rFonts w:cstheme="minorHAnsi"/>
          <w:sz w:val="18"/>
          <w:szCs w:val="18"/>
        </w:rPr>
        <w:footnoteRef/>
      </w:r>
      <w:r w:rsidR="00465C40" w:rsidRPr="00E96855">
        <w:rPr>
          <w:rFonts w:cstheme="minorHAnsi"/>
          <w:sz w:val="18"/>
          <w:szCs w:val="18"/>
        </w:rPr>
        <w:t xml:space="preserve"> </w:t>
      </w:r>
      <w:r w:rsidR="00651D46" w:rsidRPr="00E96855">
        <w:rPr>
          <w:rFonts w:cstheme="minorHAnsi"/>
          <w:sz w:val="18"/>
          <w:szCs w:val="18"/>
        </w:rPr>
        <w:t xml:space="preserve">M Warburton, </w:t>
      </w:r>
      <w:hyperlink r:id="rId56" w:history="1">
        <w:r w:rsidR="00651D46" w:rsidRPr="00E96855">
          <w:rPr>
            <w:rStyle w:val="Hyperlink"/>
            <w:rFonts w:cstheme="minorHAnsi"/>
            <w:i/>
            <w:iCs/>
            <w:sz w:val="18"/>
            <w:szCs w:val="18"/>
          </w:rPr>
          <w:t>Submission to the Australian Universities Accord Discussion Paper</w:t>
        </w:r>
      </w:hyperlink>
      <w:r w:rsidR="00651D46" w:rsidRPr="00E96855">
        <w:rPr>
          <w:rFonts w:cstheme="minorHAnsi"/>
          <w:sz w:val="18"/>
          <w:szCs w:val="18"/>
        </w:rPr>
        <w:t>, 2023.</w:t>
      </w:r>
    </w:p>
  </w:footnote>
  <w:footnote w:id="92">
    <w:p w14:paraId="50A08706" w14:textId="0C781EAA" w:rsidR="008B1A15" w:rsidRPr="00E96855" w:rsidRDefault="008B1A15" w:rsidP="008B1A15">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BC01EE" w:rsidRPr="00E96855">
        <w:rPr>
          <w:rFonts w:cstheme="minorHAnsi"/>
          <w:sz w:val="18"/>
          <w:szCs w:val="18"/>
        </w:rPr>
        <w:t xml:space="preserve">Senate Employment, Workplace Relations and Education References Committee, </w:t>
      </w:r>
      <w:hyperlink r:id="rId57" w:history="1">
        <w:r w:rsidR="00BC01EE" w:rsidRPr="00E96855">
          <w:rPr>
            <w:rStyle w:val="Hyperlink"/>
            <w:rFonts w:cstheme="minorHAnsi"/>
            <w:i/>
            <w:sz w:val="18"/>
            <w:szCs w:val="18"/>
          </w:rPr>
          <w:t>Inquiry into student income support</w:t>
        </w:r>
      </w:hyperlink>
      <w:r w:rsidR="00BC01EE" w:rsidRPr="00E96855">
        <w:rPr>
          <w:rFonts w:cstheme="minorHAnsi"/>
          <w:sz w:val="18"/>
          <w:szCs w:val="18"/>
        </w:rPr>
        <w:t>, Senate Employment, Workplace Relations and Education References Committee, Australian Government, 2005, accessed 7 June 2023.</w:t>
      </w:r>
    </w:p>
  </w:footnote>
  <w:footnote w:id="93">
    <w:p w14:paraId="6FB891C0" w14:textId="59C090E5" w:rsidR="00433091" w:rsidRPr="00E96855" w:rsidRDefault="00433091" w:rsidP="00CA62F4">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EA6BB1" w:rsidRPr="00E96855">
        <w:rPr>
          <w:rFonts w:cstheme="minorHAnsi"/>
          <w:sz w:val="18"/>
          <w:szCs w:val="18"/>
        </w:rPr>
        <w:t xml:space="preserve">Pitman et al., </w:t>
      </w:r>
      <w:r w:rsidR="00EA6BB1" w:rsidRPr="00E96855">
        <w:rPr>
          <w:rFonts w:cstheme="minorHAnsi"/>
          <w:i/>
          <w:iCs/>
          <w:sz w:val="18"/>
          <w:szCs w:val="18"/>
        </w:rPr>
        <w:t>Pathways to Higher Education</w:t>
      </w:r>
      <w:r w:rsidR="00CA62F4" w:rsidRPr="00E96855">
        <w:rPr>
          <w:rFonts w:cstheme="minorHAnsi"/>
          <w:sz w:val="18"/>
          <w:szCs w:val="18"/>
        </w:rPr>
        <w:t xml:space="preserve">. </w:t>
      </w:r>
    </w:p>
  </w:footnote>
  <w:footnote w:id="94">
    <w:p w14:paraId="2F33F7C5" w14:textId="13CD090A" w:rsidR="004B1AC9" w:rsidRPr="00E96855" w:rsidRDefault="004B1AC9">
      <w:pPr>
        <w:pStyle w:val="FootnoteText"/>
        <w:rPr>
          <w:rFonts w:cstheme="minorHAnsi"/>
          <w:sz w:val="18"/>
          <w:szCs w:val="18"/>
        </w:rPr>
      </w:pPr>
      <w:r w:rsidRPr="00E96855">
        <w:rPr>
          <w:rStyle w:val="FootnoteReference"/>
          <w:rFonts w:cstheme="minorHAnsi"/>
          <w:sz w:val="18"/>
          <w:szCs w:val="18"/>
        </w:rPr>
        <w:footnoteRef/>
      </w:r>
      <w:r w:rsidR="00CA6D89" w:rsidRPr="00E96855">
        <w:rPr>
          <w:rFonts w:cstheme="minorHAnsi"/>
          <w:sz w:val="18"/>
          <w:szCs w:val="18"/>
        </w:rPr>
        <w:t xml:space="preserve"> </w:t>
      </w:r>
      <w:r w:rsidR="00620C76" w:rsidRPr="00E96855">
        <w:rPr>
          <w:rFonts w:cstheme="minorHAnsi"/>
          <w:color w:val="000000"/>
          <w:sz w:val="18"/>
          <w:szCs w:val="18"/>
        </w:rPr>
        <w:t xml:space="preserve">CAST, </w:t>
      </w:r>
      <w:hyperlink r:id="rId58" w:history="1">
        <w:r w:rsidR="00620C76" w:rsidRPr="00E96855">
          <w:rPr>
            <w:rStyle w:val="Hyperlink"/>
            <w:rFonts w:cstheme="minorHAnsi"/>
            <w:i/>
            <w:iCs/>
            <w:sz w:val="18"/>
            <w:szCs w:val="18"/>
          </w:rPr>
          <w:t>The Universal Design for Learning (UDL) Guidelines</w:t>
        </w:r>
      </w:hyperlink>
      <w:r w:rsidR="00620C76" w:rsidRPr="00E96855">
        <w:rPr>
          <w:rFonts w:cstheme="minorHAnsi"/>
          <w:color w:val="000000"/>
          <w:sz w:val="18"/>
          <w:szCs w:val="18"/>
        </w:rPr>
        <w:t>, CAST website, n.d., accessed 7 June 2023</w:t>
      </w:r>
      <w:r w:rsidR="009445A0" w:rsidRPr="00E96855">
        <w:rPr>
          <w:rFonts w:cstheme="minorHAnsi"/>
          <w:sz w:val="18"/>
          <w:szCs w:val="18"/>
        </w:rPr>
        <w:t>.</w:t>
      </w:r>
    </w:p>
  </w:footnote>
  <w:footnote w:id="95">
    <w:p w14:paraId="132C15E8" w14:textId="77777777" w:rsidR="00672023" w:rsidRPr="00E96855" w:rsidRDefault="00672023" w:rsidP="00672023">
      <w:pPr>
        <w:spacing w:after="0"/>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G Samarawickrema and K Cleary, ‘Block Mode Study: Opportunities and Challenges for a New Generation of Learners in an Australian University,’ </w:t>
      </w:r>
      <w:r w:rsidRPr="00E96855">
        <w:rPr>
          <w:rFonts w:cstheme="minorHAnsi"/>
          <w:i/>
          <w:sz w:val="18"/>
          <w:szCs w:val="18"/>
        </w:rPr>
        <w:t>Student Success</w:t>
      </w:r>
      <w:r w:rsidRPr="00E96855">
        <w:rPr>
          <w:rFonts w:cstheme="minorHAnsi"/>
          <w:sz w:val="18"/>
          <w:szCs w:val="18"/>
        </w:rPr>
        <w:t xml:space="preserve">, 2021, 12(1):13-23, </w:t>
      </w:r>
      <w:r w:rsidRPr="00E96855">
        <w:rPr>
          <w:rFonts w:eastAsia="Calibri" w:cstheme="minorHAnsi"/>
          <w:color w:val="000000" w:themeColor="text1"/>
          <w:sz w:val="18"/>
          <w:szCs w:val="18"/>
        </w:rPr>
        <w:t>doi:10.5204/ssj.1579.</w:t>
      </w:r>
    </w:p>
  </w:footnote>
  <w:footnote w:id="96">
    <w:p w14:paraId="1D512AE4" w14:textId="77777777" w:rsidR="00672023" w:rsidRPr="00E96855" w:rsidRDefault="00672023" w:rsidP="00672023">
      <w:pPr>
        <w:spacing w:after="0"/>
        <w:rPr>
          <w:rFonts w:eastAsia="Calibri" w:cstheme="minorHAnsi"/>
          <w:color w:val="000000" w:themeColor="text1"/>
          <w:sz w:val="18"/>
          <w:szCs w:val="18"/>
        </w:rPr>
      </w:pPr>
      <w:r w:rsidRPr="00E96855">
        <w:rPr>
          <w:rStyle w:val="FootnoteReference"/>
          <w:rFonts w:cstheme="minorHAnsi"/>
          <w:sz w:val="18"/>
          <w:szCs w:val="18"/>
        </w:rPr>
        <w:footnoteRef/>
      </w:r>
      <w:r w:rsidRPr="00E96855">
        <w:rPr>
          <w:rFonts w:cstheme="minorHAnsi"/>
          <w:sz w:val="18"/>
          <w:szCs w:val="18"/>
        </w:rPr>
        <w:t xml:space="preserve"> </w:t>
      </w:r>
      <w:r w:rsidRPr="00E96855">
        <w:rPr>
          <w:rFonts w:eastAsia="Calibri" w:cstheme="minorHAnsi"/>
          <w:color w:val="000000" w:themeColor="text1"/>
          <w:sz w:val="18"/>
          <w:szCs w:val="18"/>
        </w:rPr>
        <w:t xml:space="preserve">Victoria University (VU), </w:t>
      </w:r>
      <w:hyperlink r:id="rId59" w:history="1">
        <w:r w:rsidRPr="00E96855">
          <w:rPr>
            <w:rStyle w:val="Hyperlink"/>
            <w:rFonts w:eastAsia="Calibri" w:cstheme="minorHAnsi"/>
            <w:i/>
            <w:sz w:val="18"/>
            <w:szCs w:val="18"/>
          </w:rPr>
          <w:t>VU Block Model</w:t>
        </w:r>
      </w:hyperlink>
      <w:r w:rsidRPr="00E96855">
        <w:rPr>
          <w:rFonts w:eastAsia="Calibri" w:cstheme="minorHAnsi"/>
          <w:i/>
          <w:color w:val="000000" w:themeColor="text1"/>
          <w:sz w:val="18"/>
          <w:szCs w:val="18"/>
        </w:rPr>
        <w:t xml:space="preserve">, </w:t>
      </w:r>
      <w:r w:rsidRPr="00E96855">
        <w:rPr>
          <w:rFonts w:eastAsia="Calibri" w:cstheme="minorHAnsi"/>
          <w:color w:val="000000" w:themeColor="text1"/>
          <w:sz w:val="18"/>
          <w:szCs w:val="18"/>
        </w:rPr>
        <w:t xml:space="preserve">VU website, n.d., </w:t>
      </w:r>
      <w:r w:rsidRPr="00E96855">
        <w:rPr>
          <w:rFonts w:cstheme="minorHAnsi"/>
          <w:sz w:val="18"/>
          <w:szCs w:val="18"/>
        </w:rPr>
        <w:t>accessed 8 June 2023.</w:t>
      </w:r>
    </w:p>
  </w:footnote>
  <w:footnote w:id="97">
    <w:p w14:paraId="209D1A7A" w14:textId="77777777" w:rsidR="00672023" w:rsidRDefault="00672023" w:rsidP="00672023">
      <w:pPr>
        <w:pStyle w:val="FootnoteText"/>
      </w:pPr>
      <w:r>
        <w:rPr>
          <w:rStyle w:val="FootnoteReference"/>
        </w:rPr>
        <w:footnoteRef/>
      </w:r>
      <w:r>
        <w:t xml:space="preserve"> </w:t>
      </w:r>
      <w:r w:rsidRPr="00E96855">
        <w:rPr>
          <w:rFonts w:cstheme="minorHAnsi"/>
          <w:sz w:val="18"/>
          <w:szCs w:val="18"/>
        </w:rPr>
        <w:t xml:space="preserve">Charles Sturt University (CSU), </w:t>
      </w:r>
      <w:hyperlink r:id="rId60" w:history="1">
        <w:r w:rsidRPr="00E96855">
          <w:rPr>
            <w:rStyle w:val="Hyperlink"/>
            <w:rFonts w:cstheme="minorHAnsi"/>
            <w:i/>
            <w:sz w:val="18"/>
            <w:szCs w:val="18"/>
          </w:rPr>
          <w:t>Student Retention</w:t>
        </w:r>
      </w:hyperlink>
      <w:r w:rsidRPr="00E96855">
        <w:rPr>
          <w:rFonts w:cstheme="minorHAnsi"/>
          <w:sz w:val="18"/>
          <w:szCs w:val="18"/>
        </w:rPr>
        <w:t>, CSU website, n.d., accessed 8 June 2023.</w:t>
      </w:r>
    </w:p>
  </w:footnote>
  <w:footnote w:id="98">
    <w:p w14:paraId="460D7F54" w14:textId="77777777" w:rsidR="00672023" w:rsidRPr="00E96855" w:rsidRDefault="00672023" w:rsidP="00672023">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K Linden, S Teakel and N Van der Ploeg, 'Improving Student Success with Online Embedded Tutor Support in First-Year Subjects', </w:t>
      </w:r>
      <w:r w:rsidRPr="00E96855">
        <w:rPr>
          <w:rFonts w:cstheme="minorHAnsi"/>
          <w:i/>
          <w:sz w:val="18"/>
          <w:szCs w:val="18"/>
        </w:rPr>
        <w:t>Student Success</w:t>
      </w:r>
      <w:r w:rsidRPr="00E96855">
        <w:rPr>
          <w:rFonts w:cstheme="minorHAnsi"/>
          <w:sz w:val="18"/>
          <w:szCs w:val="18"/>
        </w:rPr>
        <w:t>, 2022, 13(2):42-50, doi:10.5204/ssj.2338.</w:t>
      </w:r>
    </w:p>
  </w:footnote>
  <w:footnote w:id="99">
    <w:p w14:paraId="326DDB92" w14:textId="77777777" w:rsidR="00672023" w:rsidRPr="00E96855" w:rsidRDefault="00672023" w:rsidP="00672023">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University of Newcastle, </w:t>
      </w:r>
      <w:hyperlink r:id="rId61" w:history="1">
        <w:r w:rsidRPr="00E96855">
          <w:rPr>
            <w:rStyle w:val="Hyperlink"/>
            <w:rFonts w:cstheme="minorHAnsi"/>
            <w:i/>
            <w:sz w:val="18"/>
            <w:szCs w:val="18"/>
          </w:rPr>
          <w:t>Submission to the Australian Universities Accord Discussion Paper</w:t>
        </w:r>
      </w:hyperlink>
      <w:r w:rsidRPr="00E96855">
        <w:rPr>
          <w:rFonts w:cstheme="minorHAnsi"/>
          <w:sz w:val="18"/>
          <w:szCs w:val="18"/>
        </w:rPr>
        <w:t>, 2023.</w:t>
      </w:r>
    </w:p>
  </w:footnote>
  <w:footnote w:id="100">
    <w:p w14:paraId="3B8D39FE" w14:textId="77777777" w:rsidR="00672023" w:rsidRPr="00E96855" w:rsidRDefault="00672023" w:rsidP="00672023">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Western Parkland City Authority, </w:t>
      </w:r>
      <w:hyperlink r:id="rId62" w:history="1">
        <w:r w:rsidRPr="00E96855">
          <w:rPr>
            <w:rStyle w:val="Hyperlink"/>
            <w:rFonts w:cstheme="minorHAnsi"/>
            <w:i/>
            <w:sz w:val="18"/>
            <w:szCs w:val="18"/>
          </w:rPr>
          <w:t>New Education and Training Model (NETM)</w:t>
        </w:r>
      </w:hyperlink>
      <w:r w:rsidRPr="00E96855">
        <w:rPr>
          <w:rFonts w:cstheme="minorHAnsi"/>
          <w:i/>
          <w:sz w:val="18"/>
          <w:szCs w:val="18"/>
        </w:rPr>
        <w:t xml:space="preserve">, </w:t>
      </w:r>
      <w:r w:rsidRPr="00E96855">
        <w:rPr>
          <w:rFonts w:cstheme="minorHAnsi"/>
          <w:sz w:val="18"/>
          <w:szCs w:val="18"/>
        </w:rPr>
        <w:t>Western Parkland City Authority website, n.d., accessed 13 June 2023.</w:t>
      </w:r>
    </w:p>
  </w:footnote>
  <w:footnote w:id="101">
    <w:p w14:paraId="592CE01D" w14:textId="77777777" w:rsidR="00672023" w:rsidRPr="00E96855" w:rsidRDefault="00672023" w:rsidP="00672023">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Curriculum Open-access Resources in Economics (CORE Econ), </w:t>
      </w:r>
      <w:hyperlink r:id="rId63" w:history="1">
        <w:r w:rsidRPr="00E96855">
          <w:rPr>
            <w:rStyle w:val="Hyperlink"/>
            <w:rFonts w:cstheme="minorHAnsi"/>
            <w:i/>
            <w:iCs/>
            <w:sz w:val="18"/>
            <w:szCs w:val="18"/>
          </w:rPr>
          <w:t>CORE Econ: Economics for a changing world</w:t>
        </w:r>
      </w:hyperlink>
      <w:r w:rsidRPr="00E96855">
        <w:rPr>
          <w:rFonts w:cstheme="minorHAnsi"/>
          <w:sz w:val="18"/>
          <w:szCs w:val="18"/>
        </w:rPr>
        <w:t>, CORE Econ website, n.d., accessed 8 June 2023.</w:t>
      </w:r>
    </w:p>
  </w:footnote>
  <w:footnote w:id="102">
    <w:p w14:paraId="26A67AFE" w14:textId="4BFC1C69" w:rsidR="007163C1" w:rsidRPr="00E96855" w:rsidRDefault="007163C1">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F503B3" w:rsidRPr="00E96855">
        <w:rPr>
          <w:rFonts w:cstheme="minorHAnsi"/>
          <w:sz w:val="18"/>
          <w:szCs w:val="18"/>
        </w:rPr>
        <w:t xml:space="preserve">Productivity Commission, </w:t>
      </w:r>
      <w:r w:rsidR="00F503B3" w:rsidRPr="00E96855">
        <w:rPr>
          <w:rFonts w:cstheme="minorHAnsi"/>
          <w:i/>
          <w:iCs/>
          <w:sz w:val="18"/>
          <w:szCs w:val="18"/>
        </w:rPr>
        <w:t>5-year Productivity Inquiry: From learning to growth.</w:t>
      </w:r>
    </w:p>
  </w:footnote>
  <w:footnote w:id="103">
    <w:p w14:paraId="4F125525" w14:textId="21DAD072" w:rsidR="00B6263A" w:rsidRPr="00E96855" w:rsidRDefault="00B6263A" w:rsidP="00BC654C">
      <w:pPr>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C5498E" w:rsidRPr="00E96855">
        <w:rPr>
          <w:rFonts w:cstheme="minorHAnsi"/>
          <w:sz w:val="18"/>
          <w:szCs w:val="18"/>
        </w:rPr>
        <w:t xml:space="preserve">Department of Education, </w:t>
      </w:r>
      <w:hyperlink r:id="rId64" w:anchor="toc-international-student-data-full-year-data-based-on-data-finalised-in-december-2022-" w:history="1">
        <w:r w:rsidR="00C5498E" w:rsidRPr="00E96855">
          <w:rPr>
            <w:rStyle w:val="Hyperlink"/>
            <w:rFonts w:cstheme="minorHAnsi"/>
            <w:i/>
            <w:iCs/>
            <w:sz w:val="18"/>
            <w:szCs w:val="18"/>
          </w:rPr>
          <w:t>International student monthly summary and data tables</w:t>
        </w:r>
      </w:hyperlink>
      <w:r w:rsidR="00C5498E" w:rsidRPr="00E96855">
        <w:rPr>
          <w:rFonts w:cstheme="minorHAnsi"/>
          <w:sz w:val="18"/>
          <w:szCs w:val="18"/>
        </w:rPr>
        <w:t>, Department of Education website, 2023, accessed 7 June 2023.</w:t>
      </w:r>
      <w:r w:rsidRPr="00E96855">
        <w:rPr>
          <w:rFonts w:cstheme="minorHAnsi"/>
          <w:sz w:val="18"/>
          <w:szCs w:val="18"/>
        </w:rPr>
        <w:t xml:space="preserve">  </w:t>
      </w:r>
    </w:p>
  </w:footnote>
  <w:footnote w:id="104">
    <w:p w14:paraId="50594AFA" w14:textId="45B70C3F" w:rsidR="007332E7" w:rsidRPr="00E96855" w:rsidRDefault="007332E7" w:rsidP="00BC654C">
      <w:pPr>
        <w:spacing w:after="0" w:line="240" w:lineRule="auto"/>
        <w:rPr>
          <w:rFonts w:eastAsia="Times New Roman" w:cstheme="minorHAnsi"/>
          <w:color w:val="000000"/>
          <w:sz w:val="18"/>
          <w:szCs w:val="18"/>
          <w:highlight w:val="green"/>
          <w:lang w:eastAsia="en-AU"/>
        </w:rPr>
      </w:pPr>
      <w:r w:rsidRPr="00E96855">
        <w:rPr>
          <w:rStyle w:val="FootnoteReference"/>
          <w:rFonts w:cstheme="minorHAnsi"/>
          <w:sz w:val="18"/>
          <w:szCs w:val="18"/>
        </w:rPr>
        <w:footnoteRef/>
      </w:r>
      <w:r w:rsidRPr="00E96855">
        <w:rPr>
          <w:rFonts w:cstheme="minorHAnsi"/>
          <w:sz w:val="18"/>
          <w:szCs w:val="18"/>
        </w:rPr>
        <w:t xml:space="preserve"> </w:t>
      </w:r>
      <w:r w:rsidR="00634B35" w:rsidRPr="00E96855">
        <w:rPr>
          <w:rFonts w:eastAsia="Times New Roman" w:cstheme="minorHAnsi"/>
          <w:color w:val="000000"/>
          <w:sz w:val="18"/>
          <w:szCs w:val="18"/>
          <w:lang w:eastAsia="en-AU"/>
        </w:rPr>
        <w:t>United Nations Educational, Scientific and Cultural Organisation (UNESCO) Institute for Statistics</w:t>
      </w:r>
      <w:r w:rsidR="00315158" w:rsidRPr="00E96855">
        <w:rPr>
          <w:rFonts w:eastAsia="Times New Roman" w:cstheme="minorHAnsi"/>
          <w:color w:val="000000"/>
          <w:sz w:val="18"/>
          <w:szCs w:val="18"/>
          <w:lang w:eastAsia="en-AU"/>
        </w:rPr>
        <w:t xml:space="preserve">, </w:t>
      </w:r>
      <w:hyperlink r:id="rId65" w:history="1">
        <w:r w:rsidR="00315158" w:rsidRPr="00E96855">
          <w:rPr>
            <w:rStyle w:val="Hyperlink"/>
            <w:rFonts w:eastAsia="Times New Roman" w:cstheme="minorHAnsi"/>
            <w:i/>
            <w:iCs/>
            <w:sz w:val="18"/>
            <w:szCs w:val="18"/>
            <w:lang w:eastAsia="en-AU"/>
          </w:rPr>
          <w:t>Other policy relevant indicators: Net flow of internationally mobile students</w:t>
        </w:r>
      </w:hyperlink>
      <w:r w:rsidR="00315158" w:rsidRPr="00E96855">
        <w:rPr>
          <w:rFonts w:eastAsia="Times New Roman" w:cstheme="minorHAnsi"/>
          <w:color w:val="000000"/>
          <w:sz w:val="18"/>
          <w:szCs w:val="18"/>
          <w:lang w:eastAsia="en-AU"/>
        </w:rPr>
        <w:t xml:space="preserve"> [data set], data.uis.unesco.org, n.d., accessed 15 June 2023</w:t>
      </w:r>
      <w:r w:rsidR="00D56C03" w:rsidRPr="00E96855">
        <w:rPr>
          <w:rFonts w:cstheme="minorHAnsi"/>
          <w:sz w:val="18"/>
          <w:szCs w:val="18"/>
        </w:rPr>
        <w:t>.</w:t>
      </w:r>
      <w:r w:rsidR="00D56C03" w:rsidRPr="00E96855" w:rsidDel="000035D8">
        <w:rPr>
          <w:rFonts w:cstheme="minorHAnsi"/>
          <w:sz w:val="18"/>
          <w:szCs w:val="18"/>
        </w:rPr>
        <w:t xml:space="preserve"> </w:t>
      </w:r>
    </w:p>
  </w:footnote>
  <w:footnote w:id="105">
    <w:p w14:paraId="0C9E3F7A" w14:textId="1EF0A2E4" w:rsidR="007332E7" w:rsidRPr="00E96855" w:rsidRDefault="007332E7" w:rsidP="007332E7">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CF0303" w:rsidRPr="00E96855">
        <w:rPr>
          <w:rStyle w:val="ui-provider"/>
          <w:rFonts w:cstheme="minorHAnsi"/>
          <w:sz w:val="18"/>
          <w:szCs w:val="18"/>
        </w:rPr>
        <w:t xml:space="preserve">Scival, </w:t>
      </w:r>
      <w:hyperlink r:id="rId66" w:tgtFrame="_blank" w:tooltip="https://www.scival.com/collaboration/collabmetrics?uri=country/36" w:history="1">
        <w:r w:rsidR="00CF0303" w:rsidRPr="00E96855">
          <w:rPr>
            <w:rStyle w:val="Hyperlink"/>
            <w:rFonts w:cstheme="minorHAnsi"/>
            <w:i/>
            <w:sz w:val="18"/>
            <w:szCs w:val="18"/>
          </w:rPr>
          <w:t>Collaboration by Australia</w:t>
        </w:r>
      </w:hyperlink>
      <w:r w:rsidR="00CF0303" w:rsidRPr="00E96855">
        <w:rPr>
          <w:rStyle w:val="ui-provider"/>
          <w:rFonts w:cstheme="minorHAnsi"/>
          <w:sz w:val="18"/>
          <w:szCs w:val="18"/>
        </w:rPr>
        <w:t>, Scival website, 2023, accessed 17 May 2023</w:t>
      </w:r>
      <w:r w:rsidR="00532E14" w:rsidRPr="00E96855">
        <w:rPr>
          <w:rStyle w:val="ui-provider"/>
          <w:rFonts w:cstheme="minorHAnsi"/>
          <w:sz w:val="18"/>
          <w:szCs w:val="18"/>
        </w:rPr>
        <w:t>.</w:t>
      </w:r>
    </w:p>
  </w:footnote>
  <w:footnote w:id="106">
    <w:p w14:paraId="0EACFD11" w14:textId="09C6915E" w:rsidR="00D528D7" w:rsidRPr="00E96855" w:rsidRDefault="00D528D7" w:rsidP="00D528D7">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4E7B90" w:rsidRPr="00E96855">
        <w:rPr>
          <w:rFonts w:cstheme="minorHAnsi"/>
          <w:sz w:val="18"/>
          <w:szCs w:val="18"/>
        </w:rPr>
        <w:t xml:space="preserve">Parkinson et al., </w:t>
      </w:r>
      <w:r w:rsidR="004E7B90" w:rsidRPr="00E96855">
        <w:rPr>
          <w:rFonts w:cstheme="minorHAnsi"/>
          <w:i/>
          <w:iCs/>
          <w:sz w:val="18"/>
          <w:szCs w:val="18"/>
        </w:rPr>
        <w:t>Review of the Migration System Final Report</w:t>
      </w:r>
      <w:r w:rsidR="004E7B90" w:rsidRPr="00E96855">
        <w:rPr>
          <w:rFonts w:cstheme="minorHAnsi"/>
          <w:sz w:val="18"/>
          <w:szCs w:val="18"/>
        </w:rPr>
        <w:t>.</w:t>
      </w:r>
    </w:p>
  </w:footnote>
  <w:footnote w:id="107">
    <w:p w14:paraId="02ED85C6" w14:textId="3F6E58E4" w:rsidR="007332E7" w:rsidRPr="00E96855" w:rsidRDefault="007332E7" w:rsidP="007332E7">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025447" w:rsidRPr="00E96855">
        <w:rPr>
          <w:rStyle w:val="ui-provider"/>
          <w:rFonts w:cstheme="minorHAnsi"/>
          <w:sz w:val="18"/>
          <w:szCs w:val="18"/>
        </w:rPr>
        <w:t>OECD</w:t>
      </w:r>
      <w:r w:rsidR="00CC3BD4" w:rsidRPr="00E96855">
        <w:rPr>
          <w:rStyle w:val="ui-provider"/>
          <w:rFonts w:cstheme="minorHAnsi"/>
          <w:sz w:val="18"/>
          <w:szCs w:val="18"/>
        </w:rPr>
        <w:t xml:space="preserve">, </w:t>
      </w:r>
      <w:hyperlink r:id="rId67" w:history="1">
        <w:r w:rsidR="00CC3BD4" w:rsidRPr="00E96855">
          <w:rPr>
            <w:rStyle w:val="Hyperlink"/>
            <w:rFonts w:cstheme="minorHAnsi"/>
            <w:i/>
            <w:sz w:val="18"/>
            <w:szCs w:val="18"/>
          </w:rPr>
          <w:t>OECD Main Science and Technology Indicators - HERD financed by the rest of the world as a percentage of total HERD</w:t>
        </w:r>
      </w:hyperlink>
      <w:r w:rsidR="00CC3BD4" w:rsidRPr="00E96855">
        <w:rPr>
          <w:rStyle w:val="ui-provider"/>
          <w:rFonts w:cstheme="minorHAnsi"/>
          <w:i/>
          <w:sz w:val="18"/>
          <w:szCs w:val="18"/>
        </w:rPr>
        <w:t>,</w:t>
      </w:r>
      <w:r w:rsidR="00CC3BD4" w:rsidRPr="00E96855">
        <w:rPr>
          <w:rStyle w:val="ui-provider"/>
          <w:rFonts w:cstheme="minorHAnsi"/>
          <w:sz w:val="18"/>
          <w:szCs w:val="18"/>
        </w:rPr>
        <w:t xml:space="preserve"> OECD website, </w:t>
      </w:r>
      <w:r w:rsidR="00025447" w:rsidRPr="00E96855">
        <w:rPr>
          <w:rStyle w:val="ui-provider"/>
          <w:rFonts w:cstheme="minorHAnsi"/>
          <w:sz w:val="18"/>
          <w:szCs w:val="18"/>
        </w:rPr>
        <w:t>2023</w:t>
      </w:r>
      <w:r w:rsidR="00CC3BD4" w:rsidRPr="00E96855">
        <w:rPr>
          <w:rStyle w:val="ui-provider"/>
          <w:rFonts w:cstheme="minorHAnsi"/>
          <w:sz w:val="18"/>
          <w:szCs w:val="18"/>
        </w:rPr>
        <w:t>, accessed 9 June 2023</w:t>
      </w:r>
      <w:r w:rsidRPr="00E96855">
        <w:rPr>
          <w:rStyle w:val="ui-provider"/>
          <w:rFonts w:cstheme="minorHAnsi"/>
          <w:sz w:val="18"/>
          <w:szCs w:val="18"/>
        </w:rPr>
        <w:t>.</w:t>
      </w:r>
    </w:p>
  </w:footnote>
  <w:footnote w:id="108">
    <w:p w14:paraId="7A7CB009" w14:textId="77777777" w:rsidR="00672023" w:rsidRPr="00E96855" w:rsidRDefault="00672023" w:rsidP="00672023">
      <w:pPr>
        <w:spacing w:after="0"/>
        <w:rPr>
          <w:rFonts w:cstheme="minorHAnsi"/>
          <w:sz w:val="18"/>
          <w:szCs w:val="18"/>
          <w:highlight w:val="lightGray"/>
        </w:rPr>
      </w:pPr>
      <w:r w:rsidRPr="00E96855">
        <w:rPr>
          <w:rStyle w:val="FootnoteReference"/>
          <w:rFonts w:cstheme="minorHAnsi"/>
          <w:sz w:val="18"/>
          <w:szCs w:val="18"/>
        </w:rPr>
        <w:footnoteRef/>
      </w:r>
      <w:r w:rsidRPr="00E96855">
        <w:rPr>
          <w:rFonts w:cstheme="minorHAnsi"/>
          <w:sz w:val="18"/>
          <w:szCs w:val="18"/>
        </w:rPr>
        <w:t xml:space="preserve"> Ministry of Human Resource Development, </w:t>
      </w:r>
      <w:hyperlink r:id="rId68" w:history="1">
        <w:r w:rsidRPr="00E96855">
          <w:rPr>
            <w:rStyle w:val="Hyperlink"/>
            <w:rFonts w:cstheme="minorHAnsi"/>
            <w:i/>
            <w:iCs/>
            <w:sz w:val="18"/>
            <w:szCs w:val="18"/>
          </w:rPr>
          <w:t>National Education Policy 2020</w:t>
        </w:r>
      </w:hyperlink>
      <w:r w:rsidRPr="00E96855">
        <w:rPr>
          <w:rFonts w:cstheme="minorHAnsi"/>
          <w:sz w:val="18"/>
          <w:szCs w:val="18"/>
        </w:rPr>
        <w:t xml:space="preserve"> [PDF], Government of India, n.d., accessed 7 June 2023.</w:t>
      </w:r>
    </w:p>
  </w:footnote>
  <w:footnote w:id="109">
    <w:p w14:paraId="1C7A3FA9" w14:textId="77777777" w:rsidR="00672023" w:rsidRPr="00E96855" w:rsidRDefault="00672023" w:rsidP="00672023">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hyperlink r:id="rId69" w:history="1">
        <w:r w:rsidRPr="00E96855">
          <w:rPr>
            <w:rStyle w:val="Hyperlink"/>
            <w:rFonts w:cstheme="minorHAnsi"/>
            <w:i/>
            <w:iCs/>
            <w:sz w:val="18"/>
            <w:szCs w:val="18"/>
          </w:rPr>
          <w:t>Mechanism for the Mutual Recognition of Qualifications between Australia and India</w:t>
        </w:r>
      </w:hyperlink>
      <w:r w:rsidRPr="00E96855">
        <w:rPr>
          <w:rFonts w:cstheme="minorHAnsi"/>
          <w:sz w:val="18"/>
          <w:szCs w:val="18"/>
        </w:rPr>
        <w:t>, Department of Education website, 2023, accessed 7 June 2023.</w:t>
      </w:r>
    </w:p>
  </w:footnote>
  <w:footnote w:id="110">
    <w:p w14:paraId="293B39B1" w14:textId="6219C145" w:rsidR="007332E7" w:rsidRPr="00E96855" w:rsidRDefault="007332E7" w:rsidP="007332E7">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183244" w:rsidRPr="00E96855">
        <w:rPr>
          <w:rFonts w:cstheme="minorHAnsi"/>
          <w:sz w:val="18"/>
          <w:szCs w:val="18"/>
        </w:rPr>
        <w:t xml:space="preserve">SGS Economics and Planning and G Sansom, </w:t>
      </w:r>
      <w:hyperlink r:id="rId70" w:history="1">
        <w:r w:rsidR="00183244" w:rsidRPr="00E96855">
          <w:rPr>
            <w:rStyle w:val="Hyperlink"/>
            <w:rFonts w:cstheme="minorHAnsi"/>
            <w:i/>
            <w:sz w:val="18"/>
            <w:szCs w:val="18"/>
          </w:rPr>
          <w:t>Local Government Workforce Skills and Capability Survey Final Report</w:t>
        </w:r>
      </w:hyperlink>
      <w:r w:rsidR="00183244" w:rsidRPr="00E96855">
        <w:rPr>
          <w:rFonts w:cstheme="minorHAnsi"/>
          <w:sz w:val="18"/>
          <w:szCs w:val="18"/>
        </w:rPr>
        <w:t>, Australian Local Government Association, 2022, accessed 7 June 2023</w:t>
      </w:r>
      <w:r w:rsidRPr="00E96855">
        <w:rPr>
          <w:rFonts w:cstheme="minorHAnsi"/>
          <w:sz w:val="18"/>
          <w:szCs w:val="18"/>
        </w:rPr>
        <w:t>.</w:t>
      </w:r>
    </w:p>
  </w:footnote>
  <w:footnote w:id="111">
    <w:p w14:paraId="792A0763" w14:textId="77777777" w:rsidR="00672023" w:rsidRPr="00E96855" w:rsidRDefault="00672023" w:rsidP="00672023">
      <w:pPr>
        <w:spacing w:after="0"/>
        <w:rPr>
          <w:rFonts w:eastAsia="Times New Roman" w:cstheme="minorHAnsi"/>
          <w:color w:val="0563C1"/>
          <w:sz w:val="18"/>
          <w:szCs w:val="18"/>
          <w:u w:val="single"/>
          <w:lang w:eastAsia="en-AU"/>
        </w:rPr>
      </w:pPr>
      <w:r w:rsidRPr="00E96855">
        <w:rPr>
          <w:rStyle w:val="FootnoteReference"/>
          <w:rFonts w:cstheme="minorHAnsi"/>
          <w:sz w:val="18"/>
          <w:szCs w:val="18"/>
        </w:rPr>
        <w:footnoteRef/>
      </w:r>
      <w:r w:rsidRPr="00E96855">
        <w:rPr>
          <w:rFonts w:cstheme="minorHAnsi"/>
          <w:sz w:val="18"/>
          <w:szCs w:val="18"/>
        </w:rPr>
        <w:t xml:space="preserve"> Rumbalara Football and Netball Club (RFNC), </w:t>
      </w:r>
      <w:hyperlink r:id="rId71" w:history="1">
        <w:r w:rsidRPr="00E96855">
          <w:rPr>
            <w:rStyle w:val="Hyperlink"/>
            <w:rFonts w:cstheme="minorHAnsi"/>
            <w:sz w:val="18"/>
            <w:szCs w:val="18"/>
          </w:rPr>
          <w:t>Munarra Centre for Regional Excellence</w:t>
        </w:r>
      </w:hyperlink>
      <w:r w:rsidRPr="00E96855">
        <w:rPr>
          <w:rFonts w:cstheme="minorHAnsi"/>
          <w:sz w:val="18"/>
          <w:szCs w:val="18"/>
        </w:rPr>
        <w:t>, RFNC Website, n.d., accessed 7 June 2023.</w:t>
      </w:r>
      <w:r w:rsidRPr="00E96855">
        <w:rPr>
          <w:rFonts w:eastAsia="Times New Roman" w:cstheme="minorHAnsi"/>
          <w:color w:val="0563C1"/>
          <w:sz w:val="18"/>
          <w:szCs w:val="18"/>
          <w:u w:val="single"/>
          <w:lang w:eastAsia="en-AU"/>
        </w:rPr>
        <w:t xml:space="preserve"> </w:t>
      </w:r>
    </w:p>
  </w:footnote>
  <w:footnote w:id="112">
    <w:p w14:paraId="7999CFA0" w14:textId="77777777" w:rsidR="005F5864" w:rsidRPr="00E96855" w:rsidRDefault="005F5864" w:rsidP="005F5864">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Batchelor Institute of Indigenous Tertiary Education, </w:t>
      </w:r>
      <w:hyperlink r:id="rId72" w:history="1">
        <w:r w:rsidRPr="00E96855">
          <w:rPr>
            <w:rStyle w:val="Hyperlink"/>
            <w:rFonts w:cstheme="minorHAnsi"/>
            <w:i/>
            <w:sz w:val="18"/>
            <w:szCs w:val="18"/>
          </w:rPr>
          <w:t xml:space="preserve">Annual Report 2020 </w:t>
        </w:r>
        <w:r w:rsidRPr="00E96855">
          <w:rPr>
            <w:rStyle w:val="Hyperlink"/>
            <w:rFonts w:cstheme="minorHAnsi"/>
            <w:iCs/>
            <w:color w:val="auto"/>
            <w:sz w:val="18"/>
            <w:szCs w:val="18"/>
            <w:u w:val="none"/>
          </w:rPr>
          <w:t>[PDF]</w:t>
        </w:r>
      </w:hyperlink>
      <w:r w:rsidRPr="00E96855">
        <w:rPr>
          <w:rFonts w:cstheme="minorHAnsi"/>
          <w:i/>
          <w:sz w:val="18"/>
          <w:szCs w:val="18"/>
        </w:rPr>
        <w:t>,</w:t>
      </w:r>
      <w:r w:rsidRPr="00E96855">
        <w:rPr>
          <w:rFonts w:cstheme="minorHAnsi"/>
          <w:sz w:val="18"/>
          <w:szCs w:val="18"/>
        </w:rPr>
        <w:t xml:space="preserve"> Batchelor Institute of Indigenous Tertiary Education, 2020, accessed 13 June 2023.</w:t>
      </w:r>
    </w:p>
  </w:footnote>
  <w:footnote w:id="113">
    <w:p w14:paraId="1EB85ABC" w14:textId="23988DE4" w:rsidR="007332E7" w:rsidRPr="00E96855" w:rsidRDefault="007332E7" w:rsidP="007332E7">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D16771" w:rsidRPr="00E96855">
        <w:rPr>
          <w:rFonts w:cstheme="minorHAnsi"/>
          <w:sz w:val="18"/>
          <w:szCs w:val="18"/>
        </w:rPr>
        <w:t xml:space="preserve">RUN, </w:t>
      </w:r>
      <w:r w:rsidR="00D16771" w:rsidRPr="00E96855">
        <w:rPr>
          <w:rFonts w:cstheme="minorHAnsi"/>
          <w:i/>
          <w:sz w:val="18"/>
          <w:szCs w:val="18"/>
        </w:rPr>
        <w:t>Submission to the Australian Universities Accord Discussion Paper</w:t>
      </w:r>
      <w:r w:rsidR="00D16771" w:rsidRPr="00E96855">
        <w:rPr>
          <w:rFonts w:cstheme="minorHAnsi"/>
          <w:sz w:val="18"/>
          <w:szCs w:val="18"/>
        </w:rPr>
        <w:t>.</w:t>
      </w:r>
    </w:p>
  </w:footnote>
  <w:footnote w:id="114">
    <w:p w14:paraId="13794A3B" w14:textId="77777777" w:rsidR="005F5864" w:rsidRDefault="005F5864" w:rsidP="005F5864">
      <w:pPr>
        <w:pStyle w:val="FootnoteText"/>
      </w:pPr>
      <w:r>
        <w:rPr>
          <w:rStyle w:val="FootnoteReference"/>
        </w:rPr>
        <w:footnoteRef/>
      </w:r>
      <w:r>
        <w:t xml:space="preserve"> </w:t>
      </w:r>
      <w:r w:rsidRPr="00E96855">
        <w:rPr>
          <w:rFonts w:cstheme="minorHAnsi"/>
          <w:sz w:val="18"/>
          <w:szCs w:val="18"/>
        </w:rPr>
        <w:t>Southern Cross University (SCU), ‘</w:t>
      </w:r>
      <w:hyperlink r:id="rId73" w:history="1">
        <w:r w:rsidRPr="00E96855">
          <w:rPr>
            <w:rStyle w:val="Hyperlink"/>
            <w:rFonts w:cstheme="minorHAnsi"/>
            <w:sz w:val="18"/>
            <w:szCs w:val="18"/>
          </w:rPr>
          <w:t>Seeds of hope sprout one year on from 2022 floods</w:t>
        </w:r>
      </w:hyperlink>
      <w:r w:rsidRPr="00E96855">
        <w:rPr>
          <w:rStyle w:val="Hyperlink"/>
          <w:rFonts w:cstheme="minorHAnsi"/>
          <w:sz w:val="18"/>
          <w:szCs w:val="18"/>
        </w:rPr>
        <w:t>’</w:t>
      </w:r>
      <w:r w:rsidRPr="00E96855">
        <w:rPr>
          <w:rFonts w:cstheme="minorHAnsi"/>
          <w:i/>
          <w:iCs/>
          <w:sz w:val="18"/>
          <w:szCs w:val="18"/>
        </w:rPr>
        <w:t>,</w:t>
      </w:r>
      <w:r w:rsidRPr="00E96855">
        <w:rPr>
          <w:rFonts w:cstheme="minorHAnsi"/>
          <w:sz w:val="18"/>
          <w:szCs w:val="18"/>
        </w:rPr>
        <w:t xml:space="preserve"> </w:t>
      </w:r>
      <w:r w:rsidRPr="00E96855">
        <w:rPr>
          <w:rFonts w:cstheme="minorHAnsi"/>
          <w:i/>
          <w:sz w:val="18"/>
          <w:szCs w:val="18"/>
        </w:rPr>
        <w:t xml:space="preserve">SCU </w:t>
      </w:r>
      <w:r w:rsidRPr="00E96855">
        <w:rPr>
          <w:rFonts w:cstheme="minorHAnsi"/>
          <w:i/>
          <w:iCs/>
          <w:sz w:val="18"/>
          <w:szCs w:val="18"/>
        </w:rPr>
        <w:t>News</w:t>
      </w:r>
      <w:r w:rsidRPr="00E96855">
        <w:rPr>
          <w:rFonts w:cstheme="minorHAnsi"/>
          <w:sz w:val="18"/>
          <w:szCs w:val="18"/>
        </w:rPr>
        <w:t>, 3 March 2023, accessed 20 June 2023.</w:t>
      </w:r>
    </w:p>
  </w:footnote>
  <w:footnote w:id="115">
    <w:p w14:paraId="66DB93C9" w14:textId="7B9DEFBB" w:rsidR="000C714C" w:rsidRPr="00E96855" w:rsidRDefault="000C714C">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151B08" w:rsidRPr="00E96855">
        <w:rPr>
          <w:rFonts w:cstheme="minorHAnsi"/>
          <w:sz w:val="18"/>
          <w:szCs w:val="18"/>
        </w:rPr>
        <w:t>CDU, ‘</w:t>
      </w:r>
      <w:hyperlink r:id="rId74" w:history="1">
        <w:r w:rsidR="00151B08" w:rsidRPr="00E96855">
          <w:rPr>
            <w:rStyle w:val="Hyperlink"/>
            <w:rFonts w:cstheme="minorHAnsi"/>
            <w:sz w:val="18"/>
            <w:szCs w:val="18"/>
          </w:rPr>
          <w:t>New cyber security training hub planned for Charles Darwin University</w:t>
        </w:r>
      </w:hyperlink>
      <w:r w:rsidR="00151B08" w:rsidRPr="00E96855">
        <w:rPr>
          <w:rFonts w:cstheme="minorHAnsi"/>
          <w:sz w:val="18"/>
          <w:szCs w:val="18"/>
        </w:rPr>
        <w:t xml:space="preserve">’, </w:t>
      </w:r>
      <w:r w:rsidR="00151B08" w:rsidRPr="00E96855">
        <w:rPr>
          <w:rFonts w:cstheme="minorHAnsi"/>
          <w:i/>
          <w:sz w:val="18"/>
          <w:szCs w:val="18"/>
        </w:rPr>
        <w:t xml:space="preserve">CDU </w:t>
      </w:r>
      <w:r w:rsidR="00151B08" w:rsidRPr="00E96855">
        <w:rPr>
          <w:rFonts w:cstheme="minorHAnsi"/>
          <w:i/>
          <w:iCs/>
          <w:sz w:val="18"/>
          <w:szCs w:val="18"/>
        </w:rPr>
        <w:t>Newsroom,</w:t>
      </w:r>
      <w:r w:rsidR="00151B08" w:rsidRPr="00E96855">
        <w:rPr>
          <w:rFonts w:cstheme="minorHAnsi"/>
          <w:sz w:val="18"/>
          <w:szCs w:val="18"/>
        </w:rPr>
        <w:t xml:space="preserve"> 7 February 2023, accessed 16 June 2023.</w:t>
      </w:r>
    </w:p>
  </w:footnote>
  <w:footnote w:id="116">
    <w:p w14:paraId="0353E8AC" w14:textId="77777777" w:rsidR="005F5864" w:rsidRPr="00E96855" w:rsidRDefault="005F5864" w:rsidP="005F5864">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Department of Health and Aged Care, </w:t>
      </w:r>
      <w:hyperlink r:id="rId75" w:history="1">
        <w:r w:rsidRPr="00E96855">
          <w:rPr>
            <w:rStyle w:val="Hyperlink"/>
            <w:rFonts w:cstheme="minorHAnsi"/>
            <w:i/>
            <w:sz w:val="18"/>
            <w:szCs w:val="18"/>
          </w:rPr>
          <w:t>Murray-Darling Medical Schools Network</w:t>
        </w:r>
      </w:hyperlink>
      <w:r w:rsidRPr="00E96855">
        <w:rPr>
          <w:rFonts w:cstheme="minorHAnsi"/>
          <w:sz w:val="18"/>
          <w:szCs w:val="18"/>
        </w:rPr>
        <w:t>, Department of Health and Aged Care website, 2023, accessed 7 June 2023.</w:t>
      </w:r>
    </w:p>
  </w:footnote>
  <w:footnote w:id="117">
    <w:p w14:paraId="4511CBA0" w14:textId="77777777" w:rsidR="005F5864" w:rsidRPr="00E96855" w:rsidRDefault="005F5864" w:rsidP="005F5864">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Northern Territory (NT) Health, </w:t>
      </w:r>
      <w:hyperlink r:id="rId76" w:history="1">
        <w:r w:rsidRPr="00E96855">
          <w:rPr>
            <w:rStyle w:val="Hyperlink"/>
            <w:rFonts w:cstheme="minorHAnsi"/>
            <w:i/>
            <w:iCs/>
            <w:sz w:val="18"/>
            <w:szCs w:val="18"/>
          </w:rPr>
          <w:t>Training and education for health professionals</w:t>
        </w:r>
      </w:hyperlink>
      <w:r w:rsidRPr="00E96855">
        <w:rPr>
          <w:rFonts w:cstheme="minorHAnsi"/>
          <w:sz w:val="18"/>
          <w:szCs w:val="18"/>
        </w:rPr>
        <w:t>, NT Health website, 2023, accessed 7 June 2023.</w:t>
      </w:r>
    </w:p>
  </w:footnote>
  <w:footnote w:id="118">
    <w:p w14:paraId="56BD9B5B" w14:textId="77777777" w:rsidR="005F5864" w:rsidRPr="00E96855" w:rsidRDefault="005F5864" w:rsidP="005F5864">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The University of Newcastle and University of New England</w:t>
      </w:r>
      <w:hyperlink r:id="rId77" w:history="1">
        <w:r w:rsidRPr="00E96855">
          <w:rPr>
            <w:rStyle w:val="Hyperlink"/>
            <w:rFonts w:cstheme="minorHAnsi"/>
            <w:i/>
            <w:iCs/>
            <w:sz w:val="18"/>
            <w:szCs w:val="18"/>
          </w:rPr>
          <w:t>, Find your path to medicine: the joint medical program 2024</w:t>
        </w:r>
      </w:hyperlink>
      <w:r w:rsidRPr="00E96855">
        <w:rPr>
          <w:rFonts w:cstheme="minorHAnsi"/>
          <w:sz w:val="18"/>
          <w:szCs w:val="18"/>
        </w:rPr>
        <w:t xml:space="preserve"> [PDF], The University of Newcastle and University of New England, n.d., accessed 7 June 2023.</w:t>
      </w:r>
    </w:p>
  </w:footnote>
  <w:footnote w:id="119">
    <w:p w14:paraId="42FDE7EC" w14:textId="77777777" w:rsidR="005F5864" w:rsidRPr="00E96855" w:rsidRDefault="005F5864" w:rsidP="005F5864">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Charles Sturt University (2022) </w:t>
      </w:r>
      <w:hyperlink r:id="rId78" w:history="1">
        <w:r w:rsidRPr="00E96855">
          <w:rPr>
            <w:rStyle w:val="Hyperlink"/>
            <w:rFonts w:cstheme="minorHAnsi"/>
            <w:i/>
            <w:iCs/>
            <w:sz w:val="18"/>
            <w:szCs w:val="18"/>
          </w:rPr>
          <w:t>Charles Sturt and Western Sydney University celebrate the success of the Joint Program in Medicine</w:t>
        </w:r>
      </w:hyperlink>
      <w:r w:rsidRPr="00E96855">
        <w:rPr>
          <w:rFonts w:cstheme="minorHAnsi"/>
          <w:sz w:val="18"/>
          <w:szCs w:val="18"/>
        </w:rPr>
        <w:t>, CSU News, accessed 18 June 2023.</w:t>
      </w:r>
    </w:p>
  </w:footnote>
  <w:footnote w:id="120">
    <w:p w14:paraId="1D662EF4" w14:textId="7BB23651" w:rsidR="00861C49" w:rsidRPr="00E96855" w:rsidRDefault="00861C49" w:rsidP="003848BF">
      <w:pPr>
        <w:pStyle w:val="FootnoteText"/>
        <w:rPr>
          <w:rFonts w:cstheme="minorHAnsi"/>
          <w:sz w:val="18"/>
          <w:szCs w:val="18"/>
        </w:rPr>
      </w:pPr>
      <w:r w:rsidRPr="00E96855">
        <w:rPr>
          <w:rStyle w:val="FootnoteReference"/>
          <w:rFonts w:cstheme="minorHAnsi"/>
          <w:sz w:val="18"/>
          <w:szCs w:val="18"/>
        </w:rPr>
        <w:footnoteRef/>
      </w:r>
      <w:r w:rsidR="002B1384" w:rsidRPr="00E96855">
        <w:rPr>
          <w:rFonts w:cstheme="minorHAnsi"/>
          <w:sz w:val="18"/>
          <w:szCs w:val="18"/>
        </w:rPr>
        <w:t xml:space="preserve"> </w:t>
      </w:r>
      <w:r w:rsidR="00395967" w:rsidRPr="00E96855">
        <w:rPr>
          <w:rFonts w:cstheme="minorHAnsi"/>
          <w:sz w:val="18"/>
          <w:szCs w:val="18"/>
        </w:rPr>
        <w:t xml:space="preserve">V Rawlings, J Flexner and L Riley (eds), </w:t>
      </w:r>
      <w:hyperlink r:id="rId79" w:history="1">
        <w:r w:rsidR="00395967" w:rsidRPr="00E96855">
          <w:rPr>
            <w:rStyle w:val="Hyperlink"/>
            <w:rFonts w:cstheme="minorHAnsi"/>
            <w:i/>
            <w:sz w:val="18"/>
            <w:szCs w:val="18"/>
          </w:rPr>
          <w:t>Community-Led Research: Walking New Pathways Together</w:t>
        </w:r>
      </w:hyperlink>
      <w:r w:rsidR="00395967" w:rsidRPr="00E96855">
        <w:rPr>
          <w:rFonts w:cstheme="minorHAnsi"/>
          <w:sz w:val="18"/>
          <w:szCs w:val="18"/>
        </w:rPr>
        <w:t>, Sydney University Press, Sydney, 2021.</w:t>
      </w:r>
    </w:p>
  </w:footnote>
  <w:footnote w:id="121">
    <w:p w14:paraId="64E9A00E" w14:textId="77777777" w:rsidR="005F5864" w:rsidRPr="00E96855" w:rsidRDefault="005F5864" w:rsidP="005F5864">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Australian Institute of Health and Welfare (AIHW) and Australian Institute of Family Studies (AIFS), </w:t>
      </w:r>
      <w:hyperlink r:id="rId80" w:history="1">
        <w:r w:rsidRPr="00E96855">
          <w:rPr>
            <w:rStyle w:val="Hyperlink"/>
            <w:rFonts w:cstheme="minorHAnsi"/>
            <w:i/>
            <w:sz w:val="18"/>
            <w:szCs w:val="18"/>
          </w:rPr>
          <w:t>Education programs for Indigenous Australians about sexually transmitted infections and bloodborne viruses</w:t>
        </w:r>
      </w:hyperlink>
      <w:r w:rsidRPr="00E96855">
        <w:rPr>
          <w:rFonts w:cstheme="minorHAnsi"/>
          <w:i/>
          <w:sz w:val="18"/>
          <w:szCs w:val="18"/>
        </w:rPr>
        <w:t>,</w:t>
      </w:r>
      <w:r w:rsidRPr="00E96855">
        <w:rPr>
          <w:rFonts w:cstheme="minorHAnsi"/>
          <w:iCs/>
          <w:sz w:val="18"/>
          <w:szCs w:val="18"/>
        </w:rPr>
        <w:t xml:space="preserve"> AIHW and AIFS, Australian Government,</w:t>
      </w:r>
      <w:r w:rsidRPr="00E96855">
        <w:rPr>
          <w:rFonts w:cstheme="minorHAnsi"/>
          <w:sz w:val="18"/>
          <w:szCs w:val="18"/>
        </w:rPr>
        <w:t xml:space="preserve"> 2012, accessed 13 June 2023.</w:t>
      </w:r>
    </w:p>
  </w:footnote>
  <w:footnote w:id="122">
    <w:p w14:paraId="71AE2D86" w14:textId="77777777" w:rsidR="005F5864" w:rsidRPr="00E96855" w:rsidRDefault="005F5864" w:rsidP="005F5864">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S Rosenberg, R Lobo, J Hallett and M Roberts, </w:t>
      </w:r>
      <w:hyperlink r:id="rId81" w:history="1">
        <w:r w:rsidRPr="00E96855">
          <w:rPr>
            <w:rStyle w:val="Hyperlink"/>
            <w:rFonts w:cstheme="minorHAnsi"/>
            <w:i/>
            <w:iCs/>
            <w:sz w:val="18"/>
            <w:szCs w:val="18"/>
          </w:rPr>
          <w:t>An evidence review from Australia, Aotearoa/New Zealand and Canada for the WA Aboriginal Sexual Health and Blood-borne Viruses Strategy</w:t>
        </w:r>
      </w:hyperlink>
      <w:r w:rsidRPr="00E96855">
        <w:rPr>
          <w:rFonts w:cstheme="minorHAnsi"/>
          <w:sz w:val="18"/>
          <w:szCs w:val="18"/>
        </w:rPr>
        <w:t>,</w:t>
      </w:r>
      <w:r w:rsidRPr="00E96855">
        <w:rPr>
          <w:rFonts w:cstheme="minorHAnsi"/>
          <w:i/>
          <w:iCs/>
          <w:sz w:val="18"/>
          <w:szCs w:val="18"/>
        </w:rPr>
        <w:t xml:space="preserve"> </w:t>
      </w:r>
      <w:r w:rsidRPr="00E96855">
        <w:rPr>
          <w:rFonts w:cstheme="minorHAnsi"/>
          <w:sz w:val="18"/>
          <w:szCs w:val="18"/>
        </w:rPr>
        <w:t>Department of Health, Government of Western Australia, 2019, accessed 6 June 2023.</w:t>
      </w:r>
    </w:p>
  </w:footnote>
  <w:footnote w:id="123">
    <w:p w14:paraId="25BBBC6D" w14:textId="77777777" w:rsidR="005F5864" w:rsidRPr="00E96855" w:rsidRDefault="005F5864" w:rsidP="005F5864">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University of Southern Queensland (UniSQ), </w:t>
      </w:r>
      <w:hyperlink r:id="rId82" w:history="1">
        <w:r w:rsidRPr="00E96855">
          <w:rPr>
            <w:rStyle w:val="Hyperlink"/>
            <w:rFonts w:cstheme="minorHAnsi"/>
            <w:i/>
            <w:sz w:val="18"/>
            <w:szCs w:val="18"/>
          </w:rPr>
          <w:t>ARC project helps barley breeders in fight against disease</w:t>
        </w:r>
      </w:hyperlink>
      <w:r w:rsidRPr="00E96855">
        <w:rPr>
          <w:rFonts w:cstheme="minorHAnsi"/>
          <w:sz w:val="18"/>
          <w:szCs w:val="18"/>
        </w:rPr>
        <w:t>, UniSQ website, 2023, accessed 21 June 2023.</w:t>
      </w:r>
    </w:p>
  </w:footnote>
  <w:footnote w:id="124">
    <w:p w14:paraId="2E38725F" w14:textId="77777777" w:rsidR="005F5864" w:rsidRPr="00E96855" w:rsidRDefault="005F5864" w:rsidP="005F5864">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Australian Research Council (ARC), </w:t>
      </w:r>
      <w:hyperlink r:id="rId83" w:history="1">
        <w:r w:rsidRPr="00E96855">
          <w:rPr>
            <w:rStyle w:val="Hyperlink"/>
            <w:rFonts w:cstheme="minorHAnsi"/>
            <w:i/>
            <w:sz w:val="18"/>
            <w:szCs w:val="18"/>
          </w:rPr>
          <w:t>Research Management System - Funded Projects - Linkage Projects 2022 round 1</w:t>
        </w:r>
      </w:hyperlink>
      <w:r w:rsidRPr="00E96855">
        <w:rPr>
          <w:rStyle w:val="Hyperlink"/>
          <w:rFonts w:cstheme="minorHAnsi"/>
          <w:i/>
          <w:sz w:val="18"/>
          <w:szCs w:val="18"/>
        </w:rPr>
        <w:t>,</w:t>
      </w:r>
      <w:r w:rsidRPr="00E96855">
        <w:rPr>
          <w:rFonts w:cstheme="minorHAnsi"/>
          <w:sz w:val="18"/>
          <w:szCs w:val="18"/>
        </w:rPr>
        <w:t xml:space="preserve"> ARC website, 2022, accessed 21 June 2023.</w:t>
      </w:r>
    </w:p>
  </w:footnote>
  <w:footnote w:id="125">
    <w:p w14:paraId="1FE500BA" w14:textId="77777777" w:rsidR="005F5864" w:rsidRPr="00E96855" w:rsidRDefault="005F5864" w:rsidP="005F5864">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Australian National University (ANU), </w:t>
      </w:r>
      <w:hyperlink r:id="rId84" w:history="1">
        <w:r w:rsidRPr="00E96855">
          <w:rPr>
            <w:rStyle w:val="Hyperlink"/>
            <w:rFonts w:cstheme="minorHAnsi"/>
            <w:i/>
            <w:sz w:val="18"/>
            <w:szCs w:val="18"/>
          </w:rPr>
          <w:t>Indigenous Alumni</w:t>
        </w:r>
      </w:hyperlink>
      <w:r w:rsidRPr="00E96855">
        <w:rPr>
          <w:rFonts w:cstheme="minorHAnsi"/>
          <w:i/>
          <w:sz w:val="18"/>
          <w:szCs w:val="18"/>
        </w:rPr>
        <w:t>,</w:t>
      </w:r>
      <w:r w:rsidRPr="00E96855">
        <w:rPr>
          <w:rFonts w:cstheme="minorHAnsi"/>
          <w:sz w:val="18"/>
          <w:szCs w:val="18"/>
        </w:rPr>
        <w:t xml:space="preserve"> ANU Website, n.d., accessed 7 June 2023.</w:t>
      </w:r>
    </w:p>
  </w:footnote>
  <w:footnote w:id="126">
    <w:p w14:paraId="3C1AE308" w14:textId="5BD88750" w:rsidR="004800C7" w:rsidRPr="00E96855" w:rsidRDefault="004800C7">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13564A" w:rsidRPr="00E96855">
        <w:rPr>
          <w:rFonts w:cstheme="minorHAnsi"/>
          <w:sz w:val="18"/>
          <w:szCs w:val="18"/>
          <w:shd w:val="clear" w:color="auto" w:fill="FFFFFF"/>
        </w:rPr>
        <w:t xml:space="preserve">Times Higher Education (THE), </w:t>
      </w:r>
      <w:hyperlink r:id="rId85" w:history="1">
        <w:r w:rsidR="0013564A" w:rsidRPr="00E96855">
          <w:rPr>
            <w:rStyle w:val="Hyperlink"/>
            <w:rFonts w:cstheme="minorHAnsi"/>
            <w:i/>
            <w:iCs/>
            <w:sz w:val="18"/>
            <w:szCs w:val="18"/>
            <w:shd w:val="clear" w:color="auto" w:fill="FFFFFF"/>
          </w:rPr>
          <w:t>Impact Rankings 2023</w:t>
        </w:r>
      </w:hyperlink>
      <w:r w:rsidR="0013564A" w:rsidRPr="00E96855">
        <w:rPr>
          <w:rFonts w:cstheme="minorHAnsi"/>
          <w:i/>
          <w:iCs/>
          <w:sz w:val="18"/>
          <w:szCs w:val="18"/>
          <w:shd w:val="clear" w:color="auto" w:fill="FFFFFF"/>
        </w:rPr>
        <w:t>,</w:t>
      </w:r>
      <w:r w:rsidR="0013564A" w:rsidRPr="00E96855">
        <w:rPr>
          <w:rFonts w:cstheme="minorHAnsi"/>
          <w:sz w:val="18"/>
          <w:szCs w:val="18"/>
          <w:shd w:val="clear" w:color="auto" w:fill="FFFFFF"/>
        </w:rPr>
        <w:t xml:space="preserve"> THE website, n.d., accessed 7 June 2023</w:t>
      </w:r>
      <w:r w:rsidR="00675D5E" w:rsidRPr="00E96855">
        <w:rPr>
          <w:rFonts w:cstheme="minorHAnsi"/>
          <w:sz w:val="18"/>
          <w:szCs w:val="18"/>
        </w:rPr>
        <w:t>.</w:t>
      </w:r>
    </w:p>
  </w:footnote>
  <w:footnote w:id="127">
    <w:p w14:paraId="72D36492" w14:textId="50F68D21" w:rsidR="008B1A15" w:rsidRPr="00E96855" w:rsidRDefault="008B1A15" w:rsidP="008B1A15">
      <w:pPr>
        <w:shd w:val="clear" w:color="auto" w:fill="FFFFFF"/>
        <w:spacing w:after="0" w:line="240" w:lineRule="auto"/>
        <w:rPr>
          <w:rFonts w:eastAsia="Times New Roman" w:cstheme="minorHAnsi"/>
          <w:color w:val="000000"/>
          <w:sz w:val="18"/>
          <w:szCs w:val="18"/>
          <w:lang w:eastAsia="en-AU"/>
        </w:rPr>
      </w:pPr>
      <w:r w:rsidRPr="00E96855">
        <w:rPr>
          <w:rStyle w:val="FootnoteReference"/>
          <w:rFonts w:cstheme="minorHAnsi"/>
          <w:sz w:val="18"/>
          <w:szCs w:val="18"/>
        </w:rPr>
        <w:footnoteRef/>
      </w:r>
      <w:r w:rsidRPr="00E96855">
        <w:rPr>
          <w:rFonts w:cstheme="minorHAnsi"/>
          <w:sz w:val="18"/>
          <w:szCs w:val="18"/>
        </w:rPr>
        <w:t xml:space="preserve"> </w:t>
      </w:r>
      <w:r w:rsidR="006C241A" w:rsidRPr="00E96855">
        <w:rPr>
          <w:rFonts w:eastAsia="Times New Roman" w:cstheme="minorHAnsi"/>
          <w:color w:val="000000"/>
          <w:sz w:val="18"/>
          <w:szCs w:val="18"/>
          <w:lang w:eastAsia="en-AU"/>
        </w:rPr>
        <w:t xml:space="preserve">ABS, </w:t>
      </w:r>
      <w:hyperlink r:id="rId86" w:history="1">
        <w:r w:rsidR="006C241A" w:rsidRPr="00E96855">
          <w:rPr>
            <w:rFonts w:eastAsia="Times New Roman" w:cstheme="minorHAnsi"/>
            <w:i/>
            <w:iCs/>
            <w:color w:val="0563C1"/>
            <w:sz w:val="18"/>
            <w:szCs w:val="18"/>
            <w:u w:val="single"/>
            <w:lang w:eastAsia="en-AU"/>
          </w:rPr>
          <w:t>Research and Develop</w:t>
        </w:r>
        <w:bookmarkStart w:id="273" w:name="_Hlt138840947"/>
        <w:bookmarkStart w:id="274" w:name="_Hlt138840948"/>
        <w:r w:rsidR="006C241A" w:rsidRPr="00E96855">
          <w:rPr>
            <w:rFonts w:eastAsia="Times New Roman" w:cstheme="minorHAnsi"/>
            <w:i/>
            <w:iCs/>
            <w:color w:val="0563C1"/>
            <w:sz w:val="18"/>
            <w:szCs w:val="18"/>
            <w:u w:val="single"/>
            <w:lang w:eastAsia="en-AU"/>
          </w:rPr>
          <w:t>m</w:t>
        </w:r>
        <w:bookmarkEnd w:id="273"/>
        <w:bookmarkEnd w:id="274"/>
        <w:r w:rsidR="006C241A" w:rsidRPr="00E96855">
          <w:rPr>
            <w:rFonts w:eastAsia="Times New Roman" w:cstheme="minorHAnsi"/>
            <w:i/>
            <w:iCs/>
            <w:color w:val="0563C1"/>
            <w:sz w:val="18"/>
            <w:szCs w:val="18"/>
            <w:u w:val="single"/>
            <w:lang w:eastAsia="en-AU"/>
          </w:rPr>
          <w:t>ent (various)</w:t>
        </w:r>
      </w:hyperlink>
      <w:r w:rsidR="005A6CD3" w:rsidRPr="00E96855">
        <w:rPr>
          <w:rFonts w:eastAsia="Times New Roman" w:cstheme="minorHAnsi"/>
          <w:color w:val="000000"/>
          <w:sz w:val="18"/>
          <w:szCs w:val="18"/>
          <w:lang w:eastAsia="en-AU"/>
        </w:rPr>
        <w:t xml:space="preserve"> [data set],</w:t>
      </w:r>
      <w:r w:rsidR="006C241A" w:rsidRPr="00E96855">
        <w:rPr>
          <w:rFonts w:eastAsia="Times New Roman" w:cstheme="minorHAnsi"/>
          <w:color w:val="000000"/>
          <w:sz w:val="18"/>
          <w:szCs w:val="18"/>
          <w:lang w:eastAsia="en-AU"/>
        </w:rPr>
        <w:t xml:space="preserve"> </w:t>
      </w:r>
      <w:r w:rsidR="0064005C" w:rsidRPr="00E96855">
        <w:rPr>
          <w:rFonts w:eastAsia="Times New Roman" w:cstheme="minorHAnsi"/>
          <w:iCs/>
          <w:color w:val="000000"/>
          <w:sz w:val="18"/>
          <w:szCs w:val="18"/>
          <w:lang w:eastAsia="en-AU"/>
        </w:rPr>
        <w:t>abs.gov.au</w:t>
      </w:r>
      <w:r w:rsidR="006C241A" w:rsidRPr="00E96855">
        <w:rPr>
          <w:rFonts w:eastAsia="Times New Roman" w:cstheme="minorHAnsi"/>
          <w:i/>
          <w:color w:val="000000"/>
          <w:sz w:val="18"/>
          <w:szCs w:val="18"/>
          <w:lang w:eastAsia="en-AU"/>
        </w:rPr>
        <w:t xml:space="preserve">, </w:t>
      </w:r>
      <w:r w:rsidR="006C241A" w:rsidRPr="00E96855">
        <w:rPr>
          <w:rFonts w:eastAsia="Times New Roman" w:cstheme="minorHAnsi"/>
          <w:iCs/>
          <w:color w:val="000000"/>
          <w:sz w:val="18"/>
          <w:szCs w:val="18"/>
          <w:lang w:eastAsia="en-AU"/>
        </w:rPr>
        <w:t>2022,</w:t>
      </w:r>
      <w:r w:rsidR="006C241A" w:rsidRPr="00E96855">
        <w:rPr>
          <w:rFonts w:eastAsia="Times New Roman" w:cstheme="minorHAnsi"/>
          <w:i/>
          <w:color w:val="000000"/>
          <w:sz w:val="18"/>
          <w:szCs w:val="18"/>
          <w:lang w:eastAsia="en-AU"/>
        </w:rPr>
        <w:t xml:space="preserve"> </w:t>
      </w:r>
      <w:r w:rsidR="006C241A" w:rsidRPr="00E96855">
        <w:rPr>
          <w:rFonts w:eastAsia="Times New Roman" w:cstheme="minorHAnsi"/>
          <w:color w:val="000000"/>
          <w:sz w:val="18"/>
          <w:szCs w:val="18"/>
          <w:lang w:eastAsia="en-AU"/>
        </w:rPr>
        <w:t>accessed 7 June 2023.</w:t>
      </w:r>
    </w:p>
  </w:footnote>
  <w:footnote w:id="128">
    <w:p w14:paraId="32C6395D" w14:textId="2C531C83" w:rsidR="008B1A15" w:rsidRPr="00E96855" w:rsidRDefault="008B1A15" w:rsidP="008B1A15">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C87B14" w:rsidRPr="00E96855">
        <w:rPr>
          <w:rFonts w:cstheme="minorHAnsi"/>
          <w:sz w:val="18"/>
          <w:szCs w:val="18"/>
        </w:rPr>
        <w:t xml:space="preserve">DISR, </w:t>
      </w:r>
      <w:hyperlink r:id="rId87" w:history="1">
        <w:r w:rsidR="00C87B14" w:rsidRPr="00E96855">
          <w:rPr>
            <w:rStyle w:val="Hyperlink"/>
            <w:rFonts w:cstheme="minorHAnsi"/>
            <w:i/>
            <w:sz w:val="18"/>
            <w:szCs w:val="18"/>
          </w:rPr>
          <w:t>Science, research and innovation (SRI) budget tables 2022–23</w:t>
        </w:r>
      </w:hyperlink>
      <w:r w:rsidR="00C87B14" w:rsidRPr="00E96855">
        <w:rPr>
          <w:rFonts w:cstheme="minorHAnsi"/>
          <w:sz w:val="18"/>
          <w:szCs w:val="18"/>
        </w:rPr>
        <w:t xml:space="preserve"> [data set], industry.gov.au, 2023, accessed 8 June 2023</w:t>
      </w:r>
      <w:r w:rsidR="00B65D83" w:rsidRPr="00E96855">
        <w:rPr>
          <w:rFonts w:cstheme="minorHAnsi"/>
          <w:sz w:val="18"/>
          <w:szCs w:val="18"/>
        </w:rPr>
        <w:t>.</w:t>
      </w:r>
    </w:p>
  </w:footnote>
  <w:footnote w:id="129">
    <w:p w14:paraId="7993763B" w14:textId="723DB3F9" w:rsidR="008B1A15" w:rsidRPr="00E96855" w:rsidRDefault="008B1A15" w:rsidP="008B1A15">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DF3E9B" w:rsidRPr="00E96855">
        <w:rPr>
          <w:rFonts w:cstheme="minorHAnsi"/>
          <w:color w:val="000000"/>
          <w:sz w:val="18"/>
          <w:szCs w:val="18"/>
          <w:shd w:val="clear" w:color="auto" w:fill="FFFFFF"/>
        </w:rPr>
        <w:t xml:space="preserve">OECD, </w:t>
      </w:r>
      <w:hyperlink r:id="rId88" w:history="1">
        <w:r w:rsidR="00DF3E9B" w:rsidRPr="00E96855">
          <w:rPr>
            <w:rStyle w:val="Hyperlink"/>
            <w:rFonts w:cstheme="minorHAnsi"/>
            <w:i/>
            <w:sz w:val="18"/>
            <w:szCs w:val="18"/>
            <w:shd w:val="clear" w:color="auto" w:fill="FFFFFF"/>
          </w:rPr>
          <w:t xml:space="preserve">Main Science and Technology Indicators – Percentage of GERD performed by the Higher </w:t>
        </w:r>
        <w:bookmarkStart w:id="275" w:name="_Hlt138841167"/>
        <w:bookmarkStart w:id="276" w:name="_Hlt138841168"/>
        <w:r w:rsidR="00DF3E9B" w:rsidRPr="00E96855">
          <w:rPr>
            <w:rStyle w:val="Hyperlink"/>
            <w:rFonts w:cstheme="minorHAnsi"/>
            <w:i/>
            <w:sz w:val="18"/>
            <w:szCs w:val="18"/>
            <w:shd w:val="clear" w:color="auto" w:fill="FFFFFF"/>
          </w:rPr>
          <w:t>E</w:t>
        </w:r>
        <w:bookmarkEnd w:id="275"/>
        <w:bookmarkEnd w:id="276"/>
        <w:r w:rsidR="00DF3E9B" w:rsidRPr="00E96855">
          <w:rPr>
            <w:rStyle w:val="Hyperlink"/>
            <w:rFonts w:cstheme="minorHAnsi"/>
            <w:i/>
            <w:sz w:val="18"/>
            <w:szCs w:val="18"/>
            <w:shd w:val="clear" w:color="auto" w:fill="FFFFFF"/>
          </w:rPr>
          <w:t>ducation sector</w:t>
        </w:r>
      </w:hyperlink>
      <w:r w:rsidR="00DF3E9B" w:rsidRPr="00E96855">
        <w:rPr>
          <w:rFonts w:cstheme="minorHAnsi"/>
          <w:i/>
          <w:color w:val="000000"/>
          <w:sz w:val="18"/>
          <w:szCs w:val="18"/>
          <w:shd w:val="clear" w:color="auto" w:fill="FFFFFF"/>
        </w:rPr>
        <w:t xml:space="preserve"> </w:t>
      </w:r>
      <w:r w:rsidR="00DF3E9B" w:rsidRPr="00E96855">
        <w:rPr>
          <w:rFonts w:cstheme="minorHAnsi"/>
          <w:color w:val="000000"/>
          <w:sz w:val="18"/>
          <w:szCs w:val="18"/>
          <w:shd w:val="clear" w:color="auto" w:fill="FFFFFF"/>
        </w:rPr>
        <w:t>[data set], oecd.org, 2019, accessed 7 June 2023.</w:t>
      </w:r>
    </w:p>
  </w:footnote>
  <w:footnote w:id="130">
    <w:p w14:paraId="292BA048" w14:textId="7CC87841" w:rsidR="008B1A15" w:rsidRPr="00E96855" w:rsidRDefault="008B1A15" w:rsidP="008B1A15">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842469" w:rsidRPr="00E96855">
        <w:rPr>
          <w:rFonts w:cstheme="minorHAnsi"/>
          <w:sz w:val="18"/>
          <w:szCs w:val="18"/>
        </w:rPr>
        <w:t xml:space="preserve">DISR, </w:t>
      </w:r>
      <w:hyperlink r:id="rId89" w:history="1">
        <w:r w:rsidR="00842469" w:rsidRPr="00E96855">
          <w:rPr>
            <w:rStyle w:val="Hyperlink"/>
            <w:rFonts w:cstheme="minorHAnsi"/>
            <w:i/>
            <w:iCs/>
            <w:sz w:val="18"/>
            <w:szCs w:val="18"/>
          </w:rPr>
          <w:t>Australia</w:t>
        </w:r>
        <w:bookmarkStart w:id="277" w:name="_Hlt138841331"/>
        <w:bookmarkStart w:id="278" w:name="_Hlt138841332"/>
        <w:r w:rsidR="00842469" w:rsidRPr="00E96855">
          <w:rPr>
            <w:rStyle w:val="Hyperlink"/>
            <w:rFonts w:cstheme="minorHAnsi"/>
            <w:i/>
            <w:iCs/>
            <w:sz w:val="18"/>
            <w:szCs w:val="18"/>
          </w:rPr>
          <w:t>n</w:t>
        </w:r>
        <w:bookmarkEnd w:id="277"/>
        <w:bookmarkEnd w:id="278"/>
        <w:r w:rsidR="00842469" w:rsidRPr="00E96855">
          <w:rPr>
            <w:rStyle w:val="Hyperlink"/>
            <w:rFonts w:cstheme="minorHAnsi"/>
            <w:i/>
            <w:iCs/>
            <w:sz w:val="18"/>
            <w:szCs w:val="18"/>
          </w:rPr>
          <w:t xml:space="preserve"> Innovation System Monitor</w:t>
        </w:r>
      </w:hyperlink>
      <w:r w:rsidR="00842469" w:rsidRPr="00E96855">
        <w:rPr>
          <w:rFonts w:cstheme="minorHAnsi"/>
          <w:sz w:val="18"/>
          <w:szCs w:val="18"/>
        </w:rPr>
        <w:t>, DISR, 2021, accessed 15 June 2023.</w:t>
      </w:r>
    </w:p>
  </w:footnote>
  <w:footnote w:id="131">
    <w:p w14:paraId="09B0C4E6" w14:textId="7313F34E" w:rsidR="008B1A15" w:rsidRPr="00E96855" w:rsidRDefault="008B1A15" w:rsidP="008B1A15">
      <w:pPr>
        <w:spacing w:after="0"/>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EF27B2" w:rsidRPr="00E96855">
        <w:rPr>
          <w:rFonts w:cstheme="minorHAnsi"/>
          <w:sz w:val="18"/>
          <w:szCs w:val="18"/>
        </w:rPr>
        <w:t xml:space="preserve">Department of Education, </w:t>
      </w:r>
      <w:hyperlink r:id="rId90" w:history="1">
        <w:r w:rsidR="00EF27B2" w:rsidRPr="00E96855">
          <w:rPr>
            <w:rStyle w:val="Hyperlink"/>
            <w:rFonts w:cstheme="minorHAnsi"/>
            <w:i/>
            <w:sz w:val="18"/>
            <w:szCs w:val="18"/>
          </w:rPr>
          <w:t>Research inco</w:t>
        </w:r>
        <w:bookmarkStart w:id="279" w:name="_Hlt138841377"/>
        <w:bookmarkStart w:id="280" w:name="_Hlt138841378"/>
        <w:r w:rsidR="00EF27B2" w:rsidRPr="00E96855">
          <w:rPr>
            <w:rStyle w:val="Hyperlink"/>
            <w:rFonts w:cstheme="minorHAnsi"/>
            <w:i/>
            <w:sz w:val="18"/>
            <w:szCs w:val="18"/>
          </w:rPr>
          <w:t>m</w:t>
        </w:r>
        <w:bookmarkEnd w:id="279"/>
        <w:bookmarkEnd w:id="280"/>
        <w:r w:rsidR="00EF27B2" w:rsidRPr="00E96855">
          <w:rPr>
            <w:rStyle w:val="Hyperlink"/>
            <w:rFonts w:cstheme="minorHAnsi"/>
            <w:i/>
            <w:sz w:val="18"/>
            <w:szCs w:val="18"/>
          </w:rPr>
          <w:t>e time series</w:t>
        </w:r>
      </w:hyperlink>
      <w:r w:rsidR="00EF27B2" w:rsidRPr="00E96855">
        <w:rPr>
          <w:rFonts w:cstheme="minorHAnsi"/>
          <w:sz w:val="18"/>
          <w:szCs w:val="18"/>
        </w:rPr>
        <w:t xml:space="preserve"> [data set], education.gov.au, 2022, accessed 9 June 2023</w:t>
      </w:r>
      <w:r w:rsidRPr="00E96855">
        <w:rPr>
          <w:rFonts w:cstheme="minorHAnsi"/>
          <w:sz w:val="18"/>
          <w:szCs w:val="18"/>
        </w:rPr>
        <w:t>.</w:t>
      </w:r>
    </w:p>
  </w:footnote>
  <w:footnote w:id="132">
    <w:p w14:paraId="5D7E5DC1" w14:textId="6C0ACF65" w:rsidR="008B1A15" w:rsidRPr="00E96855" w:rsidRDefault="008B1A15" w:rsidP="008B1A15">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DD777E" w:rsidRPr="00E96855">
        <w:rPr>
          <w:rFonts w:cstheme="minorHAnsi"/>
          <w:sz w:val="18"/>
          <w:szCs w:val="18"/>
        </w:rPr>
        <w:t xml:space="preserve">World Intellectual Property Organisation (WIPO), </w:t>
      </w:r>
      <w:hyperlink r:id="rId91" w:history="1">
        <w:r w:rsidR="00DD777E" w:rsidRPr="00E96855">
          <w:rPr>
            <w:rStyle w:val="Hyperlink"/>
            <w:rFonts w:cstheme="minorHAnsi"/>
            <w:i/>
            <w:iCs/>
            <w:sz w:val="18"/>
            <w:szCs w:val="18"/>
          </w:rPr>
          <w:t>Global Innov</w:t>
        </w:r>
        <w:bookmarkStart w:id="281" w:name="_Hlt138841399"/>
        <w:bookmarkStart w:id="282" w:name="_Hlt138841400"/>
        <w:r w:rsidR="00DD777E" w:rsidRPr="00E96855">
          <w:rPr>
            <w:rStyle w:val="Hyperlink"/>
            <w:rFonts w:cstheme="minorHAnsi"/>
            <w:i/>
            <w:iCs/>
            <w:sz w:val="18"/>
            <w:szCs w:val="18"/>
          </w:rPr>
          <w:t>a</w:t>
        </w:r>
        <w:bookmarkEnd w:id="281"/>
        <w:bookmarkEnd w:id="282"/>
        <w:r w:rsidR="00DD777E" w:rsidRPr="00E96855">
          <w:rPr>
            <w:rStyle w:val="Hyperlink"/>
            <w:rFonts w:cstheme="minorHAnsi"/>
            <w:i/>
            <w:iCs/>
            <w:sz w:val="18"/>
            <w:szCs w:val="18"/>
          </w:rPr>
          <w:t>tion Index 2022</w:t>
        </w:r>
      </w:hyperlink>
      <w:r w:rsidR="00DD777E" w:rsidRPr="00E96855">
        <w:rPr>
          <w:rFonts w:cstheme="minorHAnsi"/>
          <w:i/>
          <w:iCs/>
          <w:sz w:val="18"/>
          <w:szCs w:val="18"/>
        </w:rPr>
        <w:t>,</w:t>
      </w:r>
      <w:r w:rsidR="00DD777E" w:rsidRPr="00E96855">
        <w:rPr>
          <w:rFonts w:cstheme="minorHAnsi"/>
          <w:sz w:val="18"/>
          <w:szCs w:val="18"/>
        </w:rPr>
        <w:t xml:space="preserve"> WIPO, 2022, accessed 9 June 2023.</w:t>
      </w:r>
    </w:p>
  </w:footnote>
  <w:footnote w:id="133">
    <w:p w14:paraId="53DFA9C7" w14:textId="662DF7EE" w:rsidR="008B1A15" w:rsidRPr="00E96855" w:rsidRDefault="008B1A15" w:rsidP="008B1A15">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943D52" w:rsidRPr="00E96855">
        <w:rPr>
          <w:rFonts w:cstheme="minorHAnsi"/>
          <w:sz w:val="18"/>
          <w:szCs w:val="18"/>
        </w:rPr>
        <w:t xml:space="preserve">DISR, </w:t>
      </w:r>
      <w:r w:rsidR="00943D52" w:rsidRPr="00E96855">
        <w:rPr>
          <w:rFonts w:cstheme="minorHAnsi"/>
          <w:i/>
          <w:sz w:val="18"/>
          <w:szCs w:val="18"/>
        </w:rPr>
        <w:t>SRI budget tables 2022–23.</w:t>
      </w:r>
    </w:p>
  </w:footnote>
  <w:footnote w:id="134">
    <w:p w14:paraId="63ACE18D" w14:textId="6881B3B1" w:rsidR="0018400A" w:rsidRPr="00E96855" w:rsidRDefault="0018400A" w:rsidP="00D90653">
      <w:pPr>
        <w:spacing w:after="0"/>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606DE3" w:rsidRPr="00E96855">
        <w:rPr>
          <w:rFonts w:cstheme="minorHAnsi"/>
          <w:sz w:val="18"/>
          <w:szCs w:val="18"/>
        </w:rPr>
        <w:t xml:space="preserve">T Cutler, </w:t>
      </w:r>
      <w:hyperlink r:id="rId92" w:history="1">
        <w:r w:rsidR="00606DE3" w:rsidRPr="00E96855">
          <w:rPr>
            <w:rStyle w:val="Hyperlink"/>
            <w:rFonts w:cstheme="minorHAnsi"/>
            <w:i/>
            <w:iCs/>
            <w:sz w:val="18"/>
            <w:szCs w:val="18"/>
          </w:rPr>
          <w:t>Alliances for innovation and economic development: the Australian experience</w:t>
        </w:r>
        <w:r w:rsidR="00606DE3" w:rsidRPr="00E96855">
          <w:rPr>
            <w:rStyle w:val="Hyperlink"/>
            <w:rFonts w:cstheme="minorHAnsi"/>
            <w:i/>
            <w:iCs/>
            <w:color w:val="auto"/>
            <w:sz w:val="18"/>
            <w:szCs w:val="18"/>
            <w:u w:val="none"/>
          </w:rPr>
          <w:t xml:space="preserve"> </w:t>
        </w:r>
        <w:r w:rsidR="00606DE3" w:rsidRPr="00E96855">
          <w:rPr>
            <w:rStyle w:val="Hyperlink"/>
            <w:rFonts w:cstheme="minorHAnsi"/>
            <w:color w:val="auto"/>
            <w:sz w:val="18"/>
            <w:szCs w:val="18"/>
            <w:u w:val="none"/>
          </w:rPr>
          <w:t>[PDF]</w:t>
        </w:r>
      </w:hyperlink>
      <w:r w:rsidR="00606DE3" w:rsidRPr="00E96855">
        <w:rPr>
          <w:rFonts w:cstheme="minorHAnsi"/>
          <w:i/>
          <w:iCs/>
          <w:sz w:val="18"/>
          <w:szCs w:val="18"/>
        </w:rPr>
        <w:t>,</w:t>
      </w:r>
      <w:r w:rsidR="00606DE3" w:rsidRPr="00E96855">
        <w:rPr>
          <w:rFonts w:cstheme="minorHAnsi"/>
          <w:sz w:val="18"/>
          <w:szCs w:val="18"/>
        </w:rPr>
        <w:t xml:space="preserve"> Cutler &amp; Company, 2008, accessed 9 June 2023.</w:t>
      </w:r>
    </w:p>
  </w:footnote>
  <w:footnote w:id="135">
    <w:p w14:paraId="46810A04" w14:textId="679D21D4" w:rsidR="008B1A15" w:rsidRPr="00E96855" w:rsidRDefault="008B1A15" w:rsidP="008B1A15">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E75DC1" w:rsidRPr="00E96855">
        <w:rPr>
          <w:rFonts w:cstheme="minorHAnsi"/>
          <w:sz w:val="18"/>
          <w:szCs w:val="18"/>
        </w:rPr>
        <w:t xml:space="preserve">Department of Education, </w:t>
      </w:r>
      <w:r w:rsidR="00E75DC1" w:rsidRPr="00E96855">
        <w:rPr>
          <w:rFonts w:cstheme="minorHAnsi"/>
          <w:i/>
          <w:sz w:val="18"/>
          <w:szCs w:val="18"/>
        </w:rPr>
        <w:t>Rese</w:t>
      </w:r>
      <w:bookmarkStart w:id="290" w:name="_Hlt138846560"/>
      <w:bookmarkStart w:id="291" w:name="_Hlt138846561"/>
      <w:r w:rsidR="00E75DC1" w:rsidRPr="00E96855">
        <w:rPr>
          <w:rFonts w:cstheme="minorHAnsi"/>
          <w:i/>
          <w:sz w:val="18"/>
          <w:szCs w:val="18"/>
        </w:rPr>
        <w:t>a</w:t>
      </w:r>
      <w:bookmarkEnd w:id="290"/>
      <w:bookmarkEnd w:id="291"/>
      <w:r w:rsidR="00E75DC1" w:rsidRPr="00E96855">
        <w:rPr>
          <w:rFonts w:cstheme="minorHAnsi"/>
          <w:i/>
          <w:sz w:val="18"/>
          <w:szCs w:val="18"/>
        </w:rPr>
        <w:t xml:space="preserve">rch </w:t>
      </w:r>
      <w:r w:rsidR="00B004E1" w:rsidRPr="00E96855">
        <w:rPr>
          <w:rFonts w:cstheme="minorHAnsi"/>
          <w:i/>
          <w:sz w:val="18"/>
          <w:szCs w:val="18"/>
        </w:rPr>
        <w:t>i</w:t>
      </w:r>
      <w:r w:rsidR="00E75DC1" w:rsidRPr="00E96855">
        <w:rPr>
          <w:rFonts w:cstheme="minorHAnsi"/>
          <w:i/>
          <w:sz w:val="18"/>
          <w:szCs w:val="18"/>
        </w:rPr>
        <w:t>ncom</w:t>
      </w:r>
      <w:bookmarkStart w:id="292" w:name="_Hlt138846647"/>
      <w:bookmarkStart w:id="293" w:name="_Hlt138846648"/>
      <w:r w:rsidR="00E75DC1" w:rsidRPr="00E96855">
        <w:rPr>
          <w:rFonts w:cstheme="minorHAnsi"/>
          <w:i/>
          <w:sz w:val="18"/>
          <w:szCs w:val="18"/>
        </w:rPr>
        <w:t>e</w:t>
      </w:r>
      <w:bookmarkEnd w:id="292"/>
      <w:bookmarkEnd w:id="293"/>
      <w:r w:rsidR="00E75DC1" w:rsidRPr="00E96855">
        <w:rPr>
          <w:rFonts w:cstheme="minorHAnsi"/>
          <w:i/>
          <w:sz w:val="18"/>
          <w:szCs w:val="18"/>
        </w:rPr>
        <w:t xml:space="preserve"> </w:t>
      </w:r>
      <w:r w:rsidR="00B004E1" w:rsidRPr="00E96855">
        <w:rPr>
          <w:rFonts w:cstheme="minorHAnsi"/>
          <w:i/>
          <w:sz w:val="18"/>
          <w:szCs w:val="18"/>
        </w:rPr>
        <w:t>t</w:t>
      </w:r>
      <w:r w:rsidR="00E75DC1" w:rsidRPr="00E96855">
        <w:rPr>
          <w:rFonts w:cstheme="minorHAnsi"/>
          <w:i/>
          <w:sz w:val="18"/>
          <w:szCs w:val="18"/>
        </w:rPr>
        <w:t>imeseries</w:t>
      </w:r>
      <w:r w:rsidRPr="00E96855">
        <w:rPr>
          <w:rFonts w:cstheme="minorHAnsi"/>
          <w:sz w:val="18"/>
          <w:szCs w:val="18"/>
        </w:rPr>
        <w:t xml:space="preserve">. </w:t>
      </w:r>
    </w:p>
  </w:footnote>
  <w:footnote w:id="136">
    <w:p w14:paraId="5F6A034F" w14:textId="00EF4BF3" w:rsidR="008B1A15" w:rsidRPr="00E96855" w:rsidRDefault="008B1A15" w:rsidP="008B1A15">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9D7EF8" w:rsidRPr="00E96855">
        <w:rPr>
          <w:rFonts w:cstheme="minorHAnsi"/>
          <w:sz w:val="18"/>
          <w:szCs w:val="18"/>
        </w:rPr>
        <w:t xml:space="preserve">ABS, </w:t>
      </w:r>
      <w:hyperlink r:id="rId93" w:history="1">
        <w:r w:rsidR="009D7EF8" w:rsidRPr="00E96855">
          <w:rPr>
            <w:rStyle w:val="Hyperlink"/>
            <w:rFonts w:cstheme="minorHAnsi"/>
            <w:i/>
            <w:sz w:val="18"/>
            <w:szCs w:val="18"/>
          </w:rPr>
          <w:t>Research and Experimental Development</w:t>
        </w:r>
      </w:hyperlink>
      <w:r w:rsidR="009D7EF8" w:rsidRPr="00E96855">
        <w:rPr>
          <w:rFonts w:cstheme="minorHAnsi"/>
          <w:sz w:val="18"/>
          <w:szCs w:val="18"/>
        </w:rPr>
        <w:t>, ABS website, 2022, accessed 8 June 2023</w:t>
      </w:r>
      <w:r w:rsidRPr="00E96855">
        <w:rPr>
          <w:rFonts w:cstheme="minorHAnsi"/>
          <w:sz w:val="18"/>
          <w:szCs w:val="18"/>
        </w:rPr>
        <w:t xml:space="preserve">. </w:t>
      </w:r>
    </w:p>
  </w:footnote>
  <w:footnote w:id="137">
    <w:p w14:paraId="010DCEF6" w14:textId="3C225D45" w:rsidR="008B1A15" w:rsidRPr="00E96855" w:rsidRDefault="008B1A15" w:rsidP="008B1A15">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120F92" w:rsidRPr="00E96855">
        <w:rPr>
          <w:rFonts w:cstheme="minorHAnsi"/>
          <w:sz w:val="18"/>
          <w:szCs w:val="18"/>
        </w:rPr>
        <w:t xml:space="preserve">Department of Education, </w:t>
      </w:r>
      <w:r w:rsidR="00120F92" w:rsidRPr="00E96855">
        <w:rPr>
          <w:rFonts w:cstheme="minorHAnsi"/>
          <w:i/>
          <w:sz w:val="18"/>
          <w:szCs w:val="18"/>
        </w:rPr>
        <w:t>Domestic PhD student enrolments (by equity group)</w:t>
      </w:r>
      <w:r w:rsidR="00120F92" w:rsidRPr="00E96855">
        <w:rPr>
          <w:rFonts w:cstheme="minorHAnsi"/>
          <w:sz w:val="18"/>
          <w:szCs w:val="18"/>
        </w:rPr>
        <w:t xml:space="preserve"> [unpublished data], Department of Education, Canberra, 2023</w:t>
      </w:r>
      <w:r w:rsidRPr="00E96855">
        <w:rPr>
          <w:rFonts w:cstheme="minorHAnsi"/>
          <w:sz w:val="18"/>
          <w:szCs w:val="18"/>
        </w:rPr>
        <w:t xml:space="preserve">. </w:t>
      </w:r>
    </w:p>
  </w:footnote>
  <w:footnote w:id="138">
    <w:p w14:paraId="09C95E01" w14:textId="6BF62DFC" w:rsidR="008B1A15" w:rsidRPr="00E96855" w:rsidRDefault="008B1A15" w:rsidP="008B1A15">
      <w:pPr>
        <w:pStyle w:val="FootnoteText"/>
        <w:rPr>
          <w:rFonts w:cstheme="minorHAnsi"/>
          <w: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FB0022" w:rsidRPr="00E96855">
        <w:rPr>
          <w:rFonts w:cstheme="minorHAnsi"/>
          <w:sz w:val="18"/>
          <w:szCs w:val="18"/>
        </w:rPr>
        <w:t xml:space="preserve">Department of Education, </w:t>
      </w:r>
      <w:r w:rsidR="00FB0022" w:rsidRPr="00E96855">
        <w:rPr>
          <w:rFonts w:cstheme="minorHAnsi"/>
          <w:i/>
          <w:sz w:val="18"/>
          <w:szCs w:val="18"/>
        </w:rPr>
        <w:t xml:space="preserve">Higher Education Statistics – 2021 Student </w:t>
      </w:r>
      <w:r w:rsidR="00146BCA" w:rsidRPr="00E96855">
        <w:rPr>
          <w:rFonts w:cstheme="minorHAnsi"/>
          <w:i/>
          <w:sz w:val="18"/>
          <w:szCs w:val="18"/>
        </w:rPr>
        <w:t>Data</w:t>
      </w:r>
      <w:r w:rsidR="00FB0022" w:rsidRPr="00E96855">
        <w:rPr>
          <w:rFonts w:cstheme="minorHAnsi"/>
          <w:sz w:val="18"/>
          <w:szCs w:val="18"/>
        </w:rPr>
        <w:t>.</w:t>
      </w:r>
    </w:p>
  </w:footnote>
  <w:footnote w:id="139">
    <w:p w14:paraId="0D280D68" w14:textId="5A0C613F" w:rsidR="008B1A15" w:rsidRPr="00E96855" w:rsidRDefault="008B1A15" w:rsidP="008B1A15">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0F1814" w:rsidRPr="00E96855">
        <w:rPr>
          <w:rFonts w:cstheme="minorHAnsi"/>
          <w:sz w:val="18"/>
          <w:szCs w:val="18"/>
        </w:rPr>
        <w:t xml:space="preserve">Department of Education, </w:t>
      </w:r>
      <w:r w:rsidR="000F1814" w:rsidRPr="00E96855">
        <w:rPr>
          <w:rFonts w:cstheme="minorHAnsi"/>
          <w:i/>
          <w:sz w:val="18"/>
          <w:szCs w:val="18"/>
        </w:rPr>
        <w:t>Domestic PhD student enrolments</w:t>
      </w:r>
      <w:r w:rsidR="000F1814" w:rsidRPr="00E96855">
        <w:rPr>
          <w:rFonts w:cstheme="minorHAnsi"/>
          <w:sz w:val="18"/>
          <w:szCs w:val="18"/>
        </w:rPr>
        <w:t xml:space="preserve"> </w:t>
      </w:r>
      <w:r w:rsidR="000F1814" w:rsidRPr="00E96855">
        <w:rPr>
          <w:rFonts w:cstheme="minorHAnsi"/>
          <w:i/>
          <w:sz w:val="18"/>
          <w:szCs w:val="18"/>
        </w:rPr>
        <w:t xml:space="preserve">(by equity groups) </w:t>
      </w:r>
      <w:r w:rsidR="000F1814" w:rsidRPr="00E96855">
        <w:rPr>
          <w:rFonts w:cstheme="minorHAnsi"/>
          <w:iCs/>
          <w:sz w:val="18"/>
          <w:szCs w:val="18"/>
        </w:rPr>
        <w:t>[unpublished data]</w:t>
      </w:r>
      <w:r w:rsidRPr="00E96855">
        <w:rPr>
          <w:rFonts w:cstheme="minorHAnsi"/>
          <w:sz w:val="18"/>
          <w:szCs w:val="18"/>
        </w:rPr>
        <w:t>.</w:t>
      </w:r>
    </w:p>
  </w:footnote>
  <w:footnote w:id="140">
    <w:p w14:paraId="549700DF" w14:textId="3DF5159C" w:rsidR="008B1A15" w:rsidRPr="00E96855" w:rsidRDefault="008B1A15" w:rsidP="008B1A15">
      <w:pPr>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0401B8" w:rsidRPr="00E96855">
        <w:rPr>
          <w:rFonts w:cstheme="minorHAnsi"/>
          <w:color w:val="444444"/>
          <w:sz w:val="18"/>
          <w:szCs w:val="18"/>
          <w:shd w:val="clear" w:color="auto" w:fill="FFFFFF"/>
        </w:rPr>
        <w:t xml:space="preserve">M Sheil, S Dodds and M Hutchinson, </w:t>
      </w:r>
      <w:hyperlink r:id="rId94" w:history="1">
        <w:r w:rsidR="000401B8" w:rsidRPr="00E96855">
          <w:rPr>
            <w:rStyle w:val="Hyperlink"/>
            <w:rFonts w:cstheme="minorHAnsi"/>
            <w:i/>
            <w:iCs/>
            <w:sz w:val="18"/>
            <w:szCs w:val="18"/>
            <w:shd w:val="clear" w:color="auto" w:fill="FFFFFF"/>
          </w:rPr>
          <w:t>Trusting Australia’s Ability: Review of the Australian Research Council Act 2001</w:t>
        </w:r>
      </w:hyperlink>
      <w:r w:rsidR="000401B8" w:rsidRPr="00E96855">
        <w:rPr>
          <w:rFonts w:cstheme="minorHAnsi"/>
          <w:color w:val="444444"/>
          <w:sz w:val="18"/>
          <w:szCs w:val="18"/>
          <w:shd w:val="clear" w:color="auto" w:fill="FFFFFF"/>
        </w:rPr>
        <w:t>,</w:t>
      </w:r>
      <w:r w:rsidR="000401B8" w:rsidRPr="00E96855">
        <w:rPr>
          <w:rFonts w:cstheme="minorHAnsi"/>
          <w:i/>
          <w:color w:val="444444"/>
          <w:sz w:val="18"/>
          <w:szCs w:val="18"/>
          <w:shd w:val="clear" w:color="auto" w:fill="FFFFFF"/>
        </w:rPr>
        <w:t xml:space="preserve"> </w:t>
      </w:r>
      <w:r w:rsidR="000401B8" w:rsidRPr="00E96855">
        <w:rPr>
          <w:rFonts w:cstheme="minorHAnsi"/>
          <w:color w:val="444444"/>
          <w:sz w:val="18"/>
          <w:szCs w:val="18"/>
          <w:shd w:val="clear" w:color="auto" w:fill="FFFFFF"/>
        </w:rPr>
        <w:t>Australian Government, 2023, accessed 9 June 2023.</w:t>
      </w:r>
    </w:p>
  </w:footnote>
  <w:footnote w:id="141">
    <w:p w14:paraId="1586B244" w14:textId="77777777" w:rsidR="005F5864" w:rsidRPr="00E96855" w:rsidRDefault="005F5864" w:rsidP="005F5864">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Tasmanian Government and University of Tasmania, </w:t>
      </w:r>
      <w:hyperlink r:id="rId95" w:history="1">
        <w:r w:rsidRPr="00E96855">
          <w:rPr>
            <w:rStyle w:val="Hyperlink"/>
            <w:rFonts w:cstheme="minorHAnsi"/>
            <w:i/>
            <w:iCs/>
            <w:sz w:val="18"/>
            <w:szCs w:val="18"/>
          </w:rPr>
          <w:t>State of Tasmania and University of Tasmania - Making the Future Partnership</w:t>
        </w:r>
      </w:hyperlink>
      <w:r w:rsidRPr="00E96855">
        <w:rPr>
          <w:rFonts w:cstheme="minorHAnsi"/>
          <w:sz w:val="18"/>
          <w:szCs w:val="18"/>
        </w:rPr>
        <w:t xml:space="preserve">, Department of Premier and Cabinet, Tasmanian Government, 2015, accessed 7 June 2023; Fishing Tasmania, </w:t>
      </w:r>
      <w:hyperlink r:id="rId96" w:history="1">
        <w:r w:rsidRPr="00E96855">
          <w:rPr>
            <w:rStyle w:val="Hyperlink"/>
            <w:rFonts w:cstheme="minorHAnsi"/>
            <w:i/>
            <w:iCs/>
            <w:sz w:val="18"/>
            <w:szCs w:val="18"/>
          </w:rPr>
          <w:t>Sustainable research agreement renewed</w:t>
        </w:r>
      </w:hyperlink>
      <w:r w:rsidRPr="00E96855">
        <w:rPr>
          <w:rFonts w:cstheme="minorHAnsi"/>
          <w:sz w:val="18"/>
          <w:szCs w:val="18"/>
        </w:rPr>
        <w:t>, Fishing Tasmania website, 2023, accessed 7 June 2023.</w:t>
      </w:r>
    </w:p>
  </w:footnote>
  <w:footnote w:id="142">
    <w:p w14:paraId="3E3765AE" w14:textId="75456F97" w:rsidR="008B1A15" w:rsidRPr="00E96855" w:rsidRDefault="008B1A15" w:rsidP="008B1A15">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F05A97" w:rsidRPr="00E96855">
        <w:rPr>
          <w:rFonts w:cstheme="minorHAnsi"/>
          <w:sz w:val="18"/>
          <w:szCs w:val="18"/>
        </w:rPr>
        <w:t>Productivity Commission,</w:t>
      </w:r>
      <w:r w:rsidR="00F05A97" w:rsidRPr="00E96855">
        <w:rPr>
          <w:rFonts w:cstheme="minorHAnsi"/>
          <w:i/>
          <w:sz w:val="18"/>
          <w:szCs w:val="18"/>
        </w:rPr>
        <w:t xml:space="preserve"> 5-Year Productivity Inquiry: Advancing Prosperity. Recommendations and Reform Directives</w:t>
      </w:r>
      <w:r w:rsidR="00F05A97" w:rsidRPr="00E96855">
        <w:rPr>
          <w:rFonts w:cstheme="minorHAnsi"/>
          <w:sz w:val="18"/>
          <w:szCs w:val="18"/>
        </w:rPr>
        <w:t>.</w:t>
      </w:r>
    </w:p>
  </w:footnote>
  <w:footnote w:id="143">
    <w:p w14:paraId="6E449B33" w14:textId="7371EA9E" w:rsidR="008B1A15" w:rsidRPr="00E96855" w:rsidRDefault="008B1A15" w:rsidP="008B1A15">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B004E1" w:rsidRPr="00E96855">
        <w:rPr>
          <w:rFonts w:cstheme="minorHAnsi"/>
          <w:sz w:val="18"/>
          <w:szCs w:val="18"/>
        </w:rPr>
        <w:t xml:space="preserve">Department of Education, </w:t>
      </w:r>
      <w:r w:rsidR="00B004E1" w:rsidRPr="00E96855">
        <w:rPr>
          <w:rFonts w:cstheme="minorHAnsi"/>
          <w:i/>
          <w:sz w:val="18"/>
          <w:szCs w:val="18"/>
        </w:rPr>
        <w:t>Research income timeseries</w:t>
      </w:r>
      <w:r w:rsidR="00B004E1" w:rsidRPr="00E96855">
        <w:rPr>
          <w:rFonts w:cstheme="minorHAnsi"/>
          <w:sz w:val="18"/>
          <w:szCs w:val="18"/>
        </w:rPr>
        <w:t xml:space="preserve">. </w:t>
      </w:r>
    </w:p>
  </w:footnote>
  <w:footnote w:id="144">
    <w:p w14:paraId="3CD45A55" w14:textId="77777777" w:rsidR="005F5864" w:rsidRPr="00E96855" w:rsidRDefault="005F5864" w:rsidP="005F5864">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National Institutes of Health (NIH), </w:t>
      </w:r>
      <w:hyperlink r:id="rId97" w:history="1">
        <w:r w:rsidRPr="00E96855">
          <w:rPr>
            <w:rStyle w:val="Hyperlink"/>
            <w:rFonts w:cstheme="minorHAnsi"/>
            <w:i/>
            <w:iCs/>
            <w:sz w:val="18"/>
            <w:szCs w:val="18"/>
          </w:rPr>
          <w:t>Strengthening the Biomedical Research Workforce</w:t>
        </w:r>
      </w:hyperlink>
      <w:r w:rsidRPr="00E96855">
        <w:rPr>
          <w:rFonts w:cstheme="minorHAnsi"/>
          <w:i/>
          <w:iCs/>
          <w:sz w:val="18"/>
          <w:szCs w:val="18"/>
        </w:rPr>
        <w:t>,</w:t>
      </w:r>
      <w:r w:rsidRPr="00E96855">
        <w:rPr>
          <w:rFonts w:cstheme="minorHAnsi"/>
          <w:sz w:val="18"/>
          <w:szCs w:val="18"/>
        </w:rPr>
        <w:t xml:space="preserve"> NIH website, 2021, accessed 7 June 2023; D Chatterjee, JK Ford, JW Rojewski and SW Watts, ‘Broadening Experiences in Scientific Training (BEST): Do biomedical faculty members want institutional help?’, </w:t>
      </w:r>
      <w:r w:rsidRPr="00E96855">
        <w:rPr>
          <w:rFonts w:cstheme="minorHAnsi"/>
          <w:i/>
          <w:sz w:val="18"/>
          <w:szCs w:val="18"/>
        </w:rPr>
        <w:t xml:space="preserve">SN Social </w:t>
      </w:r>
      <w:r w:rsidRPr="00E96855">
        <w:rPr>
          <w:rFonts w:cstheme="minorHAnsi"/>
          <w:i/>
          <w:iCs/>
          <w:sz w:val="18"/>
          <w:szCs w:val="18"/>
        </w:rPr>
        <w:t>Sciences</w:t>
      </w:r>
      <w:r w:rsidRPr="00E96855">
        <w:rPr>
          <w:rFonts w:cstheme="minorHAnsi"/>
          <w:sz w:val="18"/>
          <w:szCs w:val="18"/>
        </w:rPr>
        <w:t>, 2021, 1(27), doi:10.1007/s43545-020-00029-x.</w:t>
      </w:r>
    </w:p>
  </w:footnote>
  <w:footnote w:id="145">
    <w:p w14:paraId="73B9CC13" w14:textId="38CF8F7F" w:rsidR="00841573" w:rsidRPr="00E96855" w:rsidRDefault="00841573" w:rsidP="00841573">
      <w:pPr>
        <w:pStyle w:val="FootnoteText"/>
        <w:rPr>
          <w:rFonts w:cstheme="minorHAnsi"/>
          <w:sz w:val="18"/>
          <w:szCs w:val="18"/>
        </w:rPr>
      </w:pPr>
      <w:r w:rsidRPr="00E96855">
        <w:rPr>
          <w:rStyle w:val="FootnoteReference"/>
          <w:rFonts w:cstheme="minorHAnsi"/>
          <w:sz w:val="18"/>
          <w:szCs w:val="18"/>
        </w:rPr>
        <w:footnoteRef/>
      </w:r>
      <w:r w:rsidR="006F4DF1" w:rsidRPr="00E96855">
        <w:rPr>
          <w:rFonts w:cstheme="minorHAnsi"/>
          <w:i/>
          <w:sz w:val="18"/>
          <w:szCs w:val="18"/>
        </w:rPr>
        <w:t xml:space="preserve"> </w:t>
      </w:r>
      <w:r w:rsidR="00AD55AF" w:rsidRPr="00687075">
        <w:rPr>
          <w:rFonts w:cstheme="minorHAnsi"/>
          <w:sz w:val="18"/>
          <w:szCs w:val="18"/>
        </w:rPr>
        <w:t xml:space="preserve">Higher Education Standards Framework (Threshold Standards) 2021, </w:t>
      </w:r>
      <w:r w:rsidR="00AD55AF" w:rsidRPr="00E96855">
        <w:rPr>
          <w:rFonts w:cstheme="minorHAnsi"/>
          <w:sz w:val="18"/>
          <w:szCs w:val="18"/>
        </w:rPr>
        <w:t>Part B1.3.16</w:t>
      </w:r>
      <w:r w:rsidR="008B41D5" w:rsidRPr="00E96855">
        <w:rPr>
          <w:rFonts w:cstheme="minorHAnsi"/>
          <w:sz w:val="18"/>
          <w:szCs w:val="18"/>
        </w:rPr>
        <w:t xml:space="preserve">. </w:t>
      </w:r>
    </w:p>
  </w:footnote>
  <w:footnote w:id="146">
    <w:p w14:paraId="39D6EC7D" w14:textId="5E0F5F7E" w:rsidR="00841573" w:rsidRPr="00E96855" w:rsidRDefault="00841573" w:rsidP="00841573">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054EEC" w:rsidRPr="00E96855">
        <w:rPr>
          <w:rFonts w:cstheme="minorHAnsi"/>
          <w:sz w:val="18"/>
          <w:szCs w:val="18"/>
        </w:rPr>
        <w:t xml:space="preserve">Bradley et al., </w:t>
      </w:r>
      <w:r w:rsidR="00054EEC" w:rsidRPr="00E96855">
        <w:rPr>
          <w:rFonts w:cstheme="minorHAnsi"/>
          <w:i/>
          <w:sz w:val="18"/>
          <w:szCs w:val="18"/>
        </w:rPr>
        <w:t>Review of Higher Education: Final Report</w:t>
      </w:r>
      <w:r w:rsidR="00790590" w:rsidRPr="00E96855">
        <w:rPr>
          <w:rFonts w:cstheme="minorHAnsi"/>
          <w:sz w:val="18"/>
          <w:szCs w:val="18"/>
        </w:rPr>
        <w:t>.</w:t>
      </w:r>
    </w:p>
  </w:footnote>
  <w:footnote w:id="147">
    <w:p w14:paraId="58289FDC" w14:textId="4A974817" w:rsidR="00F020A5" w:rsidRPr="00E96855" w:rsidRDefault="00F020A5">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9D39F3" w:rsidRPr="00E96855">
        <w:rPr>
          <w:rFonts w:cstheme="minorHAnsi"/>
          <w:sz w:val="18"/>
          <w:szCs w:val="18"/>
        </w:rPr>
        <w:t>Productivity Commission</w:t>
      </w:r>
      <w:r w:rsidR="004B7B7E" w:rsidRPr="00E96855">
        <w:rPr>
          <w:rFonts w:cstheme="minorHAnsi"/>
          <w:sz w:val="18"/>
          <w:szCs w:val="18"/>
        </w:rPr>
        <w:t>,</w:t>
      </w:r>
      <w:r w:rsidR="004B7B7E" w:rsidRPr="00E96855">
        <w:rPr>
          <w:rFonts w:cstheme="minorHAnsi"/>
          <w:i/>
          <w:sz w:val="18"/>
          <w:szCs w:val="18"/>
        </w:rPr>
        <w:t xml:space="preserve"> 5-Year Productivity Inquiry: Advancing Prosperity. Recommendations and Reform Directives</w:t>
      </w:r>
      <w:r w:rsidR="004B7B7E" w:rsidRPr="00E96855">
        <w:rPr>
          <w:rFonts w:cstheme="minorHAnsi"/>
          <w:sz w:val="18"/>
          <w:szCs w:val="18"/>
        </w:rPr>
        <w:t>.</w:t>
      </w:r>
    </w:p>
  </w:footnote>
  <w:footnote w:id="148">
    <w:p w14:paraId="053B4D5B" w14:textId="40831E91" w:rsidR="00841573" w:rsidRPr="00E96855" w:rsidRDefault="00841573" w:rsidP="00841573">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C634D0" w:rsidRPr="00E96855">
        <w:rPr>
          <w:rFonts w:cstheme="minorHAnsi"/>
          <w:sz w:val="18"/>
          <w:szCs w:val="18"/>
        </w:rPr>
        <w:t xml:space="preserve">Independent Tertiary Education Commission Australia (ITECA) </w:t>
      </w:r>
      <w:hyperlink r:id="rId98" w:history="1">
        <w:r w:rsidR="00C634D0" w:rsidRPr="00E96855">
          <w:rPr>
            <w:rStyle w:val="Hyperlink"/>
            <w:rFonts w:cstheme="minorHAnsi"/>
            <w:i/>
            <w:sz w:val="18"/>
            <w:szCs w:val="18"/>
          </w:rPr>
          <w:t>Submission to the Australian Universities Accord Discussion Paper</w:t>
        </w:r>
      </w:hyperlink>
      <w:r w:rsidR="00C634D0" w:rsidRPr="00E96855">
        <w:rPr>
          <w:rFonts w:cstheme="minorHAnsi"/>
          <w:sz w:val="18"/>
          <w:szCs w:val="18"/>
        </w:rPr>
        <w:t xml:space="preserve">, 2023; TAFE Directors Australia (TDA), </w:t>
      </w:r>
      <w:hyperlink r:id="rId99" w:history="1">
        <w:r w:rsidR="00C634D0" w:rsidRPr="00E96855">
          <w:rPr>
            <w:rStyle w:val="Hyperlink"/>
            <w:rFonts w:cstheme="minorHAnsi"/>
            <w:i/>
            <w:sz w:val="18"/>
            <w:szCs w:val="18"/>
          </w:rPr>
          <w:t>Submission to the Australian Universities Accord Discussion Paper</w:t>
        </w:r>
      </w:hyperlink>
      <w:r w:rsidR="00C634D0" w:rsidRPr="00E96855">
        <w:rPr>
          <w:rFonts w:cstheme="minorHAnsi"/>
          <w:sz w:val="18"/>
          <w:szCs w:val="18"/>
        </w:rPr>
        <w:t>, 2023.</w:t>
      </w:r>
    </w:p>
  </w:footnote>
  <w:footnote w:id="149">
    <w:p w14:paraId="34D615CF" w14:textId="415FE246" w:rsidR="00841573" w:rsidRPr="00E96855" w:rsidRDefault="00841573" w:rsidP="00841573">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815D49" w:rsidRPr="00E96855">
        <w:rPr>
          <w:rFonts w:cstheme="minorHAnsi"/>
          <w:color w:val="444444"/>
          <w:sz w:val="18"/>
          <w:szCs w:val="18"/>
          <w:shd w:val="clear" w:color="auto" w:fill="FFFFFF"/>
        </w:rPr>
        <w:t xml:space="preserve">K Jackson, </w:t>
      </w:r>
      <w:hyperlink r:id="rId100" w:anchor="search=%22Higher%20Education%20Funding%20Policy%22" w:history="1">
        <w:r w:rsidR="00815D49" w:rsidRPr="00E96855">
          <w:rPr>
            <w:rStyle w:val="Hyperlink"/>
            <w:rFonts w:cstheme="minorHAnsi"/>
            <w:i/>
            <w:sz w:val="18"/>
            <w:szCs w:val="18"/>
            <w:shd w:val="clear" w:color="auto" w:fill="FFFFFF"/>
          </w:rPr>
          <w:t>Higher Education Funding Policy</w:t>
        </w:r>
      </w:hyperlink>
      <w:r w:rsidR="00815D49" w:rsidRPr="00E96855">
        <w:rPr>
          <w:rStyle w:val="Hyperlink"/>
          <w:rFonts w:cstheme="minorHAnsi"/>
          <w:iCs/>
          <w:sz w:val="18"/>
          <w:szCs w:val="18"/>
          <w:shd w:val="clear" w:color="auto" w:fill="FFFFFF"/>
        </w:rPr>
        <w:t xml:space="preserve"> </w:t>
      </w:r>
      <w:r w:rsidR="00815D49" w:rsidRPr="00E96855">
        <w:rPr>
          <w:rStyle w:val="Hyperlink"/>
          <w:rFonts w:cstheme="minorHAnsi"/>
          <w:iCs/>
          <w:color w:val="auto"/>
          <w:sz w:val="18"/>
          <w:szCs w:val="18"/>
          <w:u w:val="none"/>
          <w:shd w:val="clear" w:color="auto" w:fill="FFFFFF"/>
        </w:rPr>
        <w:t>[PDF]</w:t>
      </w:r>
      <w:r w:rsidR="00815D49" w:rsidRPr="00E96855">
        <w:rPr>
          <w:rFonts w:cstheme="minorHAnsi"/>
          <w:color w:val="444444"/>
          <w:sz w:val="18"/>
          <w:szCs w:val="18"/>
          <w:shd w:val="clear" w:color="auto" w:fill="FFFFFF"/>
        </w:rPr>
        <w:t>, Parliament of Australia website, 2003, accessed 8 June 2023</w:t>
      </w:r>
      <w:r w:rsidRPr="00E96855">
        <w:rPr>
          <w:rFonts w:cstheme="minorHAnsi"/>
          <w:sz w:val="18"/>
          <w:szCs w:val="18"/>
          <w:shd w:val="clear" w:color="auto" w:fill="FFFFFF"/>
        </w:rPr>
        <w:t>.</w:t>
      </w:r>
    </w:p>
  </w:footnote>
  <w:footnote w:id="150">
    <w:p w14:paraId="798AA1F4" w14:textId="77777777" w:rsidR="000F2103" w:rsidRPr="00E96855" w:rsidRDefault="000F2103" w:rsidP="000F2103">
      <w:pPr>
        <w:shd w:val="clear" w:color="auto" w:fill="FFFFFF"/>
        <w:spacing w:after="0"/>
        <w:rPr>
          <w:rFonts w:eastAsia="Times New Roman" w:cstheme="minorHAnsi"/>
          <w:color w:val="444444"/>
          <w:sz w:val="18"/>
          <w:szCs w:val="18"/>
          <w:lang w:eastAsia="en-AU"/>
        </w:rPr>
      </w:pPr>
      <w:r w:rsidRPr="00E96855">
        <w:rPr>
          <w:rStyle w:val="FootnoteReference"/>
          <w:rFonts w:cstheme="minorHAnsi"/>
          <w:sz w:val="18"/>
          <w:szCs w:val="18"/>
        </w:rPr>
        <w:footnoteRef/>
      </w:r>
      <w:r w:rsidRPr="00E96855">
        <w:rPr>
          <w:rFonts w:cstheme="minorHAnsi"/>
          <w:sz w:val="18"/>
          <w:szCs w:val="18"/>
        </w:rPr>
        <w:t xml:space="preserve"> </w:t>
      </w:r>
      <w:r w:rsidRPr="00E96855">
        <w:rPr>
          <w:rFonts w:eastAsia="Times New Roman" w:cstheme="minorHAnsi"/>
          <w:sz w:val="18"/>
          <w:szCs w:val="18"/>
          <w:lang w:eastAsia="en-AU"/>
        </w:rPr>
        <w:t xml:space="preserve">HR Hudson, </w:t>
      </w:r>
      <w:hyperlink r:id="rId101" w:history="1">
        <w:r w:rsidRPr="00E96855">
          <w:rPr>
            <w:rStyle w:val="Hyperlink"/>
            <w:rFonts w:eastAsia="Times New Roman" w:cstheme="minorHAnsi"/>
            <w:i/>
            <w:sz w:val="18"/>
            <w:szCs w:val="18"/>
            <w:lang w:eastAsia="en-AU"/>
          </w:rPr>
          <w:t>Review of the Structure of the Commonwealth Tertiary Education Commission and Arrangements for Coordination and Consultation with States and Institutions</w:t>
        </w:r>
      </w:hyperlink>
      <w:r w:rsidRPr="00E96855">
        <w:rPr>
          <w:rFonts w:eastAsia="Times New Roman" w:cstheme="minorHAnsi"/>
          <w:sz w:val="18"/>
          <w:szCs w:val="18"/>
          <w:lang w:eastAsia="en-AU"/>
        </w:rPr>
        <w:t xml:space="preserve">, Australian Government Publishing Service, 1985, accessed 8 June 2023. </w:t>
      </w:r>
    </w:p>
  </w:footnote>
  <w:footnote w:id="151">
    <w:p w14:paraId="3001D56D" w14:textId="42026CA8" w:rsidR="005015F9" w:rsidRPr="00E96855" w:rsidRDefault="005015F9">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University Chancellors Council (</w:t>
      </w:r>
      <w:r w:rsidR="00C17FB7" w:rsidRPr="00E96855">
        <w:rPr>
          <w:rFonts w:cstheme="minorHAnsi"/>
          <w:sz w:val="18"/>
          <w:szCs w:val="18"/>
        </w:rPr>
        <w:t xml:space="preserve">UCC), </w:t>
      </w:r>
      <w:hyperlink r:id="rId102" w:history="1">
        <w:r w:rsidR="00C17FB7" w:rsidRPr="00E96855">
          <w:rPr>
            <w:rStyle w:val="Hyperlink"/>
            <w:rFonts w:cstheme="minorHAnsi"/>
            <w:i/>
            <w:sz w:val="18"/>
            <w:szCs w:val="18"/>
          </w:rPr>
          <w:t>University Governance in Australia</w:t>
        </w:r>
      </w:hyperlink>
      <w:r w:rsidR="00C17FB7" w:rsidRPr="00E96855">
        <w:rPr>
          <w:rFonts w:cstheme="minorHAnsi"/>
          <w:i/>
          <w:sz w:val="18"/>
          <w:szCs w:val="18"/>
        </w:rPr>
        <w:t>,</w:t>
      </w:r>
      <w:r w:rsidR="00C17FB7" w:rsidRPr="00E96855">
        <w:rPr>
          <w:rFonts w:cstheme="minorHAnsi"/>
          <w:sz w:val="18"/>
          <w:szCs w:val="18"/>
        </w:rPr>
        <w:t xml:space="preserve"> UCC website, </w:t>
      </w:r>
      <w:r w:rsidRPr="00E96855">
        <w:rPr>
          <w:rFonts w:cstheme="minorHAnsi"/>
          <w:sz w:val="18"/>
          <w:szCs w:val="18"/>
        </w:rPr>
        <w:t>n.d</w:t>
      </w:r>
      <w:r w:rsidR="00C17FB7" w:rsidRPr="00E96855">
        <w:rPr>
          <w:rFonts w:cstheme="minorHAnsi"/>
          <w:sz w:val="18"/>
          <w:szCs w:val="18"/>
        </w:rPr>
        <w:t>., accessed 13 June 2023.</w:t>
      </w:r>
    </w:p>
  </w:footnote>
  <w:footnote w:id="152">
    <w:p w14:paraId="3B65BB24" w14:textId="5265AA0C" w:rsidR="00E1182A" w:rsidRPr="00E96855" w:rsidRDefault="00E1182A" w:rsidP="00493700">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AD20F5" w:rsidRPr="00E96855">
        <w:rPr>
          <w:rFonts w:cstheme="minorHAnsi"/>
          <w:sz w:val="18"/>
          <w:szCs w:val="18"/>
        </w:rPr>
        <w:t xml:space="preserve">E Chan, </w:t>
      </w:r>
      <w:hyperlink r:id="rId103" w:history="1">
        <w:r w:rsidR="00AD20F5" w:rsidRPr="00E96855">
          <w:rPr>
            <w:rStyle w:val="Hyperlink"/>
            <w:rFonts w:cstheme="minorHAnsi"/>
            <w:i/>
            <w:sz w:val="18"/>
            <w:szCs w:val="18"/>
          </w:rPr>
          <w:t>Legislative Changes Affecting the Governance of Australian Universities</w:t>
        </w:r>
      </w:hyperlink>
      <w:r w:rsidR="00AD20F5" w:rsidRPr="00E96855">
        <w:rPr>
          <w:rStyle w:val="Hyperlink"/>
          <w:rFonts w:cstheme="minorHAnsi"/>
          <w:sz w:val="18"/>
          <w:szCs w:val="18"/>
        </w:rPr>
        <w:t xml:space="preserve"> </w:t>
      </w:r>
      <w:r w:rsidR="00AD20F5" w:rsidRPr="00E96855">
        <w:rPr>
          <w:rStyle w:val="Hyperlink"/>
          <w:rFonts w:cstheme="minorHAnsi"/>
          <w:color w:val="auto"/>
          <w:sz w:val="18"/>
          <w:szCs w:val="18"/>
          <w:u w:val="none"/>
        </w:rPr>
        <w:t>[PDF]</w:t>
      </w:r>
      <w:r w:rsidR="00AD20F5" w:rsidRPr="00E96855">
        <w:rPr>
          <w:rFonts w:cstheme="minorHAnsi"/>
          <w:sz w:val="18"/>
          <w:szCs w:val="18"/>
        </w:rPr>
        <w:t>, UCC, 2018, accessed 20 June 2023</w:t>
      </w:r>
      <w:r w:rsidR="00493700" w:rsidRPr="00E96855">
        <w:rPr>
          <w:rFonts w:cstheme="minorHAnsi"/>
          <w:sz w:val="18"/>
          <w:szCs w:val="18"/>
        </w:rPr>
        <w:t>.</w:t>
      </w:r>
    </w:p>
  </w:footnote>
  <w:footnote w:id="153">
    <w:p w14:paraId="79EE588C" w14:textId="5E2B6566" w:rsidR="00267E5A" w:rsidRPr="00E96855" w:rsidRDefault="00267E5A" w:rsidP="00267E5A">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0179B6" w:rsidRPr="00E96855">
        <w:rPr>
          <w:rFonts w:cstheme="minorHAnsi"/>
          <w:sz w:val="18"/>
          <w:szCs w:val="18"/>
        </w:rPr>
        <w:t>T Dodd, ‘</w:t>
      </w:r>
      <w:hyperlink r:id="rId104" w:history="1">
        <w:r w:rsidR="000179B6" w:rsidRPr="00E96855">
          <w:rPr>
            <w:rStyle w:val="Hyperlink"/>
            <w:rFonts w:cstheme="minorHAnsi"/>
            <w:sz w:val="18"/>
            <w:szCs w:val="18"/>
          </w:rPr>
          <w:t>Fair Work Ombudsman investigating over a dozen universities</w:t>
        </w:r>
      </w:hyperlink>
      <w:r w:rsidR="000179B6" w:rsidRPr="00E96855">
        <w:rPr>
          <w:rFonts w:cstheme="minorHAnsi"/>
          <w:sz w:val="18"/>
          <w:szCs w:val="18"/>
        </w:rPr>
        <w:t xml:space="preserve">’, </w:t>
      </w:r>
      <w:r w:rsidR="000179B6" w:rsidRPr="00E96855">
        <w:rPr>
          <w:rFonts w:cstheme="minorHAnsi"/>
          <w:i/>
          <w:sz w:val="18"/>
          <w:szCs w:val="18"/>
        </w:rPr>
        <w:t>The Australian,</w:t>
      </w:r>
      <w:r w:rsidR="000179B6" w:rsidRPr="00E96855">
        <w:rPr>
          <w:rFonts w:cstheme="minorHAnsi"/>
          <w:sz w:val="18"/>
          <w:szCs w:val="18"/>
        </w:rPr>
        <w:t xml:space="preserve"> 11 August 2022, accessed 9 June 2023</w:t>
      </w:r>
      <w:r w:rsidRPr="00E96855">
        <w:rPr>
          <w:rFonts w:cstheme="minorHAnsi"/>
          <w:sz w:val="18"/>
          <w:szCs w:val="18"/>
        </w:rPr>
        <w:t>.</w:t>
      </w:r>
    </w:p>
  </w:footnote>
  <w:footnote w:id="154">
    <w:p w14:paraId="47C7E9EC" w14:textId="7E67E9FE" w:rsidR="00267E5A" w:rsidRPr="00E96855" w:rsidRDefault="00267E5A" w:rsidP="00267E5A">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4D6E0C" w:rsidRPr="00E96855">
        <w:rPr>
          <w:rFonts w:cstheme="minorHAnsi"/>
          <w:sz w:val="18"/>
          <w:szCs w:val="18"/>
        </w:rPr>
        <w:t xml:space="preserve">FWO, </w:t>
      </w:r>
      <w:hyperlink r:id="rId105" w:history="1">
        <w:r w:rsidR="004D6E0C" w:rsidRPr="00E96855">
          <w:rPr>
            <w:rStyle w:val="Hyperlink"/>
            <w:rFonts w:cstheme="minorHAnsi"/>
            <w:i/>
            <w:sz w:val="18"/>
            <w:szCs w:val="18"/>
          </w:rPr>
          <w:t>FWO announces 2022-23 priorities</w:t>
        </w:r>
      </w:hyperlink>
      <w:r w:rsidR="004D6E0C" w:rsidRPr="00E96855">
        <w:rPr>
          <w:rFonts w:cstheme="minorHAnsi"/>
          <w:i/>
          <w:sz w:val="18"/>
          <w:szCs w:val="18"/>
        </w:rPr>
        <w:t xml:space="preserve"> </w:t>
      </w:r>
      <w:r w:rsidR="004D6E0C" w:rsidRPr="00E96855">
        <w:rPr>
          <w:rFonts w:cstheme="minorHAnsi"/>
          <w:iCs/>
          <w:sz w:val="18"/>
          <w:szCs w:val="18"/>
        </w:rPr>
        <w:t>[media release]</w:t>
      </w:r>
      <w:r w:rsidR="004D6E0C" w:rsidRPr="00E96855">
        <w:rPr>
          <w:rFonts w:cstheme="minorHAnsi"/>
          <w:i/>
          <w:sz w:val="18"/>
          <w:szCs w:val="18"/>
        </w:rPr>
        <w:t>,</w:t>
      </w:r>
      <w:r w:rsidR="004D6E0C" w:rsidRPr="00E96855">
        <w:rPr>
          <w:rFonts w:cstheme="minorHAnsi"/>
          <w:sz w:val="18"/>
          <w:szCs w:val="18"/>
        </w:rPr>
        <w:t xml:space="preserve"> FWO, 22 June 2022, accessed 9 June 2023.</w:t>
      </w:r>
    </w:p>
  </w:footnote>
  <w:footnote w:id="155">
    <w:p w14:paraId="5B65CE56" w14:textId="59BC5B04" w:rsidR="00267E5A" w:rsidRPr="00E96855" w:rsidRDefault="00267E5A" w:rsidP="00267E5A">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763FDB" w:rsidRPr="00E96855">
        <w:rPr>
          <w:rFonts w:cstheme="minorHAnsi"/>
          <w:sz w:val="18"/>
          <w:szCs w:val="18"/>
        </w:rPr>
        <w:t xml:space="preserve">FWO, </w:t>
      </w:r>
      <w:r w:rsidR="00763FDB" w:rsidRPr="00E96855">
        <w:rPr>
          <w:rFonts w:cstheme="minorHAnsi"/>
          <w:i/>
          <w:sz w:val="18"/>
          <w:szCs w:val="18"/>
        </w:rPr>
        <w:t>FWO announces 2022-23 priorities</w:t>
      </w:r>
      <w:r w:rsidRPr="00E96855">
        <w:rPr>
          <w:rFonts w:cstheme="minorHAnsi"/>
          <w:sz w:val="18"/>
          <w:szCs w:val="18"/>
        </w:rPr>
        <w:t>.</w:t>
      </w:r>
    </w:p>
  </w:footnote>
  <w:footnote w:id="156">
    <w:p w14:paraId="4C2BA39C" w14:textId="12F2D69C" w:rsidR="001361DC" w:rsidRPr="00E96855" w:rsidRDefault="001361DC">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D753FE" w:rsidRPr="00E96855">
        <w:rPr>
          <w:rFonts w:cstheme="minorHAnsi"/>
          <w:sz w:val="18"/>
          <w:szCs w:val="18"/>
        </w:rPr>
        <w:t>M</w:t>
      </w:r>
      <w:r w:rsidRPr="00E96855">
        <w:rPr>
          <w:rFonts w:cstheme="minorHAnsi"/>
          <w:sz w:val="18"/>
          <w:szCs w:val="18"/>
        </w:rPr>
        <w:t xml:space="preserve"> </w:t>
      </w:r>
      <w:r w:rsidR="00F27330" w:rsidRPr="00E96855">
        <w:rPr>
          <w:rFonts w:cstheme="minorHAnsi"/>
          <w:sz w:val="18"/>
          <w:szCs w:val="18"/>
        </w:rPr>
        <w:t>Gardner</w:t>
      </w:r>
      <w:r w:rsidR="00640F47" w:rsidRPr="00E96855">
        <w:rPr>
          <w:rFonts w:cstheme="minorHAnsi"/>
          <w:sz w:val="18"/>
          <w:szCs w:val="18"/>
        </w:rPr>
        <w:t>,</w:t>
      </w:r>
      <w:r w:rsidR="00F27330" w:rsidRPr="00E96855">
        <w:rPr>
          <w:rFonts w:cstheme="minorHAnsi"/>
          <w:sz w:val="18"/>
          <w:szCs w:val="18"/>
        </w:rPr>
        <w:t xml:space="preserve"> ‘</w:t>
      </w:r>
      <w:hyperlink r:id="rId106" w:history="1">
        <w:hyperlink r:id="rId107" w:history="1">
          <w:r w:rsidR="00F27330" w:rsidRPr="00E96855">
            <w:rPr>
              <w:rStyle w:val="Hyperlink"/>
              <w:rFonts w:cstheme="minorHAnsi"/>
              <w:color w:val="auto"/>
              <w:sz w:val="18"/>
              <w:szCs w:val="18"/>
            </w:rPr>
            <w:t>Workplace relations and insecure employment in Austra</w:t>
          </w:r>
          <w:r w:rsidR="001E23CC" w:rsidRPr="00E96855">
            <w:rPr>
              <w:rStyle w:val="Hyperlink"/>
              <w:rFonts w:cstheme="minorHAnsi"/>
              <w:color w:val="auto"/>
              <w:sz w:val="18"/>
              <w:szCs w:val="18"/>
            </w:rPr>
            <w:t>li</w:t>
          </w:r>
          <w:r w:rsidR="00F27330" w:rsidRPr="00E96855">
            <w:rPr>
              <w:rStyle w:val="Hyperlink"/>
              <w:rFonts w:cstheme="minorHAnsi"/>
              <w:color w:val="auto"/>
              <w:sz w:val="18"/>
              <w:szCs w:val="18"/>
            </w:rPr>
            <w:t>an universities</w:t>
          </w:r>
        </w:hyperlink>
      </w:hyperlink>
      <w:r w:rsidR="00F27330" w:rsidRPr="00E96855">
        <w:rPr>
          <w:rFonts w:cstheme="minorHAnsi"/>
          <w:sz w:val="18"/>
          <w:szCs w:val="18"/>
        </w:rPr>
        <w:t>’</w:t>
      </w:r>
      <w:r w:rsidR="001E23CC" w:rsidRPr="00E96855">
        <w:rPr>
          <w:rFonts w:cstheme="minorHAnsi"/>
          <w:sz w:val="18"/>
          <w:szCs w:val="18"/>
        </w:rPr>
        <w:t xml:space="preserve">, </w:t>
      </w:r>
      <w:r w:rsidR="001E23CC" w:rsidRPr="00E96855">
        <w:rPr>
          <w:rFonts w:cstheme="minorHAnsi"/>
          <w:i/>
          <w:sz w:val="18"/>
          <w:szCs w:val="18"/>
        </w:rPr>
        <w:t>Lens</w:t>
      </w:r>
      <w:r w:rsidR="001E23CC" w:rsidRPr="00E96855">
        <w:rPr>
          <w:rFonts w:cstheme="minorHAnsi"/>
          <w:sz w:val="18"/>
          <w:szCs w:val="18"/>
        </w:rPr>
        <w:t xml:space="preserve">, </w:t>
      </w:r>
      <w:r w:rsidR="00600EED" w:rsidRPr="00E96855">
        <w:rPr>
          <w:rFonts w:cstheme="minorHAnsi"/>
          <w:sz w:val="18"/>
          <w:szCs w:val="18"/>
        </w:rPr>
        <w:t>7</w:t>
      </w:r>
      <w:r w:rsidR="001E23CC" w:rsidRPr="00E96855">
        <w:rPr>
          <w:rFonts w:cstheme="minorHAnsi"/>
          <w:sz w:val="18"/>
          <w:szCs w:val="18"/>
        </w:rPr>
        <w:t xml:space="preserve"> June 2023</w:t>
      </w:r>
      <w:r w:rsidR="00600EED" w:rsidRPr="00E96855">
        <w:rPr>
          <w:rFonts w:cstheme="minorHAnsi"/>
          <w:sz w:val="18"/>
          <w:szCs w:val="18"/>
        </w:rPr>
        <w:t xml:space="preserve">, </w:t>
      </w:r>
      <w:r w:rsidR="001E23CC" w:rsidRPr="00E96855">
        <w:rPr>
          <w:rFonts w:cstheme="minorHAnsi"/>
          <w:sz w:val="18"/>
          <w:szCs w:val="18"/>
        </w:rPr>
        <w:t>accessed 26 June 2023.</w:t>
      </w:r>
    </w:p>
  </w:footnote>
  <w:footnote w:id="157">
    <w:p w14:paraId="68096BFE" w14:textId="4E0B7EB6" w:rsidR="006F5644" w:rsidRPr="00E96855" w:rsidRDefault="006F5644">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064D52" w:rsidRPr="00E96855">
        <w:rPr>
          <w:rFonts w:cstheme="minorHAnsi"/>
          <w:sz w:val="18"/>
          <w:szCs w:val="18"/>
        </w:rPr>
        <w:t xml:space="preserve">Department of Education, </w:t>
      </w:r>
      <w:hyperlink r:id="rId108" w:history="1">
        <w:r w:rsidR="00064D52" w:rsidRPr="00E96855">
          <w:rPr>
            <w:rStyle w:val="Hyperlink"/>
            <w:rFonts w:cstheme="minorHAnsi"/>
            <w:sz w:val="18"/>
            <w:szCs w:val="18"/>
          </w:rPr>
          <w:t>‘</w:t>
        </w:r>
        <w:r w:rsidR="00064D52" w:rsidRPr="00E96855">
          <w:rPr>
            <w:rStyle w:val="Hyperlink"/>
            <w:rFonts w:cstheme="minorHAnsi"/>
            <w:i/>
            <w:sz w:val="18"/>
            <w:szCs w:val="18"/>
          </w:rPr>
          <w:t>Staff Pivot Table’ Selected Higher Education Statistics – 2021 Staff Data</w:t>
        </w:r>
      </w:hyperlink>
      <w:r w:rsidR="00064D52" w:rsidRPr="00E96855">
        <w:rPr>
          <w:rFonts w:cstheme="minorHAnsi"/>
          <w:i/>
          <w:sz w:val="18"/>
          <w:szCs w:val="18"/>
        </w:rPr>
        <w:t xml:space="preserve"> </w:t>
      </w:r>
      <w:r w:rsidR="00064D52" w:rsidRPr="00E96855">
        <w:rPr>
          <w:rFonts w:cstheme="minorHAnsi"/>
          <w:iCs/>
          <w:sz w:val="18"/>
          <w:szCs w:val="18"/>
        </w:rPr>
        <w:t>[data set]</w:t>
      </w:r>
      <w:r w:rsidR="00064D52" w:rsidRPr="00E96855">
        <w:rPr>
          <w:rFonts w:cstheme="minorHAnsi"/>
          <w:i/>
          <w:sz w:val="18"/>
          <w:szCs w:val="18"/>
        </w:rPr>
        <w:t>,</w:t>
      </w:r>
      <w:r w:rsidR="00064D52" w:rsidRPr="00E96855">
        <w:rPr>
          <w:rFonts w:cstheme="minorHAnsi"/>
          <w:sz w:val="18"/>
          <w:szCs w:val="18"/>
        </w:rPr>
        <w:t xml:space="preserve"> education.gov.au, 2022, accessed 13 June 2023.</w:t>
      </w:r>
    </w:p>
  </w:footnote>
  <w:footnote w:id="158">
    <w:p w14:paraId="6BA99DA5" w14:textId="28CF0EC0" w:rsidR="00267E5A" w:rsidRPr="00E96855" w:rsidRDefault="00267E5A" w:rsidP="00267E5A">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FE75FC" w:rsidRPr="00E96855">
        <w:rPr>
          <w:rFonts w:cstheme="minorHAnsi"/>
          <w:sz w:val="18"/>
          <w:szCs w:val="18"/>
        </w:rPr>
        <w:t xml:space="preserve">The National Union of Students (NUS), </w:t>
      </w:r>
      <w:hyperlink r:id="rId109" w:history="1">
        <w:r w:rsidR="00FE75FC" w:rsidRPr="00E96855">
          <w:rPr>
            <w:rStyle w:val="Hyperlink"/>
            <w:rFonts w:cstheme="minorHAnsi"/>
            <w:i/>
            <w:iCs/>
            <w:sz w:val="18"/>
            <w:szCs w:val="18"/>
          </w:rPr>
          <w:t>Submission to the Australian Universities Accord Discussion Paper</w:t>
        </w:r>
      </w:hyperlink>
      <w:r w:rsidR="00FE75FC" w:rsidRPr="00E96855">
        <w:rPr>
          <w:rFonts w:cstheme="minorHAnsi"/>
          <w:sz w:val="18"/>
          <w:szCs w:val="18"/>
        </w:rPr>
        <w:t xml:space="preserve">, 2023; Council of Australian Postgraduate Associations (CAPA), </w:t>
      </w:r>
      <w:hyperlink r:id="rId110" w:history="1">
        <w:r w:rsidR="00FE75FC" w:rsidRPr="00E96855">
          <w:rPr>
            <w:rStyle w:val="Hyperlink"/>
            <w:rFonts w:cstheme="minorHAnsi"/>
            <w:i/>
            <w:sz w:val="18"/>
            <w:szCs w:val="18"/>
          </w:rPr>
          <w:t>Submission to the Australian Universities Accord Terms of Reference</w:t>
        </w:r>
      </w:hyperlink>
      <w:r w:rsidR="00FE75FC" w:rsidRPr="00E96855">
        <w:rPr>
          <w:rFonts w:cstheme="minorHAnsi"/>
          <w:sz w:val="18"/>
          <w:szCs w:val="18"/>
        </w:rPr>
        <w:t>, 2022</w:t>
      </w:r>
      <w:r w:rsidR="000421AD" w:rsidRPr="00E96855">
        <w:rPr>
          <w:rFonts w:cstheme="minorHAnsi"/>
          <w:sz w:val="18"/>
          <w:szCs w:val="18"/>
        </w:rPr>
        <w:t>.</w:t>
      </w:r>
    </w:p>
  </w:footnote>
  <w:footnote w:id="159">
    <w:p w14:paraId="0C82D14E" w14:textId="5EE2C122" w:rsidR="000F0DB1" w:rsidRPr="00E96855" w:rsidRDefault="000F0DB1" w:rsidP="000F0DB1">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A1710A" w:rsidRPr="00E96855">
        <w:rPr>
          <w:rFonts w:cstheme="minorHAnsi"/>
          <w:sz w:val="18"/>
          <w:szCs w:val="18"/>
        </w:rPr>
        <w:t xml:space="preserve">GA Dingle, R Han and M Carlyle, ‘Loneliness, Belonging, and Mental Health in Australian University Students Pre- and Post-COVID-19’, </w:t>
      </w:r>
      <w:r w:rsidR="00A1710A" w:rsidRPr="00E96855">
        <w:rPr>
          <w:rFonts w:cstheme="minorHAnsi"/>
          <w:i/>
          <w:sz w:val="18"/>
          <w:szCs w:val="18"/>
        </w:rPr>
        <w:t>Behaviour Change,</w:t>
      </w:r>
      <w:r w:rsidR="00A1710A" w:rsidRPr="00E96855">
        <w:rPr>
          <w:rFonts w:cstheme="minorHAnsi"/>
          <w:iCs/>
          <w:sz w:val="18"/>
          <w:szCs w:val="18"/>
        </w:rPr>
        <w:t xml:space="preserve"> 2022,</w:t>
      </w:r>
      <w:r w:rsidR="00A1710A" w:rsidRPr="00E96855">
        <w:rPr>
          <w:rFonts w:cstheme="minorHAnsi"/>
          <w:i/>
          <w:sz w:val="18"/>
          <w:szCs w:val="18"/>
        </w:rPr>
        <w:t xml:space="preserve"> 39</w:t>
      </w:r>
      <w:r w:rsidR="00A1710A" w:rsidRPr="00E96855">
        <w:rPr>
          <w:rFonts w:cstheme="minorHAnsi"/>
          <w:sz w:val="18"/>
          <w:szCs w:val="18"/>
        </w:rPr>
        <w:t>(3):146-156, doi:10.1017/bec.2022.6</w:t>
      </w:r>
      <w:r w:rsidR="008659CA" w:rsidRPr="00E96855">
        <w:rPr>
          <w:rFonts w:cstheme="minorHAnsi"/>
          <w:sz w:val="18"/>
          <w:szCs w:val="18"/>
        </w:rPr>
        <w:t>.</w:t>
      </w:r>
    </w:p>
  </w:footnote>
  <w:footnote w:id="160">
    <w:p w14:paraId="7202DC05" w14:textId="0739BD00" w:rsidR="00267E5A" w:rsidRPr="00E96855" w:rsidRDefault="00267E5A" w:rsidP="00267E5A">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267C17" w:rsidRPr="00E96855">
        <w:rPr>
          <w:rFonts w:cstheme="minorHAnsi"/>
          <w:sz w:val="18"/>
          <w:szCs w:val="18"/>
        </w:rPr>
        <w:t xml:space="preserve">Quality Indicators for Teaching and Learning (QILT), </w:t>
      </w:r>
      <w:hyperlink r:id="rId111" w:history="1">
        <w:r w:rsidR="00267C17" w:rsidRPr="00E96855">
          <w:rPr>
            <w:rStyle w:val="Hyperlink"/>
            <w:rFonts w:cstheme="minorHAnsi"/>
            <w:i/>
            <w:sz w:val="18"/>
            <w:szCs w:val="18"/>
          </w:rPr>
          <w:t>2020 Student Experience Survey National Report</w:t>
        </w:r>
      </w:hyperlink>
      <w:r w:rsidR="00267C17" w:rsidRPr="00E96855">
        <w:rPr>
          <w:rFonts w:cstheme="minorHAnsi"/>
          <w:i/>
          <w:sz w:val="18"/>
          <w:szCs w:val="18"/>
        </w:rPr>
        <w:t>,</w:t>
      </w:r>
      <w:r w:rsidR="00267C17" w:rsidRPr="00E96855">
        <w:rPr>
          <w:rFonts w:cstheme="minorHAnsi"/>
          <w:sz w:val="18"/>
          <w:szCs w:val="18"/>
        </w:rPr>
        <w:t xml:space="preserve"> QILT, 2021, accessed 9 June 2023</w:t>
      </w:r>
      <w:r w:rsidRPr="00E96855">
        <w:rPr>
          <w:rFonts w:cstheme="minorHAnsi"/>
          <w:sz w:val="18"/>
          <w:szCs w:val="18"/>
        </w:rPr>
        <w:t>.</w:t>
      </w:r>
    </w:p>
  </w:footnote>
  <w:footnote w:id="161">
    <w:p w14:paraId="72BF8F78" w14:textId="12FAA6FC" w:rsidR="00267E5A" w:rsidRPr="00E96855" w:rsidRDefault="00267E5A" w:rsidP="00267E5A">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236FD0" w:rsidRPr="00E96855">
        <w:rPr>
          <w:rFonts w:cstheme="minorHAnsi"/>
          <w:sz w:val="18"/>
          <w:szCs w:val="18"/>
        </w:rPr>
        <w:t>Dingle et al., ‘Loneliness, Belonging, and Mental Health in Australian University Students Pre- and Post-COVID-19’.</w:t>
      </w:r>
    </w:p>
  </w:footnote>
  <w:footnote w:id="162">
    <w:p w14:paraId="5AA23E22" w14:textId="3F5A371E" w:rsidR="00B26F20" w:rsidRPr="00E96855" w:rsidRDefault="00B26F20">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CB1241" w:rsidRPr="00E96855">
        <w:rPr>
          <w:rFonts w:cstheme="minorHAnsi"/>
          <w:sz w:val="18"/>
          <w:szCs w:val="18"/>
        </w:rPr>
        <w:t xml:space="preserve">W Heywood, P Myers, A Powell, G Meikle and D Nguyen, </w:t>
      </w:r>
      <w:hyperlink r:id="rId112" w:history="1">
        <w:r w:rsidR="00CB1241" w:rsidRPr="00E96855">
          <w:rPr>
            <w:rStyle w:val="Hyperlink"/>
            <w:rFonts w:cstheme="minorHAnsi"/>
            <w:i/>
            <w:sz w:val="18"/>
            <w:szCs w:val="18"/>
          </w:rPr>
          <w:t>National Student Safety Survey: Report on the prevalence of sexual harassment and sexual assault among university students in 2021</w:t>
        </w:r>
      </w:hyperlink>
      <w:r w:rsidR="00CB1241" w:rsidRPr="00E96855">
        <w:rPr>
          <w:rFonts w:cstheme="minorHAnsi"/>
          <w:sz w:val="18"/>
          <w:szCs w:val="18"/>
        </w:rPr>
        <w:t>, The Social Research Centre, 2022, accessed 13 June 2023.</w:t>
      </w:r>
    </w:p>
  </w:footnote>
  <w:footnote w:id="163">
    <w:p w14:paraId="31E6641C" w14:textId="18BAA534" w:rsidR="00BA1D1D" w:rsidRPr="00E96855" w:rsidRDefault="00BA1D1D">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672581" w:rsidRPr="00E96855">
        <w:rPr>
          <w:rFonts w:cstheme="minorHAnsi"/>
          <w:sz w:val="18"/>
          <w:szCs w:val="18"/>
        </w:rPr>
        <w:t xml:space="preserve">TD </w:t>
      </w:r>
      <w:r w:rsidR="00B6705E" w:rsidRPr="00E96855">
        <w:rPr>
          <w:rFonts w:cstheme="minorHAnsi"/>
          <w:sz w:val="18"/>
          <w:szCs w:val="18"/>
        </w:rPr>
        <w:t xml:space="preserve">Molstad, </w:t>
      </w:r>
      <w:r w:rsidR="00672581" w:rsidRPr="00E96855">
        <w:rPr>
          <w:rFonts w:cstheme="minorHAnsi"/>
          <w:sz w:val="18"/>
          <w:szCs w:val="18"/>
        </w:rPr>
        <w:t xml:space="preserve">JM Weinhardt and R Jones, 'Sexual assault as a contributor to academic outcomes in university: A systematic review' </w:t>
      </w:r>
      <w:r w:rsidR="00672581" w:rsidRPr="00E96855">
        <w:rPr>
          <w:rFonts w:cstheme="minorHAnsi"/>
          <w:i/>
          <w:sz w:val="18"/>
          <w:szCs w:val="18"/>
        </w:rPr>
        <w:t>Trauma, Violence, &amp; Abuse</w:t>
      </w:r>
      <w:r w:rsidR="00672581" w:rsidRPr="00E96855">
        <w:rPr>
          <w:rFonts w:cstheme="minorHAnsi"/>
          <w:sz w:val="18"/>
          <w:szCs w:val="18"/>
        </w:rPr>
        <w:t>, 2023, (24)1</w:t>
      </w:r>
      <w:r w:rsidR="00110A2D" w:rsidRPr="00E96855">
        <w:rPr>
          <w:rFonts w:cstheme="minorHAnsi"/>
          <w:sz w:val="18"/>
          <w:szCs w:val="18"/>
        </w:rPr>
        <w:t>:</w:t>
      </w:r>
      <w:r w:rsidR="00672581" w:rsidRPr="00E96855">
        <w:rPr>
          <w:rFonts w:cstheme="minorHAnsi"/>
          <w:sz w:val="18"/>
          <w:szCs w:val="18"/>
        </w:rPr>
        <w:t>218-230, doi:10.1177/15248380211030247</w:t>
      </w:r>
      <w:r w:rsidR="00B6705E" w:rsidRPr="00E96855">
        <w:rPr>
          <w:rFonts w:cstheme="minorHAnsi"/>
          <w:sz w:val="18"/>
          <w:szCs w:val="18"/>
        </w:rPr>
        <w:t>.</w:t>
      </w:r>
    </w:p>
  </w:footnote>
  <w:footnote w:id="164">
    <w:p w14:paraId="3264AD24" w14:textId="42FAA6FC" w:rsidR="00FC57E5" w:rsidRPr="00E96855" w:rsidRDefault="00FC57E5">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287738" w:rsidRPr="00E96855">
        <w:rPr>
          <w:rFonts w:cstheme="minorHAnsi"/>
          <w:sz w:val="18"/>
          <w:szCs w:val="18"/>
        </w:rPr>
        <w:t xml:space="preserve">FWO, </w:t>
      </w:r>
      <w:hyperlink r:id="rId113" w:history="1">
        <w:r w:rsidR="00287738" w:rsidRPr="00E96855">
          <w:rPr>
            <w:rStyle w:val="Hyperlink"/>
            <w:rFonts w:cstheme="minorHAnsi"/>
            <w:i/>
            <w:sz w:val="18"/>
            <w:szCs w:val="18"/>
          </w:rPr>
          <w:t>Visa protections – the Assurance Protocol</w:t>
        </w:r>
      </w:hyperlink>
      <w:r w:rsidR="00287738" w:rsidRPr="00E96855">
        <w:rPr>
          <w:rFonts w:cstheme="minorHAnsi"/>
          <w:sz w:val="18"/>
          <w:szCs w:val="18"/>
        </w:rPr>
        <w:t>, FWO website, n.d., accessed 13 June 2023.</w:t>
      </w:r>
    </w:p>
  </w:footnote>
  <w:footnote w:id="165">
    <w:p w14:paraId="2A62AD06" w14:textId="77777777" w:rsidR="000F2103" w:rsidRPr="00E96855" w:rsidRDefault="000F2103" w:rsidP="000F2103">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Redfern Legal Centre, </w:t>
      </w:r>
      <w:hyperlink r:id="rId114" w:history="1">
        <w:r w:rsidRPr="00E96855">
          <w:rPr>
            <w:rStyle w:val="Hyperlink"/>
            <w:rFonts w:cstheme="minorHAnsi"/>
            <w:i/>
            <w:sz w:val="18"/>
            <w:szCs w:val="18"/>
          </w:rPr>
          <w:t>International Student Legal Service NSW</w:t>
        </w:r>
      </w:hyperlink>
      <w:r w:rsidRPr="00E96855">
        <w:rPr>
          <w:rFonts w:cstheme="minorHAnsi"/>
          <w:sz w:val="18"/>
          <w:szCs w:val="18"/>
        </w:rPr>
        <w:t>, Redfern Legal Centre website, n.d., accessed 13 June 2023.</w:t>
      </w:r>
    </w:p>
  </w:footnote>
  <w:footnote w:id="166">
    <w:p w14:paraId="42477546" w14:textId="09574FAE" w:rsidR="00267E5A" w:rsidRPr="00E96855" w:rsidRDefault="00267E5A" w:rsidP="00267E5A">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3B3065" w:rsidRPr="00E96855">
        <w:rPr>
          <w:rFonts w:cstheme="minorHAnsi"/>
          <w:sz w:val="18"/>
          <w:szCs w:val="18"/>
        </w:rPr>
        <w:t xml:space="preserve">Productivity Commission, </w:t>
      </w:r>
      <w:r w:rsidR="003B3065" w:rsidRPr="00E96855">
        <w:rPr>
          <w:rFonts w:cstheme="minorHAnsi"/>
          <w:i/>
          <w:iCs/>
          <w:sz w:val="18"/>
          <w:szCs w:val="18"/>
        </w:rPr>
        <w:t>5-year Productivity Inquiry: From learning to growth</w:t>
      </w:r>
      <w:r w:rsidRPr="00E96855">
        <w:rPr>
          <w:rFonts w:cstheme="minorHAnsi"/>
          <w:sz w:val="18"/>
          <w:szCs w:val="18"/>
        </w:rPr>
        <w:t>.</w:t>
      </w:r>
    </w:p>
  </w:footnote>
  <w:footnote w:id="167">
    <w:p w14:paraId="4A6AD618" w14:textId="61E4E1D8" w:rsidR="00267E5A" w:rsidRPr="00E96855" w:rsidRDefault="00267E5A" w:rsidP="00267E5A">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06045F" w:rsidRPr="00E96855">
        <w:rPr>
          <w:rFonts w:cstheme="minorHAnsi"/>
          <w:sz w:val="18"/>
          <w:szCs w:val="18"/>
        </w:rPr>
        <w:t xml:space="preserve">NUS, Australian Law Students’ Association (ALSA) and Australian Medical Students’ Association (AMSA), </w:t>
      </w:r>
      <w:hyperlink r:id="rId115" w:history="1">
        <w:r w:rsidR="0006045F" w:rsidRPr="00E96855">
          <w:rPr>
            <w:rStyle w:val="Hyperlink"/>
            <w:rFonts w:cstheme="minorHAnsi"/>
            <w:i/>
            <w:sz w:val="18"/>
            <w:szCs w:val="18"/>
          </w:rPr>
          <w:t>Disability &amp; Higher Education in Australia</w:t>
        </w:r>
      </w:hyperlink>
      <w:r w:rsidR="0006045F" w:rsidRPr="00E96855">
        <w:rPr>
          <w:rStyle w:val="Hyperlink"/>
          <w:rFonts w:cstheme="minorHAnsi"/>
          <w:iCs/>
          <w:color w:val="auto"/>
          <w:sz w:val="18"/>
          <w:szCs w:val="18"/>
          <w:u w:val="none"/>
        </w:rPr>
        <w:t xml:space="preserve"> [PDF]</w:t>
      </w:r>
      <w:r w:rsidR="0006045F" w:rsidRPr="00E96855">
        <w:rPr>
          <w:rFonts w:cstheme="minorHAnsi"/>
          <w:i/>
          <w:sz w:val="18"/>
          <w:szCs w:val="18"/>
        </w:rPr>
        <w:t>,</w:t>
      </w:r>
      <w:r w:rsidR="0006045F" w:rsidRPr="00E96855">
        <w:rPr>
          <w:rFonts w:cstheme="minorHAnsi"/>
          <w:iCs/>
          <w:sz w:val="18"/>
          <w:szCs w:val="18"/>
        </w:rPr>
        <w:t xml:space="preserve"> NUS, ALSA and AMSA, 2022,</w:t>
      </w:r>
      <w:r w:rsidR="0006045F" w:rsidRPr="00E96855">
        <w:rPr>
          <w:rFonts w:cstheme="minorHAnsi"/>
          <w:i/>
          <w:sz w:val="18"/>
          <w:szCs w:val="18"/>
        </w:rPr>
        <w:t xml:space="preserve"> </w:t>
      </w:r>
      <w:r w:rsidR="0006045F" w:rsidRPr="00E96855">
        <w:rPr>
          <w:rFonts w:cstheme="minorHAnsi"/>
          <w:sz w:val="18"/>
          <w:szCs w:val="18"/>
        </w:rPr>
        <w:t>accessed 9 June 2023.</w:t>
      </w:r>
    </w:p>
  </w:footnote>
  <w:footnote w:id="168">
    <w:p w14:paraId="7FA4447C" w14:textId="681CCCC7" w:rsidR="00267E5A" w:rsidRPr="00E96855" w:rsidRDefault="00267E5A" w:rsidP="00267E5A">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110515" w:rsidRPr="00E96855">
        <w:rPr>
          <w:rFonts w:cstheme="minorHAnsi"/>
          <w:sz w:val="18"/>
          <w:szCs w:val="18"/>
        </w:rPr>
        <w:t xml:space="preserve">Monash Graduate Association Inc, </w:t>
      </w:r>
      <w:hyperlink r:id="rId116" w:history="1">
        <w:r w:rsidR="00110515" w:rsidRPr="00E96855">
          <w:rPr>
            <w:rStyle w:val="Hyperlink"/>
            <w:rFonts w:cstheme="minorHAnsi"/>
            <w:i/>
            <w:sz w:val="18"/>
            <w:szCs w:val="18"/>
          </w:rPr>
          <w:t>Submission to the Australian Universities Accord Discussion Paper</w:t>
        </w:r>
      </w:hyperlink>
      <w:r w:rsidR="00110515" w:rsidRPr="00E96855">
        <w:rPr>
          <w:rFonts w:cstheme="minorHAnsi"/>
          <w:sz w:val="18"/>
          <w:szCs w:val="18"/>
        </w:rPr>
        <w:t>, 2023.</w:t>
      </w:r>
    </w:p>
  </w:footnote>
  <w:footnote w:id="169">
    <w:p w14:paraId="6C1CC89D" w14:textId="486E5FD2" w:rsidR="000E14DA" w:rsidRPr="00E96855" w:rsidRDefault="000E14DA" w:rsidP="00BC654C">
      <w:pPr>
        <w:spacing w:after="0"/>
        <w:rPr>
          <w:rFonts w:cstheme="minorHAnsi"/>
          <w:sz w:val="18"/>
          <w:szCs w:val="18"/>
          <w:highlight w:val="magenta"/>
        </w:rPr>
      </w:pPr>
      <w:r w:rsidRPr="00E96855">
        <w:rPr>
          <w:rStyle w:val="FootnoteReference"/>
          <w:rFonts w:cstheme="minorHAnsi"/>
          <w:sz w:val="18"/>
          <w:szCs w:val="18"/>
        </w:rPr>
        <w:footnoteRef/>
      </w:r>
      <w:r w:rsidRPr="00E96855">
        <w:rPr>
          <w:rFonts w:cstheme="minorHAnsi"/>
          <w:sz w:val="18"/>
          <w:szCs w:val="18"/>
        </w:rPr>
        <w:t xml:space="preserve"> National Tertiary Education Union (NTEU), </w:t>
      </w:r>
      <w:hyperlink r:id="rId117" w:history="1">
        <w:r w:rsidRPr="00E96855">
          <w:rPr>
            <w:rStyle w:val="Hyperlink"/>
            <w:rFonts w:cstheme="minorHAnsi"/>
            <w:i/>
            <w:iCs/>
            <w:sz w:val="18"/>
            <w:szCs w:val="18"/>
          </w:rPr>
          <w:t>Submission to the Australian Universities Accord Discussion Paper</w:t>
        </w:r>
      </w:hyperlink>
      <w:r w:rsidRPr="00E96855">
        <w:rPr>
          <w:rFonts w:cstheme="minorHAnsi"/>
          <w:sz w:val="18"/>
          <w:szCs w:val="18"/>
        </w:rPr>
        <w:t>, 2023.</w:t>
      </w:r>
    </w:p>
  </w:footnote>
  <w:footnote w:id="170">
    <w:p w14:paraId="389BF621" w14:textId="77777777" w:rsidR="000F2103" w:rsidRPr="00E96855" w:rsidRDefault="000F2103" w:rsidP="000F2103">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Pr="00E96855">
        <w:rPr>
          <w:rFonts w:cstheme="minorHAnsi"/>
          <w:color w:val="000000"/>
          <w:sz w:val="18"/>
          <w:szCs w:val="18"/>
        </w:rPr>
        <w:t xml:space="preserve">Ministry of Education, </w:t>
      </w:r>
      <w:hyperlink r:id="rId118" w:history="1">
        <w:r w:rsidRPr="00E96855">
          <w:rPr>
            <w:rStyle w:val="Hyperlink"/>
            <w:rFonts w:cstheme="minorHAnsi"/>
            <w:i/>
            <w:iCs/>
            <w:sz w:val="18"/>
            <w:szCs w:val="18"/>
          </w:rPr>
          <w:t>New Zealand Education (Pastoral Care of Tertiary and International Learners) Code of Practice 2021</w:t>
        </w:r>
      </w:hyperlink>
      <w:r w:rsidRPr="00E96855">
        <w:rPr>
          <w:rFonts w:cstheme="minorHAnsi"/>
          <w:i/>
          <w:iCs/>
          <w:color w:val="000000"/>
          <w:sz w:val="18"/>
          <w:szCs w:val="18"/>
        </w:rPr>
        <w:t>,</w:t>
      </w:r>
      <w:r w:rsidRPr="00E96855">
        <w:rPr>
          <w:rFonts w:cstheme="minorHAnsi"/>
          <w:color w:val="000000"/>
          <w:sz w:val="18"/>
          <w:szCs w:val="18"/>
        </w:rPr>
        <w:t xml:space="preserve"> accessed 7 June 2023</w:t>
      </w:r>
      <w:r w:rsidRPr="00E96855">
        <w:rPr>
          <w:rFonts w:cstheme="minorHAnsi"/>
          <w:sz w:val="18"/>
          <w:szCs w:val="18"/>
        </w:rPr>
        <w:t>.</w:t>
      </w:r>
    </w:p>
  </w:footnote>
  <w:footnote w:id="171">
    <w:p w14:paraId="523E1B24" w14:textId="77777777" w:rsidR="000F2103" w:rsidRPr="00E96855" w:rsidRDefault="000F2103" w:rsidP="000F2103">
      <w:pPr>
        <w:rPr>
          <w:rFonts w:cstheme="minorHAnsi"/>
          <w:sz w:val="18"/>
          <w:szCs w:val="18"/>
          <w:shd w:val="clear" w:color="auto" w:fill="FFFFFF"/>
        </w:rPr>
      </w:pPr>
      <w:r w:rsidRPr="00E96855">
        <w:rPr>
          <w:rStyle w:val="FootnoteReference"/>
          <w:rFonts w:cstheme="minorHAnsi"/>
          <w:sz w:val="18"/>
          <w:szCs w:val="18"/>
        </w:rPr>
        <w:footnoteRef/>
      </w:r>
      <w:r w:rsidRPr="00E96855">
        <w:rPr>
          <w:rFonts w:cstheme="minorHAnsi"/>
          <w:sz w:val="18"/>
          <w:szCs w:val="18"/>
        </w:rPr>
        <w:t xml:space="preserve"> N</w:t>
      </w:r>
      <w:r w:rsidRPr="00E96855">
        <w:rPr>
          <w:rFonts w:cstheme="minorHAnsi"/>
          <w:sz w:val="18"/>
          <w:szCs w:val="18"/>
          <w:shd w:val="clear" w:color="auto" w:fill="FFFFFF"/>
        </w:rPr>
        <w:t>ew Zealand Union of Students’ Associations (NZUSA), ‘</w:t>
      </w:r>
      <w:hyperlink r:id="rId119" w:history="1">
        <w:r w:rsidRPr="00E96855">
          <w:rPr>
            <w:rStyle w:val="Hyperlink"/>
            <w:rFonts w:cstheme="minorHAnsi"/>
            <w:i/>
            <w:sz w:val="18"/>
            <w:szCs w:val="18"/>
            <w:shd w:val="clear" w:color="auto" w:fill="FFFFFF"/>
          </w:rPr>
          <w:t>NZUSA Welcomes New Learner Wellbeing And Safety Code</w:t>
        </w:r>
      </w:hyperlink>
      <w:r w:rsidRPr="00E96855">
        <w:rPr>
          <w:rStyle w:val="Hyperlink"/>
          <w:rFonts w:cstheme="minorHAnsi"/>
          <w:i/>
          <w:sz w:val="18"/>
          <w:szCs w:val="18"/>
          <w:shd w:val="clear" w:color="auto" w:fill="FFFFFF"/>
        </w:rPr>
        <w:t>’</w:t>
      </w:r>
      <w:r w:rsidRPr="00E96855">
        <w:rPr>
          <w:rFonts w:cstheme="minorHAnsi"/>
          <w:sz w:val="18"/>
          <w:szCs w:val="18"/>
          <w:shd w:val="clear" w:color="auto" w:fill="FFFFFF"/>
        </w:rPr>
        <w:t xml:space="preserve"> [media release], </w:t>
      </w:r>
      <w:r w:rsidRPr="00E96855">
        <w:rPr>
          <w:rFonts w:cstheme="minorHAnsi"/>
          <w:i/>
          <w:iCs/>
          <w:sz w:val="18"/>
          <w:szCs w:val="18"/>
          <w:shd w:val="clear" w:color="auto" w:fill="FFFFFF"/>
        </w:rPr>
        <w:t>Scoop Independent News</w:t>
      </w:r>
      <w:r w:rsidRPr="00E96855">
        <w:rPr>
          <w:rFonts w:cstheme="minorHAnsi"/>
          <w:sz w:val="18"/>
          <w:szCs w:val="18"/>
          <w:shd w:val="clear" w:color="auto" w:fill="FFFFFF"/>
        </w:rPr>
        <w:t>, 16 July 2021, accessed 9 June 2023.</w:t>
      </w:r>
    </w:p>
  </w:footnote>
  <w:footnote w:id="172">
    <w:p w14:paraId="056ABBEC" w14:textId="387C397A" w:rsidR="008576F3" w:rsidRPr="00E96855" w:rsidRDefault="008576F3">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81114F" w:rsidRPr="00E96855">
        <w:rPr>
          <w:rFonts w:cstheme="minorHAnsi"/>
          <w:sz w:val="18"/>
          <w:szCs w:val="18"/>
        </w:rPr>
        <w:t xml:space="preserve">Department of Education, </w:t>
      </w:r>
      <w:hyperlink r:id="rId120" w:history="1">
        <w:r w:rsidR="0081114F" w:rsidRPr="00E96855">
          <w:rPr>
            <w:rStyle w:val="Hyperlink"/>
            <w:rFonts w:cstheme="minorHAnsi"/>
            <w:i/>
            <w:iCs/>
            <w:sz w:val="18"/>
            <w:szCs w:val="18"/>
          </w:rPr>
          <w:t>2021 Higher Education Providers Finance Tables</w:t>
        </w:r>
      </w:hyperlink>
      <w:r w:rsidR="0081114F" w:rsidRPr="00E96855">
        <w:rPr>
          <w:rFonts w:cstheme="minorHAnsi"/>
          <w:sz w:val="18"/>
          <w:szCs w:val="18"/>
        </w:rPr>
        <w:t xml:space="preserve"> [data set], education.gov.au, 2023, accessed 13 June 2023</w:t>
      </w:r>
      <w:r w:rsidR="00BE5AC5" w:rsidRPr="00E96855">
        <w:rPr>
          <w:rFonts w:cstheme="minorHAnsi"/>
          <w:sz w:val="18"/>
          <w:szCs w:val="18"/>
        </w:rPr>
        <w:t>.</w:t>
      </w:r>
    </w:p>
  </w:footnote>
  <w:footnote w:id="173">
    <w:p w14:paraId="00153655" w14:textId="77666FA2" w:rsidR="00267E5A" w:rsidRPr="00E96855" w:rsidRDefault="00267E5A" w:rsidP="00267E5A">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DB5002" w:rsidRPr="00E96855">
        <w:rPr>
          <w:rFonts w:cstheme="minorHAnsi"/>
          <w:sz w:val="18"/>
          <w:szCs w:val="18"/>
        </w:rPr>
        <w:t xml:space="preserve">DISR, </w:t>
      </w:r>
      <w:r w:rsidR="00DB5002" w:rsidRPr="00E96855">
        <w:rPr>
          <w:rFonts w:cstheme="minorHAnsi"/>
          <w:i/>
          <w:sz w:val="18"/>
          <w:szCs w:val="18"/>
        </w:rPr>
        <w:t>SRI budget tables 2022–23</w:t>
      </w:r>
      <w:r w:rsidR="00DB5002" w:rsidRPr="00E96855">
        <w:rPr>
          <w:rFonts w:cstheme="minorHAnsi"/>
          <w:i/>
          <w:iCs/>
          <w:sz w:val="18"/>
          <w:szCs w:val="18"/>
        </w:rPr>
        <w:t>.</w:t>
      </w:r>
    </w:p>
  </w:footnote>
  <w:footnote w:id="174">
    <w:p w14:paraId="78D28F7F" w14:textId="18465A77" w:rsidR="007040D5" w:rsidRPr="00E96855" w:rsidRDefault="007040D5">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ED37EA" w:rsidRPr="00E96855">
        <w:rPr>
          <w:rFonts w:cstheme="minorHAnsi"/>
          <w:sz w:val="18"/>
          <w:szCs w:val="18"/>
        </w:rPr>
        <w:t xml:space="preserve">Department of Education, </w:t>
      </w:r>
      <w:hyperlink r:id="rId121" w:history="1">
        <w:r w:rsidR="00ED37EA" w:rsidRPr="00E96855">
          <w:rPr>
            <w:rStyle w:val="Hyperlink"/>
            <w:rFonts w:cstheme="minorHAnsi"/>
            <w:i/>
            <w:iCs/>
            <w:sz w:val="18"/>
            <w:szCs w:val="18"/>
          </w:rPr>
          <w:t>Finance 2021: Financial Reports of Higher Education Providers Summary Information</w:t>
        </w:r>
      </w:hyperlink>
      <w:r w:rsidR="00ED37EA" w:rsidRPr="00E96855">
        <w:rPr>
          <w:rFonts w:cstheme="minorHAnsi"/>
          <w:sz w:val="18"/>
          <w:szCs w:val="18"/>
        </w:rPr>
        <w:t>, Department of Education, Australian Government, 2023, accessed 20 June 2023.</w:t>
      </w:r>
    </w:p>
  </w:footnote>
  <w:footnote w:id="175">
    <w:p w14:paraId="48D20C1B" w14:textId="04271ACD" w:rsidR="00267E5A" w:rsidRPr="00E96855" w:rsidRDefault="00267E5A" w:rsidP="00267E5A">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200BDA" w:rsidRPr="00E96855">
        <w:rPr>
          <w:rFonts w:cstheme="minorHAnsi"/>
          <w:sz w:val="18"/>
          <w:szCs w:val="18"/>
        </w:rPr>
        <w:t xml:space="preserve">Higher Education Infrastructure Working Group, </w:t>
      </w:r>
      <w:hyperlink r:id="rId122" w:history="1">
        <w:r w:rsidR="00200BDA" w:rsidRPr="00E96855">
          <w:rPr>
            <w:rStyle w:val="Hyperlink"/>
            <w:rFonts w:cstheme="minorHAnsi"/>
            <w:i/>
            <w:sz w:val="18"/>
            <w:szCs w:val="18"/>
          </w:rPr>
          <w:t>Higher Education Infrastructure Working Group: Final Report</w:t>
        </w:r>
      </w:hyperlink>
      <w:r w:rsidR="00200BDA" w:rsidRPr="00E96855">
        <w:rPr>
          <w:rFonts w:cstheme="minorHAnsi"/>
          <w:sz w:val="18"/>
          <w:szCs w:val="18"/>
        </w:rPr>
        <w:t>, Department of Education, Skills and Employment, Australian Government, 2015, accessed 13 June 2023</w:t>
      </w:r>
      <w:r w:rsidR="00790590" w:rsidRPr="00E96855">
        <w:rPr>
          <w:rFonts w:cstheme="minorHAnsi"/>
          <w:sz w:val="18"/>
          <w:szCs w:val="18"/>
        </w:rPr>
        <w:t>.</w:t>
      </w:r>
    </w:p>
  </w:footnote>
  <w:footnote w:id="176">
    <w:p w14:paraId="3D274E9D" w14:textId="45C1B548" w:rsidR="00267E5A" w:rsidRPr="00E96855" w:rsidRDefault="00267E5A" w:rsidP="00267E5A">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C51767" w:rsidRPr="00E96855">
        <w:rPr>
          <w:rFonts w:cstheme="minorHAnsi"/>
          <w:sz w:val="18"/>
          <w:szCs w:val="18"/>
        </w:rPr>
        <w:t xml:space="preserve">H Ferguson, </w:t>
      </w:r>
      <w:hyperlink r:id="rId123" w:history="1">
        <w:r w:rsidR="00C51767" w:rsidRPr="00E96855">
          <w:rPr>
            <w:rStyle w:val="Hyperlink"/>
            <w:rFonts w:cstheme="minorHAnsi"/>
            <w:i/>
            <w:sz w:val="18"/>
            <w:szCs w:val="18"/>
          </w:rPr>
          <w:t>Will the new Future Drought Fund leave the Education Investment Fund high and dry?</w:t>
        </w:r>
      </w:hyperlink>
      <w:r w:rsidR="00C51767" w:rsidRPr="00E96855">
        <w:rPr>
          <w:rFonts w:cstheme="minorHAnsi"/>
          <w:i/>
          <w:sz w:val="18"/>
          <w:szCs w:val="18"/>
        </w:rPr>
        <w:t>,</w:t>
      </w:r>
      <w:r w:rsidR="00C51767" w:rsidRPr="00E96855">
        <w:rPr>
          <w:rFonts w:cstheme="minorHAnsi"/>
          <w:sz w:val="18"/>
          <w:szCs w:val="18"/>
        </w:rPr>
        <w:t xml:space="preserve"> Parliament of Australia website, 2018, accessed 16 June 2023</w:t>
      </w:r>
      <w:r w:rsidR="000515A7" w:rsidRPr="00E96855">
        <w:rPr>
          <w:rFonts w:cstheme="minorHAnsi"/>
          <w:sz w:val="18"/>
          <w:szCs w:val="18"/>
        </w:rPr>
        <w:t>.</w:t>
      </w:r>
    </w:p>
  </w:footnote>
  <w:footnote w:id="177">
    <w:p w14:paraId="30AEACE0" w14:textId="4A267CCF" w:rsidR="007761AA" w:rsidRPr="00E96855" w:rsidRDefault="007761AA">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10334F" w:rsidRPr="00E96855">
        <w:rPr>
          <w:rFonts w:cstheme="minorHAnsi"/>
          <w:sz w:val="18"/>
          <w:szCs w:val="18"/>
        </w:rPr>
        <w:t xml:space="preserve">Based on an analysis of Department of Education, </w:t>
      </w:r>
      <w:r w:rsidR="0010334F" w:rsidRPr="00E96855">
        <w:rPr>
          <w:rFonts w:cstheme="minorHAnsi"/>
          <w:i/>
          <w:sz w:val="18"/>
          <w:szCs w:val="18"/>
        </w:rPr>
        <w:t xml:space="preserve">Higher Education Statistics –Student Data </w:t>
      </w:r>
      <w:r w:rsidR="0010334F" w:rsidRPr="00E96855">
        <w:rPr>
          <w:rFonts w:cstheme="minorHAnsi"/>
          <w:iCs/>
          <w:sz w:val="18"/>
          <w:szCs w:val="18"/>
        </w:rPr>
        <w:t>[unpublished data],</w:t>
      </w:r>
      <w:r w:rsidR="0010334F" w:rsidRPr="00E96855">
        <w:rPr>
          <w:rFonts w:cstheme="minorHAnsi"/>
          <w:sz w:val="18"/>
          <w:szCs w:val="18"/>
        </w:rPr>
        <w:t xml:space="preserve"> Department of Education, Canberra, 2023 and</w:t>
      </w:r>
      <w:r w:rsidR="0010334F" w:rsidRPr="00E96855">
        <w:rPr>
          <w:rFonts w:cstheme="minorHAnsi"/>
          <w:color w:val="FF0000"/>
          <w:sz w:val="18"/>
          <w:szCs w:val="18"/>
        </w:rPr>
        <w:t xml:space="preserve"> </w:t>
      </w:r>
      <w:r w:rsidR="0010334F" w:rsidRPr="00E96855">
        <w:rPr>
          <w:rFonts w:cstheme="minorHAnsi"/>
          <w:sz w:val="18"/>
          <w:szCs w:val="18"/>
        </w:rPr>
        <w:t xml:space="preserve">Deloitte Access Economics, </w:t>
      </w:r>
      <w:hyperlink r:id="rId124" w:history="1">
        <w:r w:rsidR="0010334F" w:rsidRPr="00E96855">
          <w:rPr>
            <w:rStyle w:val="Hyperlink"/>
            <w:rFonts w:cstheme="minorHAnsi"/>
            <w:i/>
            <w:iCs/>
            <w:sz w:val="18"/>
            <w:szCs w:val="18"/>
          </w:rPr>
          <w:t>Transparency in Higher Education Expenditure</w:t>
        </w:r>
      </w:hyperlink>
      <w:r w:rsidR="0010334F" w:rsidRPr="00E96855">
        <w:rPr>
          <w:rFonts w:cstheme="minorHAnsi"/>
          <w:sz w:val="18"/>
          <w:szCs w:val="18"/>
        </w:rPr>
        <w:t xml:space="preserve">, report </w:t>
      </w:r>
      <w:r w:rsidR="000614DE" w:rsidRPr="00E96855">
        <w:rPr>
          <w:rFonts w:cstheme="minorHAnsi"/>
          <w:sz w:val="18"/>
          <w:szCs w:val="18"/>
        </w:rPr>
        <w:t>to</w:t>
      </w:r>
      <w:r w:rsidR="0010334F" w:rsidRPr="00E96855">
        <w:rPr>
          <w:rFonts w:cstheme="minorHAnsi"/>
          <w:sz w:val="18"/>
          <w:szCs w:val="18"/>
        </w:rPr>
        <w:t xml:space="preserve"> the Australian Government Department of Education, Deloitte Access Economics, </w:t>
      </w:r>
      <w:r w:rsidR="001D20BB" w:rsidRPr="00E96855">
        <w:rPr>
          <w:rFonts w:cstheme="minorHAnsi"/>
          <w:sz w:val="18"/>
          <w:szCs w:val="18"/>
        </w:rPr>
        <w:t xml:space="preserve">November </w:t>
      </w:r>
      <w:r w:rsidR="0010334F" w:rsidRPr="00E96855">
        <w:rPr>
          <w:rFonts w:cstheme="minorHAnsi"/>
          <w:sz w:val="18"/>
          <w:szCs w:val="18"/>
        </w:rPr>
        <w:t>2019, accessed 14 June 2023.</w:t>
      </w:r>
      <w:r w:rsidRPr="00E96855">
        <w:rPr>
          <w:rFonts w:cstheme="minorHAnsi"/>
          <w:sz w:val="18"/>
          <w:szCs w:val="18"/>
        </w:rPr>
        <w:t xml:space="preserve"> </w:t>
      </w:r>
      <w:r w:rsidR="00410CB7" w:rsidRPr="00E96855">
        <w:rPr>
          <w:rFonts w:cstheme="minorHAnsi"/>
          <w:sz w:val="18"/>
          <w:szCs w:val="18"/>
        </w:rPr>
        <w:t>This figure is based on analysis done at the time of the package's formulation</w:t>
      </w:r>
      <w:r w:rsidR="00410CB7" w:rsidRPr="00E96855" w:rsidDel="00EA7219">
        <w:rPr>
          <w:rFonts w:cstheme="minorHAnsi"/>
          <w:sz w:val="18"/>
          <w:szCs w:val="18"/>
        </w:rPr>
        <w:t>,</w:t>
      </w:r>
      <w:r w:rsidR="00410CB7" w:rsidRPr="00E96855">
        <w:rPr>
          <w:rFonts w:cstheme="minorHAnsi"/>
          <w:sz w:val="18"/>
          <w:szCs w:val="18"/>
        </w:rPr>
        <w:t xml:space="preserve"> and was based on student load profiles from 2019 (then the most up-to-date available data). University estimates of student load for 2022 suggest that since that time student profiles have changed to a non-trivial extent, and university cost estimates have also been updated since the reforms were implemented. It is not safe to assume that the 106% figure remains true in </w:t>
      </w:r>
      <w:r w:rsidR="0010334F" w:rsidRPr="00E96855">
        <w:rPr>
          <w:rFonts w:cstheme="minorHAnsi"/>
          <w:sz w:val="18"/>
          <w:szCs w:val="18"/>
        </w:rPr>
        <w:t>2023</w:t>
      </w:r>
      <w:r w:rsidR="004F7D27" w:rsidRPr="00E96855">
        <w:rPr>
          <w:rFonts w:cstheme="minorHAnsi"/>
          <w:sz w:val="18"/>
          <w:szCs w:val="18"/>
        </w:rPr>
        <w:t>.</w:t>
      </w:r>
    </w:p>
  </w:footnote>
  <w:footnote w:id="178">
    <w:p w14:paraId="23E5E785" w14:textId="1CDD56AD" w:rsidR="00DB519E" w:rsidRPr="00E96855" w:rsidRDefault="00DB519E">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F57F15" w:rsidRPr="00E96855">
        <w:rPr>
          <w:rFonts w:cstheme="minorHAnsi"/>
          <w:sz w:val="18"/>
          <w:szCs w:val="18"/>
        </w:rPr>
        <w:t xml:space="preserve">Based on analysis of Department of Education, </w:t>
      </w:r>
      <w:r w:rsidR="00F57F15" w:rsidRPr="00E96855">
        <w:rPr>
          <w:rFonts w:cstheme="minorHAnsi"/>
          <w:i/>
          <w:sz w:val="18"/>
          <w:szCs w:val="18"/>
        </w:rPr>
        <w:t xml:space="preserve">Higher Education Statistics –Student Data </w:t>
      </w:r>
      <w:r w:rsidR="00F57F15" w:rsidRPr="00E96855">
        <w:rPr>
          <w:rFonts w:cstheme="minorHAnsi"/>
          <w:iCs/>
          <w:sz w:val="18"/>
          <w:szCs w:val="18"/>
        </w:rPr>
        <w:t>[unpublished data]</w:t>
      </w:r>
      <w:r w:rsidR="00F57F15" w:rsidRPr="00E96855">
        <w:rPr>
          <w:rFonts w:cstheme="minorHAnsi"/>
          <w:sz w:val="18"/>
          <w:szCs w:val="18"/>
        </w:rPr>
        <w:t>.</w:t>
      </w:r>
    </w:p>
  </w:footnote>
  <w:footnote w:id="179">
    <w:p w14:paraId="59093C3F" w14:textId="31C2CBC8" w:rsidR="006F35F1" w:rsidRPr="00E96855" w:rsidRDefault="006F35F1">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6D6406" w:rsidRPr="00E96855">
        <w:rPr>
          <w:rFonts w:cstheme="minorHAnsi"/>
          <w:sz w:val="18"/>
          <w:szCs w:val="18"/>
        </w:rPr>
        <w:t xml:space="preserve">Productivity Commission, </w:t>
      </w:r>
      <w:r w:rsidR="006D6406" w:rsidRPr="00E96855">
        <w:rPr>
          <w:rFonts w:cstheme="minorHAnsi"/>
          <w:i/>
          <w:iCs/>
          <w:sz w:val="18"/>
          <w:szCs w:val="18"/>
        </w:rPr>
        <w:t>5-year Productivity Inquiry: From learning to growth</w:t>
      </w:r>
      <w:r w:rsidR="0065647C" w:rsidRPr="00E96855">
        <w:rPr>
          <w:rFonts w:cstheme="minorHAnsi"/>
          <w:sz w:val="18"/>
          <w:szCs w:val="18"/>
        </w:rPr>
        <w:t>.</w:t>
      </w:r>
    </w:p>
  </w:footnote>
  <w:footnote w:id="180">
    <w:p w14:paraId="1EFEF8EE" w14:textId="2816E32F" w:rsidR="00141396" w:rsidRPr="00E96855" w:rsidRDefault="00141396">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5F3299" w:rsidRPr="00E96855">
        <w:rPr>
          <w:rFonts w:cstheme="minorHAnsi"/>
          <w:sz w:val="18"/>
          <w:szCs w:val="18"/>
        </w:rPr>
        <w:t xml:space="preserve">M Yong, </w:t>
      </w:r>
      <w:r w:rsidR="005F3299" w:rsidRPr="00E96855">
        <w:rPr>
          <w:rFonts w:cstheme="minorHAnsi"/>
          <w:i/>
          <w:sz w:val="18"/>
          <w:szCs w:val="18"/>
        </w:rPr>
        <w:t>Demand and supply effects of university funding changes: an Australian policy analysis</w:t>
      </w:r>
      <w:r w:rsidR="005F3299" w:rsidRPr="00E96855">
        <w:rPr>
          <w:rFonts w:cstheme="minorHAnsi"/>
          <w:sz w:val="18"/>
          <w:szCs w:val="18"/>
        </w:rPr>
        <w:t xml:space="preserve"> [unpublished Honours </w:t>
      </w:r>
      <w:r w:rsidR="006842ED" w:rsidRPr="00E96855">
        <w:rPr>
          <w:rFonts w:cstheme="minorHAnsi"/>
          <w:sz w:val="18"/>
          <w:szCs w:val="18"/>
        </w:rPr>
        <w:t>thesis</w:t>
      </w:r>
      <w:r w:rsidR="005F3299" w:rsidRPr="00E96855">
        <w:rPr>
          <w:rFonts w:cstheme="minorHAnsi"/>
          <w:sz w:val="18"/>
          <w:szCs w:val="18"/>
        </w:rPr>
        <w:t>], University of Melbourne, 2022</w:t>
      </w:r>
      <w:r w:rsidR="009C3E86" w:rsidRPr="00E96855">
        <w:rPr>
          <w:rFonts w:cstheme="minorHAnsi"/>
          <w:sz w:val="18"/>
          <w:szCs w:val="18"/>
        </w:rPr>
        <w:t>.</w:t>
      </w:r>
    </w:p>
  </w:footnote>
  <w:footnote w:id="181">
    <w:p w14:paraId="06BCD7D0" w14:textId="218BF4C9" w:rsidR="007C47C1" w:rsidRPr="00E96855" w:rsidRDefault="007C47C1">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065FEF" w:rsidRPr="00E96855">
        <w:rPr>
          <w:rFonts w:cstheme="minorHAnsi"/>
          <w:sz w:val="18"/>
          <w:szCs w:val="18"/>
        </w:rPr>
        <w:t>Department of Education</w:t>
      </w:r>
      <w:r w:rsidR="00296F90" w:rsidRPr="00E96855">
        <w:rPr>
          <w:rFonts w:cstheme="minorHAnsi"/>
          <w:sz w:val="18"/>
          <w:szCs w:val="18"/>
        </w:rPr>
        <w:t xml:space="preserve">, </w:t>
      </w:r>
      <w:r w:rsidR="008275A7" w:rsidRPr="00E96855">
        <w:rPr>
          <w:rFonts w:cstheme="minorHAnsi"/>
          <w:i/>
          <w:iCs/>
          <w:sz w:val="18"/>
          <w:szCs w:val="18"/>
        </w:rPr>
        <w:t>A</w:t>
      </w:r>
      <w:r w:rsidR="00296F90" w:rsidRPr="00E96855">
        <w:rPr>
          <w:rFonts w:cstheme="minorHAnsi"/>
          <w:i/>
          <w:iCs/>
          <w:sz w:val="18"/>
          <w:szCs w:val="18"/>
        </w:rPr>
        <w:t>nalysis of Tertiary Admissions Centre data</w:t>
      </w:r>
      <w:r w:rsidR="00296F90" w:rsidRPr="00E96855">
        <w:rPr>
          <w:rFonts w:cstheme="minorHAnsi"/>
          <w:sz w:val="18"/>
          <w:szCs w:val="18"/>
        </w:rPr>
        <w:t xml:space="preserve"> [unpublished analysis], Department of Education, Canberra 2023</w:t>
      </w:r>
      <w:r w:rsidRPr="00E96855">
        <w:rPr>
          <w:rFonts w:cstheme="minorHAnsi"/>
          <w:sz w:val="18"/>
          <w:szCs w:val="18"/>
        </w:rPr>
        <w:t>.</w:t>
      </w:r>
    </w:p>
  </w:footnote>
  <w:footnote w:id="182">
    <w:p w14:paraId="27FFA63E" w14:textId="34049EE2" w:rsidR="00267E5A" w:rsidRPr="00E96855" w:rsidRDefault="00267E5A" w:rsidP="00267E5A">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Productivity Commission</w:t>
      </w:r>
      <w:r w:rsidR="00F75932" w:rsidRPr="00E96855">
        <w:rPr>
          <w:rFonts w:cstheme="minorHAnsi"/>
          <w:sz w:val="18"/>
          <w:szCs w:val="18"/>
        </w:rPr>
        <w:t xml:space="preserve">, </w:t>
      </w:r>
      <w:r w:rsidR="00F75932" w:rsidRPr="00E96855">
        <w:rPr>
          <w:rFonts w:cstheme="minorHAnsi"/>
          <w:i/>
          <w:iCs/>
          <w:sz w:val="18"/>
          <w:szCs w:val="18"/>
        </w:rPr>
        <w:t>5-year Productivity Inquiry: From learning to growth</w:t>
      </w:r>
      <w:r w:rsidR="00914295" w:rsidRPr="00E96855">
        <w:rPr>
          <w:rFonts w:cstheme="minorHAnsi"/>
          <w:sz w:val="18"/>
          <w:szCs w:val="18"/>
        </w:rPr>
        <w:t>.</w:t>
      </w:r>
    </w:p>
  </w:footnote>
  <w:footnote w:id="183">
    <w:p w14:paraId="66C0A1BE" w14:textId="6E8D7271" w:rsidR="00A75B34" w:rsidRPr="00E96855" w:rsidRDefault="00A75B34">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D510BC" w:rsidRPr="00E96855">
        <w:rPr>
          <w:rFonts w:cstheme="minorHAnsi"/>
          <w:sz w:val="18"/>
          <w:szCs w:val="18"/>
        </w:rPr>
        <w:t xml:space="preserve">D Kemp and A Norton, </w:t>
      </w:r>
      <w:hyperlink r:id="rId125" w:history="1">
        <w:r w:rsidR="00D510BC" w:rsidRPr="00E96855">
          <w:rPr>
            <w:rStyle w:val="Hyperlink"/>
            <w:rFonts w:cstheme="minorHAnsi"/>
            <w:i/>
            <w:sz w:val="18"/>
            <w:szCs w:val="18"/>
          </w:rPr>
          <w:t>Review of the Demand Driven Funding System Report</w:t>
        </w:r>
      </w:hyperlink>
      <w:r w:rsidR="00D510BC" w:rsidRPr="00E96855">
        <w:rPr>
          <w:rFonts w:cstheme="minorHAnsi"/>
          <w:sz w:val="18"/>
          <w:szCs w:val="18"/>
        </w:rPr>
        <w:t>, Department of Education, Australian Government, 2014, accessed 12 June 2023</w:t>
      </w:r>
      <w:r w:rsidR="000B1E3E" w:rsidRPr="00E96855">
        <w:rPr>
          <w:rFonts w:cstheme="minorHAnsi"/>
          <w:sz w:val="18"/>
          <w:szCs w:val="18"/>
        </w:rPr>
        <w:t>.</w:t>
      </w:r>
    </w:p>
  </w:footnote>
  <w:footnote w:id="184">
    <w:p w14:paraId="56522DA5" w14:textId="25DB765D" w:rsidR="00AD0C90" w:rsidRPr="00E96855" w:rsidRDefault="00AD0C90">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A259D9" w:rsidRPr="00E96855">
        <w:rPr>
          <w:rFonts w:cstheme="minorHAnsi"/>
          <w:sz w:val="18"/>
          <w:szCs w:val="18"/>
        </w:rPr>
        <w:t xml:space="preserve">Kemp and Norton, </w:t>
      </w:r>
      <w:r w:rsidR="00A259D9" w:rsidRPr="00E96855">
        <w:rPr>
          <w:rFonts w:cstheme="minorHAnsi"/>
          <w:i/>
          <w:sz w:val="18"/>
          <w:szCs w:val="18"/>
        </w:rPr>
        <w:t>Review of the Demand Driven Funding System Report</w:t>
      </w:r>
      <w:r w:rsidR="00A259D9" w:rsidRPr="00E96855">
        <w:rPr>
          <w:rFonts w:cstheme="minorHAnsi"/>
          <w:sz w:val="18"/>
          <w:szCs w:val="18"/>
        </w:rPr>
        <w:t>.</w:t>
      </w:r>
      <w:r w:rsidRPr="00E96855">
        <w:rPr>
          <w:rFonts w:cstheme="minorHAnsi"/>
          <w:sz w:val="18"/>
          <w:szCs w:val="18"/>
        </w:rPr>
        <w:t xml:space="preserve"> </w:t>
      </w:r>
    </w:p>
  </w:footnote>
  <w:footnote w:id="185">
    <w:p w14:paraId="2607435D" w14:textId="2E4904A4" w:rsidR="009B7EF4" w:rsidRPr="00E96855" w:rsidRDefault="009B7EF4">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Department of Education</w:t>
      </w:r>
      <w:r w:rsidR="00913FF7" w:rsidRPr="00E96855">
        <w:rPr>
          <w:rFonts w:cstheme="minorHAnsi"/>
          <w:sz w:val="18"/>
          <w:szCs w:val="18"/>
        </w:rPr>
        <w:t xml:space="preserve">, </w:t>
      </w:r>
      <w:r w:rsidR="00913FF7" w:rsidRPr="00E96855">
        <w:rPr>
          <w:rFonts w:cstheme="minorHAnsi"/>
          <w:i/>
          <w:sz w:val="18"/>
          <w:szCs w:val="18"/>
        </w:rPr>
        <w:t xml:space="preserve">Higher Education Statistics –Student Data </w:t>
      </w:r>
      <w:r w:rsidR="00913FF7" w:rsidRPr="00E96855">
        <w:rPr>
          <w:rFonts w:cstheme="minorHAnsi"/>
          <w:iCs/>
          <w:sz w:val="18"/>
          <w:szCs w:val="18"/>
        </w:rPr>
        <w:t>[unpublished data]</w:t>
      </w:r>
      <w:r w:rsidR="00913FF7" w:rsidRPr="00E96855">
        <w:rPr>
          <w:rFonts w:cstheme="minorHAnsi"/>
          <w:sz w:val="18"/>
          <w:szCs w:val="18"/>
        </w:rPr>
        <w:t>.</w:t>
      </w:r>
    </w:p>
  </w:footnote>
  <w:footnote w:id="186">
    <w:p w14:paraId="15995DC3" w14:textId="5EEF2077" w:rsidR="00267E5A" w:rsidRPr="00E96855" w:rsidRDefault="00267E5A" w:rsidP="00763561">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B15B91" w:rsidRPr="00E96855">
        <w:rPr>
          <w:rFonts w:cstheme="minorHAnsi"/>
          <w:sz w:val="18"/>
          <w:szCs w:val="18"/>
        </w:rPr>
        <w:t xml:space="preserve">UNSW, </w:t>
      </w:r>
      <w:hyperlink r:id="rId126" w:history="1">
        <w:r w:rsidR="00B15B91" w:rsidRPr="00E96855">
          <w:rPr>
            <w:rStyle w:val="Hyperlink"/>
            <w:rFonts w:cstheme="minorHAnsi"/>
            <w:i/>
            <w:iCs/>
            <w:sz w:val="18"/>
            <w:szCs w:val="18"/>
          </w:rPr>
          <w:t>Submission to the Australian Universities Accord Discussion Paper</w:t>
        </w:r>
      </w:hyperlink>
      <w:r w:rsidR="00B15B91" w:rsidRPr="00E96855">
        <w:rPr>
          <w:rFonts w:cstheme="minorHAnsi"/>
          <w:i/>
          <w:iCs/>
          <w:sz w:val="18"/>
          <w:szCs w:val="18"/>
        </w:rPr>
        <w:t>,</w:t>
      </w:r>
      <w:r w:rsidR="00B15B91" w:rsidRPr="00E96855">
        <w:rPr>
          <w:rFonts w:cstheme="minorHAnsi"/>
          <w:sz w:val="18"/>
          <w:szCs w:val="18"/>
        </w:rPr>
        <w:t xml:space="preserve"> 2023; James Cook University (JCU), </w:t>
      </w:r>
      <w:hyperlink r:id="rId127" w:history="1">
        <w:r w:rsidR="00B15B91" w:rsidRPr="00E96855">
          <w:rPr>
            <w:rStyle w:val="Hyperlink"/>
            <w:rFonts w:cstheme="minorHAnsi"/>
            <w:i/>
            <w:iCs/>
            <w:sz w:val="18"/>
            <w:szCs w:val="18"/>
          </w:rPr>
          <w:t>Submission to the Australian Universities Accord Discussion Paper</w:t>
        </w:r>
      </w:hyperlink>
      <w:r w:rsidR="00B15B91" w:rsidRPr="00E96855">
        <w:rPr>
          <w:rFonts w:cstheme="minorHAnsi"/>
          <w:sz w:val="18"/>
          <w:szCs w:val="18"/>
        </w:rPr>
        <w:t xml:space="preserve">, 2023; University of Melbourne, </w:t>
      </w:r>
      <w:hyperlink r:id="rId128" w:history="1">
        <w:r w:rsidR="00B15B91" w:rsidRPr="00E96855">
          <w:rPr>
            <w:rStyle w:val="Hyperlink"/>
            <w:rFonts w:cstheme="minorHAnsi"/>
            <w:i/>
            <w:iCs/>
            <w:sz w:val="18"/>
            <w:szCs w:val="18"/>
          </w:rPr>
          <w:t>Submission to the Australian Universities Accord Discussion Paper</w:t>
        </w:r>
      </w:hyperlink>
      <w:r w:rsidR="00B15B91" w:rsidRPr="00E96855">
        <w:rPr>
          <w:rFonts w:cstheme="minorHAnsi"/>
          <w:sz w:val="18"/>
          <w:szCs w:val="18"/>
        </w:rPr>
        <w:t xml:space="preserve">, 2023; ATN, </w:t>
      </w:r>
      <w:hyperlink r:id="rId129" w:history="1">
        <w:r w:rsidR="00B15B91" w:rsidRPr="00E96855">
          <w:rPr>
            <w:rStyle w:val="Hyperlink"/>
            <w:rFonts w:cstheme="minorHAnsi"/>
            <w:i/>
            <w:iCs/>
            <w:sz w:val="18"/>
            <w:szCs w:val="18"/>
          </w:rPr>
          <w:t>Submission to the Australian Universities Accord Discussion Paper</w:t>
        </w:r>
      </w:hyperlink>
      <w:r w:rsidR="00B15B91" w:rsidRPr="00E96855">
        <w:rPr>
          <w:rFonts w:cstheme="minorHAnsi"/>
          <w:sz w:val="18"/>
          <w:szCs w:val="18"/>
        </w:rPr>
        <w:t>, 2023</w:t>
      </w:r>
      <w:r w:rsidR="00763561" w:rsidRPr="00E96855">
        <w:rPr>
          <w:rFonts w:cstheme="minorHAnsi"/>
          <w:sz w:val="18"/>
          <w:szCs w:val="18"/>
        </w:rPr>
        <w:t>.</w:t>
      </w:r>
    </w:p>
  </w:footnote>
  <w:footnote w:id="187">
    <w:p w14:paraId="437D40F6" w14:textId="249D3C24" w:rsidR="00267E5A" w:rsidRPr="00E96855" w:rsidRDefault="00267E5A" w:rsidP="00267E5A">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6B3034" w:rsidRPr="00E96855">
        <w:rPr>
          <w:rFonts w:cstheme="minorHAnsi"/>
          <w:sz w:val="18"/>
          <w:szCs w:val="18"/>
        </w:rPr>
        <w:t>Department of Education</w:t>
      </w:r>
      <w:r w:rsidR="004A773A" w:rsidRPr="00E96855">
        <w:rPr>
          <w:rFonts w:cstheme="minorHAnsi"/>
          <w:sz w:val="18"/>
          <w:szCs w:val="18"/>
        </w:rPr>
        <w:t xml:space="preserve">, </w:t>
      </w:r>
      <w:hyperlink r:id="rId130" w:history="1">
        <w:r w:rsidR="004A773A" w:rsidRPr="00E96855">
          <w:rPr>
            <w:rStyle w:val="Hyperlink"/>
            <w:rFonts w:cstheme="minorHAnsi"/>
            <w:i/>
            <w:sz w:val="18"/>
            <w:szCs w:val="18"/>
          </w:rPr>
          <w:t>Schooling Resource Standard</w:t>
        </w:r>
      </w:hyperlink>
      <w:r w:rsidR="004A773A" w:rsidRPr="00E96855">
        <w:rPr>
          <w:rFonts w:cstheme="minorHAnsi"/>
          <w:sz w:val="18"/>
          <w:szCs w:val="18"/>
        </w:rPr>
        <w:t>, Department of Education website, n.d., accessed 7 June 2023</w:t>
      </w:r>
      <w:r w:rsidR="006B3034" w:rsidRPr="00E96855">
        <w:rPr>
          <w:rFonts w:cstheme="minorHAnsi"/>
          <w:sz w:val="18"/>
          <w:szCs w:val="18"/>
        </w:rPr>
        <w:t>.</w:t>
      </w:r>
    </w:p>
  </w:footnote>
  <w:footnote w:id="188">
    <w:p w14:paraId="52D0C315" w14:textId="1948C587" w:rsidR="00B7213A" w:rsidRPr="00E96855" w:rsidRDefault="00B7213A" w:rsidP="00B7213A">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OECD</w:t>
      </w:r>
      <w:r w:rsidR="000F1119" w:rsidRPr="00E96855">
        <w:rPr>
          <w:rFonts w:cstheme="minorHAnsi"/>
          <w:sz w:val="18"/>
          <w:szCs w:val="18"/>
        </w:rPr>
        <w:t xml:space="preserve">, </w:t>
      </w:r>
      <w:hyperlink r:id="rId131" w:history="1">
        <w:r w:rsidR="000F1119" w:rsidRPr="00E96855">
          <w:rPr>
            <w:rStyle w:val="Hyperlink"/>
            <w:rFonts w:cstheme="minorHAnsi"/>
            <w:i/>
            <w:iCs/>
            <w:sz w:val="18"/>
            <w:szCs w:val="18"/>
          </w:rPr>
          <w:t>Education at a Glance 2022: OECD Indicators</w:t>
        </w:r>
      </w:hyperlink>
      <w:r w:rsidR="000F1119" w:rsidRPr="00E96855">
        <w:rPr>
          <w:rFonts w:cstheme="minorHAnsi"/>
          <w:sz w:val="18"/>
          <w:szCs w:val="18"/>
        </w:rPr>
        <w:t>, OECD Publishing, Paris, 2022, accessed 7 June 2023.</w:t>
      </w:r>
    </w:p>
  </w:footnote>
  <w:footnote w:id="189">
    <w:p w14:paraId="7867F9BD" w14:textId="0222611D" w:rsidR="007B5432" w:rsidRPr="00E96855" w:rsidRDefault="007B5432">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641C9B" w:rsidRPr="00E96855">
        <w:rPr>
          <w:rFonts w:cstheme="minorHAnsi"/>
          <w:sz w:val="18"/>
          <w:szCs w:val="18"/>
        </w:rPr>
        <w:t>National Union of Students</w:t>
      </w:r>
      <w:hyperlink r:id="rId132" w:history="1">
        <w:r w:rsidR="00641C9B" w:rsidRPr="00E96855">
          <w:rPr>
            <w:rStyle w:val="Hyperlink"/>
            <w:rFonts w:cstheme="minorHAnsi"/>
            <w:sz w:val="18"/>
            <w:szCs w:val="18"/>
            <w:u w:val="none"/>
          </w:rPr>
          <w:t xml:space="preserve">, </w:t>
        </w:r>
        <w:r w:rsidR="00641C9B" w:rsidRPr="00E96855">
          <w:rPr>
            <w:rStyle w:val="Hyperlink"/>
            <w:rFonts w:cstheme="minorHAnsi"/>
            <w:i/>
            <w:iCs/>
            <w:sz w:val="18"/>
            <w:szCs w:val="18"/>
          </w:rPr>
          <w:t>Submission to the Australian Universities Accord Discussion Paper</w:t>
        </w:r>
      </w:hyperlink>
      <w:r w:rsidR="00961726" w:rsidRPr="00E96855">
        <w:rPr>
          <w:rFonts w:cstheme="minorHAnsi"/>
          <w:i/>
          <w:iCs/>
          <w:sz w:val="18"/>
          <w:szCs w:val="18"/>
        </w:rPr>
        <w:t>,</w:t>
      </w:r>
      <w:r w:rsidR="00641C9B" w:rsidRPr="00E96855">
        <w:rPr>
          <w:rFonts w:cstheme="minorHAnsi"/>
          <w:sz w:val="18"/>
          <w:szCs w:val="18"/>
        </w:rPr>
        <w:t xml:space="preserve"> 2023</w:t>
      </w:r>
      <w:r w:rsidR="00961726" w:rsidRPr="00E96855">
        <w:rPr>
          <w:rFonts w:cstheme="minorHAnsi"/>
          <w:sz w:val="18"/>
          <w:szCs w:val="18"/>
        </w:rPr>
        <w:t xml:space="preserve">; Universities Australia, </w:t>
      </w:r>
      <w:hyperlink r:id="rId133" w:history="1">
        <w:r w:rsidR="00961726" w:rsidRPr="00E96855">
          <w:rPr>
            <w:rStyle w:val="Hyperlink"/>
            <w:rFonts w:cstheme="minorHAnsi"/>
            <w:i/>
            <w:iCs/>
            <w:sz w:val="18"/>
            <w:szCs w:val="18"/>
          </w:rPr>
          <w:t>Submission to the Australian Universities Accord Discussion Paper</w:t>
        </w:r>
      </w:hyperlink>
      <w:r w:rsidR="00961726" w:rsidRPr="00E96855">
        <w:rPr>
          <w:rFonts w:cstheme="minorHAnsi"/>
          <w:sz w:val="18"/>
          <w:szCs w:val="18"/>
        </w:rPr>
        <w:t>, 2023</w:t>
      </w:r>
      <w:r w:rsidR="00641C9B" w:rsidRPr="00E96855">
        <w:rPr>
          <w:rFonts w:cstheme="minorHAnsi"/>
          <w:sz w:val="18"/>
          <w:szCs w:val="18"/>
        </w:rPr>
        <w:t>.</w:t>
      </w:r>
    </w:p>
  </w:footnote>
  <w:footnote w:id="190">
    <w:p w14:paraId="7FE3A873" w14:textId="6CD8D5CE" w:rsidR="00032D28" w:rsidRPr="00E96855" w:rsidRDefault="00032D28">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7850F3" w:rsidRPr="00E96855">
        <w:rPr>
          <w:rFonts w:cstheme="minorHAnsi"/>
          <w:sz w:val="18"/>
          <w:szCs w:val="18"/>
        </w:rPr>
        <w:t xml:space="preserve">The Group of Eight, </w:t>
      </w:r>
      <w:hyperlink r:id="rId134" w:history="1">
        <w:r w:rsidR="007850F3" w:rsidRPr="00E96855">
          <w:rPr>
            <w:rStyle w:val="Hyperlink"/>
            <w:rFonts w:cstheme="minorHAnsi"/>
            <w:i/>
            <w:iCs/>
            <w:sz w:val="18"/>
            <w:szCs w:val="18"/>
          </w:rPr>
          <w:t>Submission to the Australian Universities Accord Discussion Paper</w:t>
        </w:r>
      </w:hyperlink>
      <w:r w:rsidR="007850F3" w:rsidRPr="00E96855">
        <w:rPr>
          <w:rFonts w:cstheme="minorHAnsi"/>
          <w:sz w:val="18"/>
          <w:szCs w:val="18"/>
        </w:rPr>
        <w:t xml:space="preserve">, 2023; Australian Technology Network of Universities </w:t>
      </w:r>
      <w:hyperlink r:id="rId135" w:history="1">
        <w:r w:rsidR="007850F3" w:rsidRPr="00E96855">
          <w:rPr>
            <w:rStyle w:val="Hyperlink"/>
            <w:rFonts w:cstheme="minorHAnsi"/>
            <w:i/>
            <w:iCs/>
            <w:sz w:val="18"/>
            <w:szCs w:val="18"/>
          </w:rPr>
          <w:t>Submission to the Australian Universities Accord Discussion Paper</w:t>
        </w:r>
      </w:hyperlink>
      <w:r w:rsidR="007850F3" w:rsidRPr="00E96855">
        <w:rPr>
          <w:rFonts w:cstheme="minorHAnsi"/>
          <w:i/>
          <w:iCs/>
          <w:sz w:val="18"/>
          <w:szCs w:val="18"/>
        </w:rPr>
        <w:t xml:space="preserve">, </w:t>
      </w:r>
      <w:r w:rsidR="007850F3" w:rsidRPr="00E96855">
        <w:rPr>
          <w:rFonts w:cstheme="minorHAnsi"/>
          <w:sz w:val="18"/>
          <w:szCs w:val="18"/>
        </w:rPr>
        <w:t>2023.</w:t>
      </w:r>
    </w:p>
  </w:footnote>
  <w:footnote w:id="191">
    <w:p w14:paraId="512347EE" w14:textId="4F814B37" w:rsidR="009D5FAA" w:rsidRPr="00E96855" w:rsidRDefault="009D5FAA">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1D731C" w:rsidRPr="00E96855">
        <w:rPr>
          <w:rFonts w:cstheme="minorHAnsi"/>
          <w:sz w:val="18"/>
          <w:szCs w:val="18"/>
        </w:rPr>
        <w:t xml:space="preserve">NSW Vice-Chancellors’ Committee, </w:t>
      </w:r>
      <w:hyperlink r:id="rId136" w:history="1">
        <w:r w:rsidR="001D731C" w:rsidRPr="00E96855">
          <w:rPr>
            <w:rStyle w:val="Hyperlink"/>
            <w:rFonts w:cstheme="minorHAnsi"/>
            <w:i/>
            <w:iCs/>
            <w:sz w:val="18"/>
            <w:szCs w:val="18"/>
          </w:rPr>
          <w:t>Submission to the Australian Universities Accord Discussion Paper</w:t>
        </w:r>
      </w:hyperlink>
      <w:r w:rsidR="001D731C" w:rsidRPr="00E96855">
        <w:rPr>
          <w:rFonts w:cstheme="minorHAnsi"/>
          <w:sz w:val="18"/>
          <w:szCs w:val="18"/>
        </w:rPr>
        <w:t xml:space="preserve">, 2023; University of Technology Sydney, </w:t>
      </w:r>
      <w:hyperlink r:id="rId137" w:history="1">
        <w:r w:rsidR="001D731C" w:rsidRPr="00E96855">
          <w:rPr>
            <w:rStyle w:val="Hyperlink"/>
            <w:rFonts w:cstheme="minorHAnsi"/>
            <w:i/>
            <w:iCs/>
            <w:sz w:val="18"/>
            <w:szCs w:val="18"/>
          </w:rPr>
          <w:t>Submission to the Australian Universities Accord Discussion Paper</w:t>
        </w:r>
      </w:hyperlink>
      <w:r w:rsidR="001D731C" w:rsidRPr="00E96855">
        <w:rPr>
          <w:rFonts w:cstheme="minorHAnsi"/>
          <w:sz w:val="18"/>
          <w:szCs w:val="18"/>
        </w:rPr>
        <w:t>, 2023.</w:t>
      </w:r>
    </w:p>
  </w:footnote>
  <w:footnote w:id="192">
    <w:p w14:paraId="238FCE79" w14:textId="7475FA17" w:rsidR="00524DB5" w:rsidRPr="00E96855" w:rsidRDefault="00524DB5">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A25D67" w:rsidRPr="00E96855">
        <w:rPr>
          <w:rFonts w:cstheme="minorHAnsi"/>
          <w:sz w:val="18"/>
          <w:szCs w:val="18"/>
        </w:rPr>
        <w:t>Deloitte Access Economics,</w:t>
      </w:r>
      <w:r w:rsidR="00A25D67" w:rsidRPr="00E96855">
        <w:rPr>
          <w:rFonts w:cstheme="minorHAnsi"/>
          <w:i/>
          <w:iCs/>
          <w:sz w:val="18"/>
          <w:szCs w:val="18"/>
        </w:rPr>
        <w:t xml:space="preserve"> </w:t>
      </w:r>
      <w:hyperlink r:id="rId138" w:history="1">
        <w:r w:rsidR="00A25D67" w:rsidRPr="00E96855">
          <w:rPr>
            <w:rStyle w:val="Hyperlink"/>
            <w:rFonts w:cstheme="minorHAnsi"/>
            <w:i/>
            <w:iCs/>
            <w:sz w:val="18"/>
            <w:szCs w:val="18"/>
          </w:rPr>
          <w:t>Transparency in Higher Education Expenditure</w:t>
        </w:r>
      </w:hyperlink>
      <w:r w:rsidR="00A25D67" w:rsidRPr="00E96855">
        <w:rPr>
          <w:rFonts w:cstheme="minorHAnsi"/>
          <w:sz w:val="18"/>
          <w:szCs w:val="18"/>
        </w:rPr>
        <w:t>, report to the Department of Education, Skills and Employment, Deloitte Access Economics, June 2022, accessed 13 June 2023</w:t>
      </w:r>
      <w:r w:rsidRPr="00E96855">
        <w:rPr>
          <w:rFonts w:cstheme="minorHAnsi"/>
          <w:sz w:val="18"/>
          <w:szCs w:val="18"/>
        </w:rPr>
        <w:t>.</w:t>
      </w:r>
    </w:p>
  </w:footnote>
  <w:footnote w:id="193">
    <w:p w14:paraId="0067C285" w14:textId="21D87923" w:rsidR="006B14F3" w:rsidRPr="00E96855" w:rsidRDefault="006B14F3">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0C487F" w:rsidRPr="00E96855">
        <w:rPr>
          <w:rFonts w:cstheme="minorHAnsi"/>
          <w:sz w:val="18"/>
          <w:szCs w:val="18"/>
        </w:rPr>
        <w:t xml:space="preserve">University of Canberra, </w:t>
      </w:r>
      <w:hyperlink r:id="rId139" w:history="1">
        <w:r w:rsidR="000C487F" w:rsidRPr="00E96855">
          <w:rPr>
            <w:rStyle w:val="Hyperlink"/>
            <w:rFonts w:cstheme="minorHAnsi"/>
            <w:i/>
            <w:iCs/>
            <w:sz w:val="18"/>
            <w:szCs w:val="18"/>
          </w:rPr>
          <w:t>Submission to the Australian Universities Accord Discussion Paper</w:t>
        </w:r>
      </w:hyperlink>
      <w:r w:rsidR="000C487F" w:rsidRPr="00E96855">
        <w:rPr>
          <w:rFonts w:cstheme="minorHAnsi"/>
          <w:sz w:val="18"/>
          <w:szCs w:val="18"/>
        </w:rPr>
        <w:t>, 2023.</w:t>
      </w:r>
    </w:p>
  </w:footnote>
  <w:footnote w:id="194">
    <w:p w14:paraId="4947F318" w14:textId="46862C53" w:rsidR="006B0D04" w:rsidRPr="00E96855" w:rsidRDefault="006B0D04">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Based on Department of Education analysis of departmental and </w:t>
      </w:r>
      <w:r w:rsidR="00B11DFE" w:rsidRPr="00E96855">
        <w:rPr>
          <w:rFonts w:cstheme="minorHAnsi"/>
          <w:sz w:val="18"/>
          <w:szCs w:val="18"/>
        </w:rPr>
        <w:t>Australian Taxation Office (ATO) HELP data [unpublished].</w:t>
      </w:r>
    </w:p>
  </w:footnote>
  <w:footnote w:id="195">
    <w:p w14:paraId="12F6BD27" w14:textId="206BB9E1" w:rsidR="00267E5A" w:rsidRPr="00E96855" w:rsidRDefault="00267E5A" w:rsidP="00267E5A">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B04045" w:rsidRPr="00E96855">
        <w:rPr>
          <w:rFonts w:cstheme="minorHAnsi"/>
          <w:sz w:val="18"/>
          <w:szCs w:val="18"/>
        </w:rPr>
        <w:t xml:space="preserve">ABS, </w:t>
      </w:r>
      <w:hyperlink r:id="rId140" w:history="1">
        <w:r w:rsidR="00B04045" w:rsidRPr="00E96855">
          <w:rPr>
            <w:rStyle w:val="Hyperlink"/>
            <w:rFonts w:cstheme="minorHAnsi"/>
            <w:i/>
            <w:sz w:val="18"/>
            <w:szCs w:val="18"/>
          </w:rPr>
          <w:t>Consumer Price Index, Australia</w:t>
        </w:r>
      </w:hyperlink>
      <w:r w:rsidR="00B04045" w:rsidRPr="00E96855">
        <w:rPr>
          <w:rFonts w:cstheme="minorHAnsi"/>
          <w:sz w:val="18"/>
          <w:szCs w:val="18"/>
        </w:rPr>
        <w:t>, ABS Website, n.d., accessed 13 June 2023.</w:t>
      </w:r>
    </w:p>
  </w:footnote>
  <w:footnote w:id="196">
    <w:p w14:paraId="1EC341D5" w14:textId="1A200E23" w:rsidR="00267E5A" w:rsidRPr="00E96855" w:rsidRDefault="00267E5A" w:rsidP="00267E5A">
      <w:pPr>
        <w:pStyle w:val="FootnoteText"/>
        <w:rPr>
          <w:rFonts w:cstheme="minorHAnsi"/>
          <w:sz w:val="18"/>
          <w:szCs w:val="18"/>
        </w:rPr>
      </w:pPr>
      <w:r w:rsidRPr="00E96855">
        <w:rPr>
          <w:rStyle w:val="FootnoteReference"/>
          <w:rFonts w:cstheme="minorHAnsi"/>
          <w:sz w:val="18"/>
          <w:szCs w:val="18"/>
        </w:rPr>
        <w:footnoteRef/>
      </w:r>
      <w:r w:rsidRPr="00E96855">
        <w:rPr>
          <w:rFonts w:cstheme="minorHAnsi"/>
          <w:color w:val="000000"/>
          <w:sz w:val="18"/>
          <w:szCs w:val="18"/>
          <w:shd w:val="clear" w:color="auto" w:fill="FFFFFF"/>
        </w:rPr>
        <w:t xml:space="preserve"> </w:t>
      </w:r>
      <w:r w:rsidR="00975CF6" w:rsidRPr="00E96855">
        <w:rPr>
          <w:rFonts w:cstheme="minorHAnsi"/>
          <w:color w:val="000000"/>
          <w:sz w:val="18"/>
          <w:szCs w:val="18"/>
          <w:shd w:val="clear" w:color="auto" w:fill="FFFFFF"/>
        </w:rPr>
        <w:t xml:space="preserve">ATO, </w:t>
      </w:r>
      <w:hyperlink r:id="rId141" w:history="1">
        <w:r w:rsidR="00975CF6" w:rsidRPr="00E96855">
          <w:rPr>
            <w:rStyle w:val="Hyperlink"/>
            <w:rFonts w:cstheme="minorHAnsi"/>
            <w:i/>
            <w:sz w:val="18"/>
            <w:szCs w:val="18"/>
            <w:shd w:val="clear" w:color="auto" w:fill="FFFFFF"/>
          </w:rPr>
          <w:t>Study and training loan repayment thresholds and rates</w:t>
        </w:r>
      </w:hyperlink>
      <w:r w:rsidR="00975CF6" w:rsidRPr="00E96855">
        <w:rPr>
          <w:rFonts w:cstheme="minorHAnsi"/>
          <w:color w:val="000000"/>
          <w:sz w:val="18"/>
          <w:szCs w:val="18"/>
          <w:shd w:val="clear" w:color="auto" w:fill="FFFFFF"/>
        </w:rPr>
        <w:t>, ATO website, n.d., accessed 13 June 2023.</w:t>
      </w:r>
    </w:p>
  </w:footnote>
  <w:footnote w:id="197">
    <w:p w14:paraId="43C158DA" w14:textId="492E8D0B" w:rsidR="00267E5A" w:rsidRPr="00E96855" w:rsidRDefault="00267E5A" w:rsidP="00267E5A">
      <w:pPr>
        <w:pStyle w:val="FootnoteText"/>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F74CD4" w:rsidRPr="00E96855">
        <w:rPr>
          <w:rFonts w:cstheme="minorHAnsi"/>
          <w:sz w:val="18"/>
          <w:szCs w:val="18"/>
        </w:rPr>
        <w:t>R</w:t>
      </w:r>
      <w:r w:rsidRPr="00E96855">
        <w:rPr>
          <w:rFonts w:cstheme="minorHAnsi"/>
          <w:sz w:val="18"/>
          <w:szCs w:val="18"/>
        </w:rPr>
        <w:t xml:space="preserve"> Highfield </w:t>
      </w:r>
      <w:r w:rsidR="006B4EB1" w:rsidRPr="00E96855">
        <w:rPr>
          <w:rFonts w:cstheme="minorHAnsi"/>
          <w:sz w:val="18"/>
          <w:szCs w:val="18"/>
        </w:rPr>
        <w:t>and</w:t>
      </w:r>
      <w:r w:rsidR="004D4F17" w:rsidRPr="00E96855">
        <w:rPr>
          <w:rFonts w:cstheme="minorHAnsi"/>
          <w:sz w:val="18"/>
          <w:szCs w:val="18"/>
        </w:rPr>
        <w:t xml:space="preserve"> </w:t>
      </w:r>
      <w:r w:rsidR="00F74CD4" w:rsidRPr="00E96855">
        <w:rPr>
          <w:rFonts w:cstheme="minorHAnsi"/>
          <w:sz w:val="18"/>
          <w:szCs w:val="18"/>
        </w:rPr>
        <w:t xml:space="preserve">N </w:t>
      </w:r>
      <w:r w:rsidR="004D4F17" w:rsidRPr="00E96855">
        <w:rPr>
          <w:rFonts w:cstheme="minorHAnsi"/>
          <w:sz w:val="18"/>
          <w:szCs w:val="18"/>
        </w:rPr>
        <w:t>Warren</w:t>
      </w:r>
      <w:r w:rsidR="00F74CD4" w:rsidRPr="00E96855">
        <w:rPr>
          <w:rFonts w:cstheme="minorHAnsi"/>
          <w:sz w:val="18"/>
          <w:szCs w:val="18"/>
        </w:rPr>
        <w:t>, ‘</w:t>
      </w:r>
      <w:hyperlink r:id="rId142" w:history="1">
        <w:r w:rsidR="00F74CD4" w:rsidRPr="00E96855">
          <w:rPr>
            <w:rStyle w:val="Hyperlink"/>
            <w:rFonts w:cstheme="minorHAnsi"/>
            <w:sz w:val="18"/>
            <w:szCs w:val="18"/>
          </w:rPr>
          <w:t>Does the Australian Higher Education Loan Program (HELP) undermine personal income tax integrity?</w:t>
        </w:r>
      </w:hyperlink>
      <w:r w:rsidR="00F74CD4" w:rsidRPr="00E96855">
        <w:rPr>
          <w:rFonts w:cstheme="minorHAnsi"/>
          <w:sz w:val="18"/>
          <w:szCs w:val="18"/>
        </w:rPr>
        <w:t xml:space="preserve">’ </w:t>
      </w:r>
      <w:r w:rsidR="00F74CD4" w:rsidRPr="00E96855">
        <w:rPr>
          <w:rFonts w:cstheme="minorHAnsi"/>
          <w:i/>
          <w:sz w:val="18"/>
          <w:szCs w:val="18"/>
        </w:rPr>
        <w:t xml:space="preserve">eJournal of Tax Research, </w:t>
      </w:r>
      <w:r w:rsidR="00F74CD4" w:rsidRPr="00E96855">
        <w:rPr>
          <w:rFonts w:cstheme="minorHAnsi"/>
          <w:iCs/>
          <w:sz w:val="18"/>
          <w:szCs w:val="18"/>
        </w:rPr>
        <w:t>2015,</w:t>
      </w:r>
      <w:r w:rsidR="00F74CD4" w:rsidRPr="00E96855">
        <w:rPr>
          <w:rFonts w:cstheme="minorHAnsi"/>
          <w:sz w:val="18"/>
          <w:szCs w:val="18"/>
        </w:rPr>
        <w:t xml:space="preserve"> 13(1); B Chapman and A Leigh (2008) ‘Do very high tax rates induce bunching? implications for the design of income-contingent loan schemes’, </w:t>
      </w:r>
      <w:r w:rsidR="00F74CD4" w:rsidRPr="00E96855">
        <w:rPr>
          <w:rFonts w:cstheme="minorHAnsi"/>
          <w:i/>
          <w:sz w:val="18"/>
          <w:szCs w:val="18"/>
        </w:rPr>
        <w:t xml:space="preserve">Economic Record, </w:t>
      </w:r>
      <w:r w:rsidR="00F74CD4" w:rsidRPr="00E96855">
        <w:rPr>
          <w:rFonts w:cstheme="minorHAnsi"/>
          <w:iCs/>
          <w:sz w:val="18"/>
          <w:szCs w:val="18"/>
        </w:rPr>
        <w:t>85(270)</w:t>
      </w:r>
      <w:r w:rsidR="00110A2D" w:rsidRPr="00E96855">
        <w:rPr>
          <w:rFonts w:cstheme="minorHAnsi"/>
          <w:iCs/>
          <w:sz w:val="18"/>
          <w:szCs w:val="18"/>
        </w:rPr>
        <w:t>:</w:t>
      </w:r>
      <w:r w:rsidR="00F74CD4" w:rsidRPr="00E96855">
        <w:rPr>
          <w:rFonts w:cstheme="minorHAnsi"/>
          <w:iCs/>
          <w:sz w:val="18"/>
          <w:szCs w:val="18"/>
        </w:rPr>
        <w:t>276-289, doi:10.1111/j.1475-4932.2009.00554.x.</w:t>
      </w:r>
    </w:p>
  </w:footnote>
  <w:footnote w:id="198">
    <w:p w14:paraId="6B7A802E" w14:textId="1E580B40" w:rsidR="00267E5A" w:rsidRPr="00E96855" w:rsidRDefault="00267E5A" w:rsidP="00BC654C">
      <w:pPr>
        <w:rPr>
          <w:rFonts w:cstheme="minorHAnsi"/>
          <w:sz w:val="18"/>
          <w:szCs w:val="18"/>
        </w:rPr>
      </w:pPr>
      <w:r w:rsidRPr="00E96855">
        <w:rPr>
          <w:rStyle w:val="FootnoteReference"/>
          <w:rFonts w:cstheme="minorHAnsi"/>
          <w:sz w:val="18"/>
          <w:szCs w:val="18"/>
        </w:rPr>
        <w:footnoteRef/>
      </w:r>
      <w:r w:rsidRPr="00E96855">
        <w:rPr>
          <w:rFonts w:cstheme="minorHAnsi"/>
          <w:sz w:val="18"/>
          <w:szCs w:val="18"/>
        </w:rPr>
        <w:t xml:space="preserve"> </w:t>
      </w:r>
      <w:r w:rsidR="00EB4540" w:rsidRPr="00E96855">
        <w:rPr>
          <w:rFonts w:cstheme="minorHAnsi"/>
          <w:sz w:val="18"/>
          <w:szCs w:val="18"/>
        </w:rPr>
        <w:t xml:space="preserve">Advice to the Accord Panel from </w:t>
      </w:r>
      <w:r w:rsidR="002D4D80" w:rsidRPr="00E96855">
        <w:rPr>
          <w:rFonts w:cstheme="minorHAnsi"/>
          <w:sz w:val="18"/>
          <w:szCs w:val="18"/>
        </w:rPr>
        <w:t>Emeritus Professor Bruce Chapman AO [unpublished], 2023</w:t>
      </w:r>
      <w:r w:rsidR="00EB4540" w:rsidRPr="00E96855">
        <w:rPr>
          <w:rFonts w:cstheme="minorHAnsi"/>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F2E69" w14:textId="710BAE47" w:rsidR="001965D4" w:rsidRDefault="008F2C09">
    <w:pPr>
      <w:pStyle w:val="Header"/>
    </w:pPr>
    <w:r>
      <w:rPr>
        <w:noProof/>
      </w:rPr>
      <mc:AlternateContent>
        <mc:Choice Requires="wps">
          <w:drawing>
            <wp:anchor distT="0" distB="0" distL="114300" distR="114300" simplePos="0" relativeHeight="251658241" behindDoc="1" locked="0" layoutInCell="0" allowOverlap="1" wp14:anchorId="42423D4A" wp14:editId="0E50A03B">
              <wp:simplePos x="0" y="0"/>
              <wp:positionH relativeFrom="margin">
                <wp:align>center</wp:align>
              </wp:positionH>
              <wp:positionV relativeFrom="margin">
                <wp:align>center</wp:align>
              </wp:positionV>
              <wp:extent cx="7025640" cy="1053465"/>
              <wp:effectExtent l="0" t="0" r="0" b="0"/>
              <wp:wrapNone/>
              <wp:docPr id="530029672" name="Text Box 530029672"/>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7025640" cy="10534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C7F564D" w14:textId="77777777" w:rsidR="008F2C09" w:rsidRDefault="008F2C09" w:rsidP="008F2C09">
                          <w:pPr>
                            <w:jc w:val="center"/>
                            <w:rPr>
                              <w:rFonts w:ascii="Calibri" w:hAnsi="Calibri" w:cs="Calibri"/>
                              <w:color w:val="C0C0C0"/>
                              <w:sz w:val="72"/>
                              <w:szCs w:val="72"/>
                              <w:lang w:val="en-GB"/>
                              <w14:textFill>
                                <w14:solidFill>
                                  <w14:srgbClr w14:val="C0C0C0">
                                    <w14:alpha w14:val="50000"/>
                                  </w14:srgbClr>
                                </w14:solidFill>
                              </w14:textFill>
                            </w:rPr>
                          </w:pPr>
                          <w:r>
                            <w:rPr>
                              <w:rFonts w:ascii="Calibri" w:hAnsi="Calibri" w:cs="Calibri"/>
                              <w:color w:val="C0C0C0"/>
                              <w:sz w:val="72"/>
                              <w:szCs w:val="72"/>
                              <w:lang w:val="en-GB"/>
                              <w14:textFill>
                                <w14:solidFill>
                                  <w14:srgbClr w14:val="C0C0C0">
                                    <w14:alpha w14:val="50000"/>
                                  </w14:srgbClr>
                                </w14:solidFill>
                              </w14:textFill>
                            </w:rPr>
                            <w:t>Committee in confidence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2423D4A" id="_x0000_t202" coordsize="21600,21600" o:spt="202" path="m,l,21600r21600,l21600,xe">
              <v:stroke joinstyle="miter"/>
              <v:path gradientshapeok="t" o:connecttype="rect"/>
            </v:shapetype>
            <v:shape id="Text Box 530029672" o:spid="_x0000_s1026" type="#_x0000_t202" style="position:absolute;margin-left:0;margin-top:0;width:553.2pt;height:82.9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" o:allowincell="f" filled="f" stroked="f">
              <v:stroke joinstyle="round"/>
              <o:lock v:ext="edit" rotation="t" aspectratio="t" verticies="t" adjusthandles="t" grouping="t" shapetype="t"/>
              <v:textbox>
                <w:txbxContent>
                  <w:p w14:paraId="7C7F564D" w14:textId="77777777" w:rsidR="008F2C09" w:rsidRDefault="008F2C09" w:rsidP="008F2C09">
                    <w:pPr>
                      <w:jc w:val="center"/>
                      <w:rPr>
                        <w:rFonts w:ascii="Calibri" w:hAnsi="Calibri" w:cs="Calibri"/>
                        <w:color w:val="C0C0C0"/>
                        <w:sz w:val="72"/>
                        <w:szCs w:val="72"/>
                        <w:lang w:val="en-GB"/>
                        <w14:textFill>
                          <w14:solidFill>
                            <w14:srgbClr w14:val="C0C0C0">
                              <w14:alpha w14:val="50000"/>
                            </w14:srgbClr>
                          </w14:solidFill>
                        </w14:textFill>
                      </w:rPr>
                    </w:pPr>
                    <w:r>
                      <w:rPr>
                        <w:rFonts w:ascii="Calibri" w:hAnsi="Calibri" w:cs="Calibri"/>
                        <w:color w:val="C0C0C0"/>
                        <w:sz w:val="72"/>
                        <w:szCs w:val="72"/>
                        <w:lang w:val="en-GB"/>
                        <w14:textFill>
                          <w14:solidFill>
                            <w14:srgbClr w14:val="C0C0C0">
                              <w14:alpha w14:val="50000"/>
                            </w14:srgbClr>
                          </w14:solidFill>
                        </w14:textFill>
                      </w:rPr>
                      <w:t>Committee in confidence</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453FC" w14:textId="77777777" w:rsidR="00D9797D" w:rsidRDefault="00D979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7CD16" w14:textId="77777777" w:rsidR="00D9797D" w:rsidRDefault="00D9797D">
    <w:pPr>
      <w:pStyle w:val="Header"/>
    </w:pPr>
  </w:p>
</w:hdr>
</file>

<file path=word/intelligence2.xml><?xml version="1.0" encoding="utf-8"?>
<int2:intelligence xmlns:int2="http://schemas.microsoft.com/office/intelligence/2020/intelligence" xmlns:oel="http://schemas.microsoft.com/office/2019/extlst">
  <int2:observations>
    <int2:textHash int2:hashCode="tVE7HDFgR+xqXL" int2:id="Bl5wmt7K">
      <int2:state int2:value="Rejected" int2:type="AugLoop_Text_Critique"/>
    </int2:textHash>
    <int2:textHash int2:hashCode="94tkyeDy6iT93O" int2:id="fZZJVXzX">
      <int2:state int2:value="Rejected" int2:type="AugLoop_Text_Critique"/>
    </int2:textHash>
    <int2:textHash int2:hashCode="AYJbq12fD1fGkc" int2:id="fZZOG7nL">
      <int2:state int2:value="Rejected" int2:type="AugLoop_Text_Critique"/>
    </int2:textHash>
    <int2:textHash int2:hashCode="k0cGYvYlpWzUq2" int2:id="qP0gfTKz">
      <int2:state int2:value="Rejected" int2:type="AugLoop_Text_Critique"/>
    </int2:textHash>
    <int2:textHash int2:hashCode="OhwhpVntQtbOF8" int2:id="qiSyGb7P">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 w15:restartNumberingAfterBreak="0">
    <w:nsid w:val="18FF1AB7"/>
    <w:multiLevelType w:val="multilevel"/>
    <w:tmpl w:val="3C3C16DA"/>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9C0174C"/>
    <w:multiLevelType w:val="hybridMultilevel"/>
    <w:tmpl w:val="DCD0AFCE"/>
    <w:lvl w:ilvl="0" w:tplc="FFFFFFF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9F44121"/>
    <w:multiLevelType w:val="hybridMultilevel"/>
    <w:tmpl w:val="A9525FE4"/>
    <w:name w:val="Blue Shaded Box - List2"/>
    <w:lvl w:ilvl="0" w:tplc="ABDA6CE6">
      <w:start w:val="1"/>
      <w:numFmt w:val="lowerLetter"/>
      <w:pStyle w:val="BlueShadedBox-ListLetterstest"/>
      <w:lvlText w:val="%1."/>
      <w:lvlJc w:val="left"/>
      <w:pPr>
        <w:ind w:left="930" w:hanging="360"/>
      </w:pPr>
    </w:lvl>
    <w:lvl w:ilvl="1" w:tplc="0C090019" w:tentative="1">
      <w:start w:val="1"/>
      <w:numFmt w:val="lowerLetter"/>
      <w:lvlText w:val="%2."/>
      <w:lvlJc w:val="left"/>
      <w:pPr>
        <w:ind w:left="1650" w:hanging="360"/>
      </w:pPr>
    </w:lvl>
    <w:lvl w:ilvl="2" w:tplc="0C09001B" w:tentative="1">
      <w:start w:val="1"/>
      <w:numFmt w:val="lowerRoman"/>
      <w:lvlText w:val="%3."/>
      <w:lvlJc w:val="right"/>
      <w:pPr>
        <w:ind w:left="2370" w:hanging="180"/>
      </w:pPr>
    </w:lvl>
    <w:lvl w:ilvl="3" w:tplc="0C09000F" w:tentative="1">
      <w:start w:val="1"/>
      <w:numFmt w:val="decimal"/>
      <w:lvlText w:val="%4."/>
      <w:lvlJc w:val="left"/>
      <w:pPr>
        <w:ind w:left="3090" w:hanging="360"/>
      </w:pPr>
    </w:lvl>
    <w:lvl w:ilvl="4" w:tplc="0C090019" w:tentative="1">
      <w:start w:val="1"/>
      <w:numFmt w:val="lowerLetter"/>
      <w:lvlText w:val="%5."/>
      <w:lvlJc w:val="left"/>
      <w:pPr>
        <w:ind w:left="3810" w:hanging="360"/>
      </w:pPr>
    </w:lvl>
    <w:lvl w:ilvl="5" w:tplc="0C09001B" w:tentative="1">
      <w:start w:val="1"/>
      <w:numFmt w:val="lowerRoman"/>
      <w:lvlText w:val="%6."/>
      <w:lvlJc w:val="right"/>
      <w:pPr>
        <w:ind w:left="4530" w:hanging="180"/>
      </w:pPr>
    </w:lvl>
    <w:lvl w:ilvl="6" w:tplc="0C09000F" w:tentative="1">
      <w:start w:val="1"/>
      <w:numFmt w:val="decimal"/>
      <w:lvlText w:val="%7."/>
      <w:lvlJc w:val="left"/>
      <w:pPr>
        <w:ind w:left="5250" w:hanging="360"/>
      </w:pPr>
    </w:lvl>
    <w:lvl w:ilvl="7" w:tplc="0C090019" w:tentative="1">
      <w:start w:val="1"/>
      <w:numFmt w:val="lowerLetter"/>
      <w:lvlText w:val="%8."/>
      <w:lvlJc w:val="left"/>
      <w:pPr>
        <w:ind w:left="5970" w:hanging="360"/>
      </w:pPr>
    </w:lvl>
    <w:lvl w:ilvl="8" w:tplc="0C09001B" w:tentative="1">
      <w:start w:val="1"/>
      <w:numFmt w:val="lowerRoman"/>
      <w:lvlText w:val="%9."/>
      <w:lvlJc w:val="right"/>
      <w:pPr>
        <w:ind w:left="6690" w:hanging="180"/>
      </w:pPr>
    </w:lvl>
  </w:abstractNum>
  <w:abstractNum w:abstractNumId="5" w15:restartNumberingAfterBreak="0">
    <w:nsid w:val="2E646829"/>
    <w:multiLevelType w:val="multilevel"/>
    <w:tmpl w:val="B86CB33E"/>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2AE720B"/>
    <w:multiLevelType w:val="hybridMultilevel"/>
    <w:tmpl w:val="74B6078E"/>
    <w:lvl w:ilvl="0" w:tplc="0C090019">
      <w:start w:val="1"/>
      <w:numFmt w:val="lowerLetter"/>
      <w:lvlText w:val="%1."/>
      <w:lvlJc w:val="left"/>
      <w:pPr>
        <w:ind w:left="360" w:hanging="360"/>
      </w:pPr>
    </w:lvl>
    <w:lvl w:ilvl="1" w:tplc="FFFFFFFF">
      <w:start w:val="1"/>
      <w:numFmt w:val="lowerRoman"/>
      <w:lvlText w:val="%2."/>
      <w:lvlJc w:val="righ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7" w15:restartNumberingAfterBreak="0">
    <w:nsid w:val="331B532B"/>
    <w:multiLevelType w:val="hybridMultilevel"/>
    <w:tmpl w:val="23362392"/>
    <w:lvl w:ilvl="0" w:tplc="0C090019">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8" w15:restartNumberingAfterBreak="0">
    <w:nsid w:val="348772FE"/>
    <w:multiLevelType w:val="hybridMultilevel"/>
    <w:tmpl w:val="FFFFFFFF"/>
    <w:lvl w:ilvl="0" w:tplc="4E92BBFE">
      <w:start w:val="1"/>
      <w:numFmt w:val="bullet"/>
      <w:lvlText w:val=""/>
      <w:lvlJc w:val="left"/>
      <w:pPr>
        <w:ind w:left="720" w:hanging="360"/>
      </w:pPr>
      <w:rPr>
        <w:rFonts w:ascii="Symbol" w:hAnsi="Symbol" w:hint="default"/>
      </w:rPr>
    </w:lvl>
    <w:lvl w:ilvl="1" w:tplc="73BE9BA4">
      <w:start w:val="1"/>
      <w:numFmt w:val="bullet"/>
      <w:lvlText w:val="o"/>
      <w:lvlJc w:val="left"/>
      <w:pPr>
        <w:ind w:left="1440" w:hanging="360"/>
      </w:pPr>
      <w:rPr>
        <w:rFonts w:ascii="Courier New" w:hAnsi="Courier New" w:hint="default"/>
      </w:rPr>
    </w:lvl>
    <w:lvl w:ilvl="2" w:tplc="8D8830C2">
      <w:start w:val="1"/>
      <w:numFmt w:val="bullet"/>
      <w:lvlText w:val=""/>
      <w:lvlJc w:val="left"/>
      <w:pPr>
        <w:ind w:left="2160" w:hanging="360"/>
      </w:pPr>
      <w:rPr>
        <w:rFonts w:ascii="Wingdings" w:hAnsi="Wingdings" w:hint="default"/>
      </w:rPr>
    </w:lvl>
    <w:lvl w:ilvl="3" w:tplc="FA9A719A">
      <w:start w:val="1"/>
      <w:numFmt w:val="bullet"/>
      <w:lvlText w:val=""/>
      <w:lvlJc w:val="left"/>
      <w:pPr>
        <w:ind w:left="2880" w:hanging="360"/>
      </w:pPr>
      <w:rPr>
        <w:rFonts w:ascii="Symbol" w:hAnsi="Symbol" w:hint="default"/>
      </w:rPr>
    </w:lvl>
    <w:lvl w:ilvl="4" w:tplc="B1522988">
      <w:start w:val="1"/>
      <w:numFmt w:val="bullet"/>
      <w:lvlText w:val="o"/>
      <w:lvlJc w:val="left"/>
      <w:pPr>
        <w:ind w:left="3600" w:hanging="360"/>
      </w:pPr>
      <w:rPr>
        <w:rFonts w:ascii="Courier New" w:hAnsi="Courier New" w:hint="default"/>
      </w:rPr>
    </w:lvl>
    <w:lvl w:ilvl="5" w:tplc="D4F40F76">
      <w:start w:val="1"/>
      <w:numFmt w:val="bullet"/>
      <w:lvlText w:val=""/>
      <w:lvlJc w:val="left"/>
      <w:pPr>
        <w:ind w:left="4320" w:hanging="360"/>
      </w:pPr>
      <w:rPr>
        <w:rFonts w:ascii="Wingdings" w:hAnsi="Wingdings" w:hint="default"/>
      </w:rPr>
    </w:lvl>
    <w:lvl w:ilvl="6" w:tplc="70D2B0C6">
      <w:start w:val="1"/>
      <w:numFmt w:val="bullet"/>
      <w:lvlText w:val=""/>
      <w:lvlJc w:val="left"/>
      <w:pPr>
        <w:ind w:left="5040" w:hanging="360"/>
      </w:pPr>
      <w:rPr>
        <w:rFonts w:ascii="Symbol" w:hAnsi="Symbol" w:hint="default"/>
      </w:rPr>
    </w:lvl>
    <w:lvl w:ilvl="7" w:tplc="3B045228">
      <w:start w:val="1"/>
      <w:numFmt w:val="bullet"/>
      <w:lvlText w:val="o"/>
      <w:lvlJc w:val="left"/>
      <w:pPr>
        <w:ind w:left="5760" w:hanging="360"/>
      </w:pPr>
      <w:rPr>
        <w:rFonts w:ascii="Courier New" w:hAnsi="Courier New" w:hint="default"/>
      </w:rPr>
    </w:lvl>
    <w:lvl w:ilvl="8" w:tplc="4B1A93BA">
      <w:start w:val="1"/>
      <w:numFmt w:val="bullet"/>
      <w:lvlText w:val=""/>
      <w:lvlJc w:val="left"/>
      <w:pPr>
        <w:ind w:left="6480" w:hanging="360"/>
      </w:pPr>
      <w:rPr>
        <w:rFonts w:ascii="Wingdings" w:hAnsi="Wingdings" w:hint="default"/>
      </w:rPr>
    </w:lvl>
  </w:abstractNum>
  <w:abstractNum w:abstractNumId="9"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A5931BD"/>
    <w:multiLevelType w:val="multilevel"/>
    <w:tmpl w:val="A202A676"/>
    <w:name w:val="Blue Shaded Box - List"/>
    <w:lvl w:ilvl="0">
      <w:start w:val="1"/>
      <w:numFmt w:val="lowerLetter"/>
      <w:lvlText w:val="%1."/>
      <w:lvlJc w:val="right"/>
      <w:pPr>
        <w:ind w:left="210" w:firstLine="357"/>
      </w:pPr>
      <w:rPr>
        <w:rFonts w:hint="default"/>
      </w:rPr>
    </w:lvl>
    <w:lvl w:ilvl="1">
      <w:start w:val="1"/>
      <w:numFmt w:val="lowerLetter"/>
      <w:lvlText w:val="%2."/>
      <w:lvlJc w:val="left"/>
      <w:pPr>
        <w:ind w:left="567" w:firstLine="357"/>
      </w:pPr>
      <w:rPr>
        <w:rFonts w:hint="default"/>
      </w:rPr>
    </w:lvl>
    <w:lvl w:ilvl="2">
      <w:start w:val="1"/>
      <w:numFmt w:val="lowerRoman"/>
      <w:lvlText w:val="%3."/>
      <w:lvlJc w:val="right"/>
      <w:pPr>
        <w:ind w:left="2370" w:hanging="180"/>
      </w:pPr>
      <w:rPr>
        <w:rFonts w:hint="default"/>
      </w:rPr>
    </w:lvl>
    <w:lvl w:ilvl="3">
      <w:start w:val="1"/>
      <w:numFmt w:val="decimal"/>
      <w:lvlText w:val="%4."/>
      <w:lvlJc w:val="left"/>
      <w:pPr>
        <w:ind w:left="3090" w:hanging="360"/>
      </w:pPr>
      <w:rPr>
        <w:rFonts w:hint="default"/>
      </w:rPr>
    </w:lvl>
    <w:lvl w:ilvl="4">
      <w:start w:val="1"/>
      <w:numFmt w:val="lowerLetter"/>
      <w:lvlText w:val="%5."/>
      <w:lvlJc w:val="left"/>
      <w:pPr>
        <w:ind w:left="3810" w:hanging="360"/>
      </w:pPr>
      <w:rPr>
        <w:rFonts w:hint="default"/>
      </w:rPr>
    </w:lvl>
    <w:lvl w:ilvl="5">
      <w:start w:val="1"/>
      <w:numFmt w:val="lowerRoman"/>
      <w:lvlText w:val="%6."/>
      <w:lvlJc w:val="right"/>
      <w:pPr>
        <w:ind w:left="4530" w:hanging="180"/>
      </w:pPr>
      <w:rPr>
        <w:rFonts w:hint="default"/>
      </w:rPr>
    </w:lvl>
    <w:lvl w:ilvl="6">
      <w:start w:val="1"/>
      <w:numFmt w:val="decimal"/>
      <w:lvlText w:val="%7."/>
      <w:lvlJc w:val="left"/>
      <w:pPr>
        <w:ind w:left="5250" w:hanging="360"/>
      </w:pPr>
      <w:rPr>
        <w:rFonts w:hint="default"/>
      </w:rPr>
    </w:lvl>
    <w:lvl w:ilvl="7">
      <w:start w:val="1"/>
      <w:numFmt w:val="lowerLetter"/>
      <w:lvlText w:val="%8."/>
      <w:lvlJc w:val="left"/>
      <w:pPr>
        <w:ind w:left="5970" w:hanging="360"/>
      </w:pPr>
      <w:rPr>
        <w:rFonts w:hint="default"/>
      </w:rPr>
    </w:lvl>
    <w:lvl w:ilvl="8">
      <w:start w:val="1"/>
      <w:numFmt w:val="lowerRoman"/>
      <w:lvlText w:val="%9."/>
      <w:lvlJc w:val="right"/>
      <w:pPr>
        <w:ind w:left="6690" w:hanging="180"/>
      </w:pPr>
      <w:rPr>
        <w:rFonts w:hint="default"/>
      </w:rPr>
    </w:lvl>
  </w:abstractNum>
  <w:abstractNum w:abstractNumId="11" w15:restartNumberingAfterBreak="0">
    <w:nsid w:val="3AB2747E"/>
    <w:multiLevelType w:val="hybridMultilevel"/>
    <w:tmpl w:val="A6267A8C"/>
    <w:lvl w:ilvl="0" w:tplc="0C09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3B055EF6"/>
    <w:multiLevelType w:val="hybridMultilevel"/>
    <w:tmpl w:val="E13425F0"/>
    <w:lvl w:ilvl="0" w:tplc="0C090019">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3" w15:restartNumberingAfterBreak="0">
    <w:nsid w:val="45BA45F2"/>
    <w:multiLevelType w:val="hybridMultilevel"/>
    <w:tmpl w:val="6C5EF3FE"/>
    <w:lvl w:ilvl="0" w:tplc="0C090019">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4" w15:restartNumberingAfterBreak="0">
    <w:nsid w:val="46D47EAE"/>
    <w:multiLevelType w:val="hybridMultilevel"/>
    <w:tmpl w:val="77709052"/>
    <w:lvl w:ilvl="0" w:tplc="0C090019">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5" w15:restartNumberingAfterBreak="0">
    <w:nsid w:val="485C3452"/>
    <w:multiLevelType w:val="hybridMultilevel"/>
    <w:tmpl w:val="911A2CE2"/>
    <w:lvl w:ilvl="0" w:tplc="0C090019">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6" w15:restartNumberingAfterBreak="0">
    <w:nsid w:val="490037A0"/>
    <w:multiLevelType w:val="hybridMultilevel"/>
    <w:tmpl w:val="5C36062E"/>
    <w:lvl w:ilvl="0" w:tplc="0C090019">
      <w:start w:val="1"/>
      <w:numFmt w:val="lowerLetter"/>
      <w:lvlText w:val="%1."/>
      <w:lvlJc w:val="left"/>
      <w:pPr>
        <w:ind w:left="360" w:hanging="360"/>
      </w:pPr>
      <w:rPr>
        <w:rFonts w:hint="default"/>
      </w:rPr>
    </w:lvl>
    <w:lvl w:ilvl="1" w:tplc="FFFFFFFF">
      <w:start w:val="1"/>
      <w:numFmt w:val="lowerRoman"/>
      <w:lvlText w:val="%2."/>
      <w:lvlJc w:val="right"/>
      <w:pPr>
        <w:ind w:left="1080" w:hanging="360"/>
      </w:p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4D144543"/>
    <w:multiLevelType w:val="hybridMultilevel"/>
    <w:tmpl w:val="05145014"/>
    <w:lvl w:ilvl="0" w:tplc="0C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D567D04"/>
    <w:multiLevelType w:val="hybridMultilevel"/>
    <w:tmpl w:val="E74A92A8"/>
    <w:lvl w:ilvl="0" w:tplc="0C090019">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0" w15:restartNumberingAfterBreak="0">
    <w:nsid w:val="5FE80607"/>
    <w:multiLevelType w:val="hybridMultilevel"/>
    <w:tmpl w:val="B0C4F0EA"/>
    <w:lvl w:ilvl="0" w:tplc="FFFFFFFF">
      <w:start w:val="1"/>
      <w:numFmt w:val="upp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1" w15:restartNumberingAfterBreak="0">
    <w:nsid w:val="606016CF"/>
    <w:multiLevelType w:val="hybridMultilevel"/>
    <w:tmpl w:val="B0C4F0EA"/>
    <w:lvl w:ilvl="0" w:tplc="0C090015">
      <w:start w:val="1"/>
      <w:numFmt w:val="upperLetter"/>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22" w15:restartNumberingAfterBreak="0">
    <w:nsid w:val="637C46E2"/>
    <w:multiLevelType w:val="hybridMultilevel"/>
    <w:tmpl w:val="0C907216"/>
    <w:lvl w:ilvl="0" w:tplc="0C090019">
      <w:start w:val="1"/>
      <w:numFmt w:val="lowerLetter"/>
      <w:lvlText w:val="%1."/>
      <w:lvlJc w:val="left"/>
      <w:pPr>
        <w:ind w:left="360" w:hanging="360"/>
      </w:pPr>
      <w:rPr>
        <w:rFonts w:hint="default"/>
      </w:rPr>
    </w:lvl>
    <w:lvl w:ilvl="1" w:tplc="0C09001B">
      <w:start w:val="1"/>
      <w:numFmt w:val="lowerRoman"/>
      <w:lvlText w:val="%2."/>
      <w:lvlJc w:val="right"/>
      <w:pPr>
        <w:ind w:left="108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639F26F0"/>
    <w:multiLevelType w:val="hybridMultilevel"/>
    <w:tmpl w:val="D7F21E68"/>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24" w15:restartNumberingAfterBreak="0">
    <w:nsid w:val="6E701F42"/>
    <w:multiLevelType w:val="hybridMultilevel"/>
    <w:tmpl w:val="8B98D3EE"/>
    <w:lvl w:ilvl="0" w:tplc="0C090019">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5" w15:restartNumberingAfterBreak="0">
    <w:nsid w:val="731D0038"/>
    <w:multiLevelType w:val="hybridMultilevel"/>
    <w:tmpl w:val="B13A7F86"/>
    <w:lvl w:ilvl="0" w:tplc="FFFFFFFF">
      <w:start w:val="1"/>
      <w:numFmt w:val="lowerRoman"/>
      <w:lvlText w:val="%1."/>
      <w:lvlJc w:val="right"/>
      <w:pPr>
        <w:ind w:left="1080" w:hanging="360"/>
      </w:pPr>
      <w:rPr>
        <w:rFonts w:hint="default"/>
      </w:rPr>
    </w:lvl>
    <w:lvl w:ilvl="1" w:tplc="FFFFFFFF">
      <w:start w:val="1"/>
      <w:numFmt w:val="lowerRoman"/>
      <w:lvlText w:val="%2."/>
      <w:lvlJc w:val="right"/>
      <w:pPr>
        <w:ind w:left="1800" w:hanging="360"/>
      </w:p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7" w15:restartNumberingAfterBreak="0">
    <w:nsid w:val="794350BE"/>
    <w:multiLevelType w:val="hybridMultilevel"/>
    <w:tmpl w:val="69403088"/>
    <w:lvl w:ilvl="0" w:tplc="0C090019">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034774682">
    <w:abstractNumId w:val="2"/>
  </w:num>
  <w:num w:numId="2" w16cid:durableId="952135027">
    <w:abstractNumId w:val="5"/>
  </w:num>
  <w:num w:numId="3" w16cid:durableId="1005204104">
    <w:abstractNumId w:val="1"/>
  </w:num>
  <w:num w:numId="4" w16cid:durableId="1272467634">
    <w:abstractNumId w:val="26"/>
  </w:num>
  <w:num w:numId="5" w16cid:durableId="155728329">
    <w:abstractNumId w:val="18"/>
  </w:num>
  <w:num w:numId="6" w16cid:durableId="681705754">
    <w:abstractNumId w:val="22"/>
  </w:num>
  <w:num w:numId="7" w16cid:durableId="1425220441">
    <w:abstractNumId w:val="21"/>
  </w:num>
  <w:num w:numId="8" w16cid:durableId="683826215">
    <w:abstractNumId w:val="3"/>
  </w:num>
  <w:num w:numId="9" w16cid:durableId="293219583">
    <w:abstractNumId w:val="20"/>
  </w:num>
  <w:num w:numId="10" w16cid:durableId="173420622">
    <w:abstractNumId w:val="23"/>
  </w:num>
  <w:num w:numId="11" w16cid:durableId="1898542029">
    <w:abstractNumId w:val="8"/>
  </w:num>
  <w:num w:numId="12" w16cid:durableId="1720979138">
    <w:abstractNumId w:val="16"/>
  </w:num>
  <w:num w:numId="13" w16cid:durableId="521016016">
    <w:abstractNumId w:val="25"/>
  </w:num>
  <w:num w:numId="14" w16cid:durableId="1868760597">
    <w:abstractNumId w:val="17"/>
  </w:num>
  <w:num w:numId="15" w16cid:durableId="461191946">
    <w:abstractNumId w:val="4"/>
  </w:num>
  <w:num w:numId="16" w16cid:durableId="1400055177">
    <w:abstractNumId w:val="4"/>
    <w:lvlOverride w:ilvl="0">
      <w:startOverride w:val="1"/>
    </w:lvlOverride>
  </w:num>
  <w:num w:numId="17" w16cid:durableId="177236242">
    <w:abstractNumId w:val="4"/>
    <w:lvlOverride w:ilvl="0">
      <w:startOverride w:val="1"/>
    </w:lvlOverride>
  </w:num>
  <w:num w:numId="18" w16cid:durableId="1668820244">
    <w:abstractNumId w:val="4"/>
    <w:lvlOverride w:ilvl="0">
      <w:startOverride w:val="1"/>
    </w:lvlOverride>
  </w:num>
  <w:num w:numId="19" w16cid:durableId="1522012181">
    <w:abstractNumId w:val="4"/>
    <w:lvlOverride w:ilvl="0">
      <w:startOverride w:val="1"/>
    </w:lvlOverride>
  </w:num>
  <w:num w:numId="20" w16cid:durableId="554238198">
    <w:abstractNumId w:val="4"/>
    <w:lvlOverride w:ilvl="0">
      <w:startOverride w:val="1"/>
    </w:lvlOverride>
  </w:num>
  <w:num w:numId="21" w16cid:durableId="1925993504">
    <w:abstractNumId w:val="4"/>
    <w:lvlOverride w:ilvl="0">
      <w:startOverride w:val="1"/>
    </w:lvlOverride>
  </w:num>
  <w:num w:numId="22" w16cid:durableId="347946516">
    <w:abstractNumId w:val="4"/>
    <w:lvlOverride w:ilvl="0">
      <w:startOverride w:val="1"/>
    </w:lvlOverride>
  </w:num>
  <w:num w:numId="23" w16cid:durableId="192421666">
    <w:abstractNumId w:val="4"/>
    <w:lvlOverride w:ilvl="0">
      <w:startOverride w:val="1"/>
    </w:lvlOverride>
  </w:num>
  <w:num w:numId="24" w16cid:durableId="318846535">
    <w:abstractNumId w:val="4"/>
    <w:lvlOverride w:ilvl="0">
      <w:startOverride w:val="1"/>
    </w:lvlOverride>
  </w:num>
  <w:num w:numId="25" w16cid:durableId="1750806947">
    <w:abstractNumId w:val="4"/>
    <w:lvlOverride w:ilvl="0">
      <w:startOverride w:val="1"/>
    </w:lvlOverride>
  </w:num>
  <w:num w:numId="26" w16cid:durableId="1512253910">
    <w:abstractNumId w:val="4"/>
    <w:lvlOverride w:ilvl="0">
      <w:startOverride w:val="1"/>
    </w:lvlOverride>
  </w:num>
  <w:num w:numId="27" w16cid:durableId="87390419">
    <w:abstractNumId w:val="4"/>
    <w:lvlOverride w:ilvl="0">
      <w:startOverride w:val="1"/>
    </w:lvlOverride>
  </w:num>
  <w:num w:numId="28" w16cid:durableId="1692414304">
    <w:abstractNumId w:val="4"/>
    <w:lvlOverride w:ilvl="0">
      <w:startOverride w:val="1"/>
    </w:lvlOverride>
  </w:num>
  <w:num w:numId="29" w16cid:durableId="1956600172">
    <w:abstractNumId w:val="4"/>
    <w:lvlOverride w:ilvl="0">
      <w:startOverride w:val="1"/>
    </w:lvlOverride>
  </w:num>
  <w:num w:numId="30" w16cid:durableId="1316568704">
    <w:abstractNumId w:val="4"/>
    <w:lvlOverride w:ilvl="0">
      <w:startOverride w:val="1"/>
    </w:lvlOverride>
  </w:num>
  <w:num w:numId="31" w16cid:durableId="549460578">
    <w:abstractNumId w:val="4"/>
    <w:lvlOverride w:ilvl="0">
      <w:startOverride w:val="1"/>
    </w:lvlOverride>
  </w:num>
  <w:num w:numId="32" w16cid:durableId="75443828">
    <w:abstractNumId w:val="4"/>
    <w:lvlOverride w:ilvl="0">
      <w:startOverride w:val="1"/>
    </w:lvlOverride>
  </w:num>
  <w:num w:numId="33" w16cid:durableId="10842506">
    <w:abstractNumId w:val="4"/>
    <w:lvlOverride w:ilvl="0">
      <w:startOverride w:val="1"/>
    </w:lvlOverride>
  </w:num>
  <w:num w:numId="34" w16cid:durableId="2121025823">
    <w:abstractNumId w:val="4"/>
    <w:lvlOverride w:ilvl="0">
      <w:startOverride w:val="1"/>
    </w:lvlOverride>
  </w:num>
  <w:num w:numId="35" w16cid:durableId="2003463240">
    <w:abstractNumId w:val="4"/>
    <w:lvlOverride w:ilvl="0">
      <w:startOverride w:val="1"/>
    </w:lvlOverride>
  </w:num>
  <w:num w:numId="36" w16cid:durableId="1078139954">
    <w:abstractNumId w:val="4"/>
    <w:lvlOverride w:ilvl="0">
      <w:startOverride w:val="1"/>
    </w:lvlOverride>
  </w:num>
  <w:num w:numId="37" w16cid:durableId="1080718836">
    <w:abstractNumId w:val="4"/>
    <w:lvlOverride w:ilvl="0">
      <w:startOverride w:val="1"/>
    </w:lvlOverride>
  </w:num>
  <w:num w:numId="38" w16cid:durableId="1834029419">
    <w:abstractNumId w:val="4"/>
    <w:lvlOverride w:ilvl="0">
      <w:startOverride w:val="1"/>
    </w:lvlOverride>
  </w:num>
  <w:num w:numId="39" w16cid:durableId="931818459">
    <w:abstractNumId w:val="4"/>
    <w:lvlOverride w:ilvl="0">
      <w:startOverride w:val="1"/>
    </w:lvlOverride>
  </w:num>
  <w:num w:numId="40" w16cid:durableId="2135446618">
    <w:abstractNumId w:val="4"/>
    <w:lvlOverride w:ilvl="0">
      <w:startOverride w:val="1"/>
    </w:lvlOverride>
  </w:num>
  <w:num w:numId="41" w16cid:durableId="1836991386">
    <w:abstractNumId w:val="4"/>
    <w:lvlOverride w:ilvl="0">
      <w:startOverride w:val="1"/>
    </w:lvlOverride>
  </w:num>
  <w:num w:numId="42" w16cid:durableId="557323441">
    <w:abstractNumId w:val="4"/>
    <w:lvlOverride w:ilvl="0">
      <w:startOverride w:val="1"/>
    </w:lvlOverride>
  </w:num>
  <w:num w:numId="43" w16cid:durableId="16363323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0286188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57799764">
    <w:abstractNumId w:val="4"/>
    <w:lvlOverride w:ilvl="0">
      <w:startOverride w:val="1"/>
    </w:lvlOverride>
  </w:num>
  <w:num w:numId="46" w16cid:durableId="680010421">
    <w:abstractNumId w:val="4"/>
    <w:lvlOverride w:ilvl="0">
      <w:startOverride w:val="1"/>
    </w:lvlOverride>
  </w:num>
  <w:num w:numId="47" w16cid:durableId="47800470">
    <w:abstractNumId w:val="4"/>
    <w:lvlOverride w:ilvl="0">
      <w:startOverride w:val="1"/>
    </w:lvlOverride>
  </w:num>
  <w:num w:numId="48" w16cid:durableId="407387676">
    <w:abstractNumId w:val="4"/>
    <w:lvlOverride w:ilvl="0">
      <w:startOverride w:val="1"/>
    </w:lvlOverride>
  </w:num>
  <w:num w:numId="49" w16cid:durableId="16547188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712262139">
    <w:abstractNumId w:val="11"/>
  </w:num>
  <w:num w:numId="51" w16cid:durableId="1245141113">
    <w:abstractNumId w:val="12"/>
  </w:num>
  <w:num w:numId="52" w16cid:durableId="351106533">
    <w:abstractNumId w:val="13"/>
  </w:num>
  <w:num w:numId="53" w16cid:durableId="1129739583">
    <w:abstractNumId w:val="27"/>
  </w:num>
  <w:num w:numId="54" w16cid:durableId="1511289441">
    <w:abstractNumId w:val="24"/>
  </w:num>
  <w:num w:numId="55" w16cid:durableId="1665546131">
    <w:abstractNumId w:val="15"/>
  </w:num>
  <w:num w:numId="56" w16cid:durableId="1583442514">
    <w:abstractNumId w:val="7"/>
  </w:num>
  <w:num w:numId="57" w16cid:durableId="1596784915">
    <w:abstractNumId w:val="19"/>
  </w:num>
  <w:num w:numId="58" w16cid:durableId="661130675">
    <w:abstractNumId w:val="14"/>
  </w:num>
  <w:num w:numId="59" w16cid:durableId="1471753953">
    <w:abstractNumId w:val="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44D"/>
    <w:rsid w:val="000004AB"/>
    <w:rsid w:val="000006BF"/>
    <w:rsid w:val="00000833"/>
    <w:rsid w:val="00000A8B"/>
    <w:rsid w:val="00000D83"/>
    <w:rsid w:val="00001044"/>
    <w:rsid w:val="00001061"/>
    <w:rsid w:val="000011AD"/>
    <w:rsid w:val="000011F4"/>
    <w:rsid w:val="000012DD"/>
    <w:rsid w:val="000012EC"/>
    <w:rsid w:val="00001322"/>
    <w:rsid w:val="0000134C"/>
    <w:rsid w:val="000013B1"/>
    <w:rsid w:val="000013F4"/>
    <w:rsid w:val="00001411"/>
    <w:rsid w:val="0000168C"/>
    <w:rsid w:val="000016A4"/>
    <w:rsid w:val="000016C9"/>
    <w:rsid w:val="00001799"/>
    <w:rsid w:val="00001803"/>
    <w:rsid w:val="0000189A"/>
    <w:rsid w:val="00001A11"/>
    <w:rsid w:val="00001B3A"/>
    <w:rsid w:val="00001B70"/>
    <w:rsid w:val="00001B77"/>
    <w:rsid w:val="00001D9A"/>
    <w:rsid w:val="00001F47"/>
    <w:rsid w:val="00001F8D"/>
    <w:rsid w:val="000020DB"/>
    <w:rsid w:val="000023EA"/>
    <w:rsid w:val="000024FD"/>
    <w:rsid w:val="00002698"/>
    <w:rsid w:val="00002749"/>
    <w:rsid w:val="00002754"/>
    <w:rsid w:val="000029CF"/>
    <w:rsid w:val="00002E07"/>
    <w:rsid w:val="00002E75"/>
    <w:rsid w:val="00002E7B"/>
    <w:rsid w:val="000030C1"/>
    <w:rsid w:val="000031E9"/>
    <w:rsid w:val="000031FB"/>
    <w:rsid w:val="00003570"/>
    <w:rsid w:val="000035D8"/>
    <w:rsid w:val="000035E8"/>
    <w:rsid w:val="00003668"/>
    <w:rsid w:val="00003728"/>
    <w:rsid w:val="000038D8"/>
    <w:rsid w:val="000039A5"/>
    <w:rsid w:val="00003AAC"/>
    <w:rsid w:val="00003BD8"/>
    <w:rsid w:val="00003C04"/>
    <w:rsid w:val="00003C5C"/>
    <w:rsid w:val="00003D7E"/>
    <w:rsid w:val="00003DCD"/>
    <w:rsid w:val="00003E36"/>
    <w:rsid w:val="0000407A"/>
    <w:rsid w:val="00004087"/>
    <w:rsid w:val="00004093"/>
    <w:rsid w:val="000040A6"/>
    <w:rsid w:val="000043C4"/>
    <w:rsid w:val="00004623"/>
    <w:rsid w:val="000046EB"/>
    <w:rsid w:val="0000484E"/>
    <w:rsid w:val="00004968"/>
    <w:rsid w:val="000049DA"/>
    <w:rsid w:val="00004B6A"/>
    <w:rsid w:val="00004C8D"/>
    <w:rsid w:val="00004D57"/>
    <w:rsid w:val="00004D6A"/>
    <w:rsid w:val="000050F7"/>
    <w:rsid w:val="000052DF"/>
    <w:rsid w:val="000052E6"/>
    <w:rsid w:val="00005393"/>
    <w:rsid w:val="0000551A"/>
    <w:rsid w:val="00005605"/>
    <w:rsid w:val="00005804"/>
    <w:rsid w:val="0000587F"/>
    <w:rsid w:val="00005B48"/>
    <w:rsid w:val="00005F59"/>
    <w:rsid w:val="00005F66"/>
    <w:rsid w:val="00005FF1"/>
    <w:rsid w:val="000060AF"/>
    <w:rsid w:val="000060C7"/>
    <w:rsid w:val="0000641F"/>
    <w:rsid w:val="0000643C"/>
    <w:rsid w:val="0000646F"/>
    <w:rsid w:val="00006766"/>
    <w:rsid w:val="0000683F"/>
    <w:rsid w:val="00006939"/>
    <w:rsid w:val="00006B5F"/>
    <w:rsid w:val="00006C1D"/>
    <w:rsid w:val="00006C9D"/>
    <w:rsid w:val="00006CA7"/>
    <w:rsid w:val="00006D49"/>
    <w:rsid w:val="00006F61"/>
    <w:rsid w:val="000071E0"/>
    <w:rsid w:val="00007230"/>
    <w:rsid w:val="0000724B"/>
    <w:rsid w:val="000072B6"/>
    <w:rsid w:val="000073AF"/>
    <w:rsid w:val="00007594"/>
    <w:rsid w:val="000078F5"/>
    <w:rsid w:val="00007B7A"/>
    <w:rsid w:val="00007C23"/>
    <w:rsid w:val="00010186"/>
    <w:rsid w:val="000102A1"/>
    <w:rsid w:val="000102F7"/>
    <w:rsid w:val="0001030A"/>
    <w:rsid w:val="00010404"/>
    <w:rsid w:val="00010478"/>
    <w:rsid w:val="000106BD"/>
    <w:rsid w:val="000107A1"/>
    <w:rsid w:val="000107B9"/>
    <w:rsid w:val="00010811"/>
    <w:rsid w:val="00010817"/>
    <w:rsid w:val="00010846"/>
    <w:rsid w:val="000108F6"/>
    <w:rsid w:val="00010A15"/>
    <w:rsid w:val="00010A68"/>
    <w:rsid w:val="00010B25"/>
    <w:rsid w:val="00010E45"/>
    <w:rsid w:val="00010E95"/>
    <w:rsid w:val="00011099"/>
    <w:rsid w:val="000111E1"/>
    <w:rsid w:val="00011507"/>
    <w:rsid w:val="0001153E"/>
    <w:rsid w:val="0001174D"/>
    <w:rsid w:val="00011784"/>
    <w:rsid w:val="000118AE"/>
    <w:rsid w:val="000118BF"/>
    <w:rsid w:val="000118C8"/>
    <w:rsid w:val="0001196B"/>
    <w:rsid w:val="00011A04"/>
    <w:rsid w:val="00011A7E"/>
    <w:rsid w:val="00011E78"/>
    <w:rsid w:val="00011FAD"/>
    <w:rsid w:val="000120C0"/>
    <w:rsid w:val="000120D7"/>
    <w:rsid w:val="00012107"/>
    <w:rsid w:val="00012296"/>
    <w:rsid w:val="00012366"/>
    <w:rsid w:val="00012680"/>
    <w:rsid w:val="0001268A"/>
    <w:rsid w:val="000126F3"/>
    <w:rsid w:val="00012740"/>
    <w:rsid w:val="00012B6A"/>
    <w:rsid w:val="00012D37"/>
    <w:rsid w:val="00012E1E"/>
    <w:rsid w:val="00012F11"/>
    <w:rsid w:val="00012F81"/>
    <w:rsid w:val="000132BF"/>
    <w:rsid w:val="000134CF"/>
    <w:rsid w:val="00013987"/>
    <w:rsid w:val="000139B0"/>
    <w:rsid w:val="00013A79"/>
    <w:rsid w:val="00013A8E"/>
    <w:rsid w:val="00013B74"/>
    <w:rsid w:val="00013B8D"/>
    <w:rsid w:val="00013DF5"/>
    <w:rsid w:val="00013E36"/>
    <w:rsid w:val="00013F09"/>
    <w:rsid w:val="00013F43"/>
    <w:rsid w:val="00013F56"/>
    <w:rsid w:val="00014182"/>
    <w:rsid w:val="00014453"/>
    <w:rsid w:val="0001455D"/>
    <w:rsid w:val="000147C0"/>
    <w:rsid w:val="0001487E"/>
    <w:rsid w:val="000148F2"/>
    <w:rsid w:val="00014A26"/>
    <w:rsid w:val="00014A9C"/>
    <w:rsid w:val="00014AE1"/>
    <w:rsid w:val="00014C6C"/>
    <w:rsid w:val="00014CE5"/>
    <w:rsid w:val="00014CEA"/>
    <w:rsid w:val="00014D33"/>
    <w:rsid w:val="00014D5E"/>
    <w:rsid w:val="00014DA4"/>
    <w:rsid w:val="00014EB8"/>
    <w:rsid w:val="00014EF5"/>
    <w:rsid w:val="00014F60"/>
    <w:rsid w:val="00015246"/>
    <w:rsid w:val="00015336"/>
    <w:rsid w:val="000154FC"/>
    <w:rsid w:val="00015516"/>
    <w:rsid w:val="0001572D"/>
    <w:rsid w:val="000157B7"/>
    <w:rsid w:val="00015BD8"/>
    <w:rsid w:val="00015D9D"/>
    <w:rsid w:val="00015E7D"/>
    <w:rsid w:val="0001600B"/>
    <w:rsid w:val="00016040"/>
    <w:rsid w:val="0001640E"/>
    <w:rsid w:val="00016538"/>
    <w:rsid w:val="000166D6"/>
    <w:rsid w:val="000167F6"/>
    <w:rsid w:val="000169ED"/>
    <w:rsid w:val="00016A88"/>
    <w:rsid w:val="00016B22"/>
    <w:rsid w:val="00016C6A"/>
    <w:rsid w:val="00016CC6"/>
    <w:rsid w:val="00016E97"/>
    <w:rsid w:val="00016F2E"/>
    <w:rsid w:val="000171DD"/>
    <w:rsid w:val="00017208"/>
    <w:rsid w:val="00017352"/>
    <w:rsid w:val="000174B3"/>
    <w:rsid w:val="00017685"/>
    <w:rsid w:val="000177EB"/>
    <w:rsid w:val="00017861"/>
    <w:rsid w:val="000179B6"/>
    <w:rsid w:val="00017CA8"/>
    <w:rsid w:val="00017D05"/>
    <w:rsid w:val="00017E5B"/>
    <w:rsid w:val="00017E8C"/>
    <w:rsid w:val="00017F6C"/>
    <w:rsid w:val="0002009F"/>
    <w:rsid w:val="000200A2"/>
    <w:rsid w:val="00020251"/>
    <w:rsid w:val="0002025C"/>
    <w:rsid w:val="00020425"/>
    <w:rsid w:val="0002043B"/>
    <w:rsid w:val="0002048D"/>
    <w:rsid w:val="00020791"/>
    <w:rsid w:val="0002086A"/>
    <w:rsid w:val="0002091D"/>
    <w:rsid w:val="00020944"/>
    <w:rsid w:val="00020E3D"/>
    <w:rsid w:val="00020F8A"/>
    <w:rsid w:val="00020FA9"/>
    <w:rsid w:val="00020FB0"/>
    <w:rsid w:val="00021021"/>
    <w:rsid w:val="000210FE"/>
    <w:rsid w:val="00021199"/>
    <w:rsid w:val="000211F1"/>
    <w:rsid w:val="000212BC"/>
    <w:rsid w:val="000212C6"/>
    <w:rsid w:val="00021550"/>
    <w:rsid w:val="00021600"/>
    <w:rsid w:val="0002193C"/>
    <w:rsid w:val="00021C72"/>
    <w:rsid w:val="00021D94"/>
    <w:rsid w:val="00021FBE"/>
    <w:rsid w:val="00021FBF"/>
    <w:rsid w:val="0002211E"/>
    <w:rsid w:val="0002240E"/>
    <w:rsid w:val="0002241F"/>
    <w:rsid w:val="000225B5"/>
    <w:rsid w:val="00022867"/>
    <w:rsid w:val="0002294C"/>
    <w:rsid w:val="00022AC2"/>
    <w:rsid w:val="00022AE4"/>
    <w:rsid w:val="00022BFE"/>
    <w:rsid w:val="00022C85"/>
    <w:rsid w:val="00022D9C"/>
    <w:rsid w:val="00022F2C"/>
    <w:rsid w:val="0002308C"/>
    <w:rsid w:val="000230DA"/>
    <w:rsid w:val="00023112"/>
    <w:rsid w:val="000231DA"/>
    <w:rsid w:val="0002322D"/>
    <w:rsid w:val="000232BC"/>
    <w:rsid w:val="000232FD"/>
    <w:rsid w:val="0002357C"/>
    <w:rsid w:val="0002379D"/>
    <w:rsid w:val="00023879"/>
    <w:rsid w:val="0002389E"/>
    <w:rsid w:val="0002396B"/>
    <w:rsid w:val="00023A95"/>
    <w:rsid w:val="00023BDE"/>
    <w:rsid w:val="00023D53"/>
    <w:rsid w:val="00023EB5"/>
    <w:rsid w:val="0002407A"/>
    <w:rsid w:val="000240F5"/>
    <w:rsid w:val="000241B6"/>
    <w:rsid w:val="000242E8"/>
    <w:rsid w:val="0002431F"/>
    <w:rsid w:val="0002440F"/>
    <w:rsid w:val="0002445F"/>
    <w:rsid w:val="000245B9"/>
    <w:rsid w:val="0002470C"/>
    <w:rsid w:val="000247F8"/>
    <w:rsid w:val="00024855"/>
    <w:rsid w:val="00024955"/>
    <w:rsid w:val="000249EF"/>
    <w:rsid w:val="00024CFB"/>
    <w:rsid w:val="00024D2E"/>
    <w:rsid w:val="00024EA0"/>
    <w:rsid w:val="00024F8C"/>
    <w:rsid w:val="0002510E"/>
    <w:rsid w:val="00025123"/>
    <w:rsid w:val="000251DA"/>
    <w:rsid w:val="00025215"/>
    <w:rsid w:val="0002523A"/>
    <w:rsid w:val="000252A7"/>
    <w:rsid w:val="00025357"/>
    <w:rsid w:val="000253D7"/>
    <w:rsid w:val="00025447"/>
    <w:rsid w:val="000256EF"/>
    <w:rsid w:val="00025700"/>
    <w:rsid w:val="0002587D"/>
    <w:rsid w:val="0002597B"/>
    <w:rsid w:val="000259FB"/>
    <w:rsid w:val="00025A88"/>
    <w:rsid w:val="00025ACF"/>
    <w:rsid w:val="00025AFE"/>
    <w:rsid w:val="00025B09"/>
    <w:rsid w:val="00025B13"/>
    <w:rsid w:val="00025B3C"/>
    <w:rsid w:val="00025B62"/>
    <w:rsid w:val="00025C90"/>
    <w:rsid w:val="00025C9E"/>
    <w:rsid w:val="00025DDF"/>
    <w:rsid w:val="00025EC9"/>
    <w:rsid w:val="00025ED9"/>
    <w:rsid w:val="00026098"/>
    <w:rsid w:val="000260EA"/>
    <w:rsid w:val="000260FF"/>
    <w:rsid w:val="00026404"/>
    <w:rsid w:val="00026440"/>
    <w:rsid w:val="00026703"/>
    <w:rsid w:val="00026812"/>
    <w:rsid w:val="00026915"/>
    <w:rsid w:val="00026B7A"/>
    <w:rsid w:val="00026E36"/>
    <w:rsid w:val="00026F5F"/>
    <w:rsid w:val="00026F9B"/>
    <w:rsid w:val="000270E2"/>
    <w:rsid w:val="000273BD"/>
    <w:rsid w:val="00027402"/>
    <w:rsid w:val="0002742C"/>
    <w:rsid w:val="000274A4"/>
    <w:rsid w:val="00027563"/>
    <w:rsid w:val="00027669"/>
    <w:rsid w:val="00027743"/>
    <w:rsid w:val="00027746"/>
    <w:rsid w:val="00027803"/>
    <w:rsid w:val="000279E6"/>
    <w:rsid w:val="00027C19"/>
    <w:rsid w:val="00027D2C"/>
    <w:rsid w:val="00027E73"/>
    <w:rsid w:val="00027EAC"/>
    <w:rsid w:val="00027F64"/>
    <w:rsid w:val="00027F86"/>
    <w:rsid w:val="000300B4"/>
    <w:rsid w:val="000300C2"/>
    <w:rsid w:val="0003036E"/>
    <w:rsid w:val="00030620"/>
    <w:rsid w:val="00030770"/>
    <w:rsid w:val="00030776"/>
    <w:rsid w:val="00030865"/>
    <w:rsid w:val="00030A8F"/>
    <w:rsid w:val="00030ABD"/>
    <w:rsid w:val="00030B9C"/>
    <w:rsid w:val="00030C9C"/>
    <w:rsid w:val="00030D62"/>
    <w:rsid w:val="00030DF0"/>
    <w:rsid w:val="00030EBD"/>
    <w:rsid w:val="00030F88"/>
    <w:rsid w:val="00031085"/>
    <w:rsid w:val="000310BC"/>
    <w:rsid w:val="0003115F"/>
    <w:rsid w:val="0003119D"/>
    <w:rsid w:val="000311FF"/>
    <w:rsid w:val="000312A5"/>
    <w:rsid w:val="000312E3"/>
    <w:rsid w:val="000314D5"/>
    <w:rsid w:val="000315D4"/>
    <w:rsid w:val="00031662"/>
    <w:rsid w:val="000317CC"/>
    <w:rsid w:val="00031B14"/>
    <w:rsid w:val="00031B67"/>
    <w:rsid w:val="00031BB1"/>
    <w:rsid w:val="00031E6C"/>
    <w:rsid w:val="00031EB4"/>
    <w:rsid w:val="00031F51"/>
    <w:rsid w:val="00032102"/>
    <w:rsid w:val="00032172"/>
    <w:rsid w:val="000322DC"/>
    <w:rsid w:val="000322FB"/>
    <w:rsid w:val="00032351"/>
    <w:rsid w:val="000328A6"/>
    <w:rsid w:val="00032A32"/>
    <w:rsid w:val="00032B2A"/>
    <w:rsid w:val="00032D28"/>
    <w:rsid w:val="00032E1D"/>
    <w:rsid w:val="00032E77"/>
    <w:rsid w:val="00032ED1"/>
    <w:rsid w:val="00032F64"/>
    <w:rsid w:val="00033003"/>
    <w:rsid w:val="00033033"/>
    <w:rsid w:val="00033143"/>
    <w:rsid w:val="000337CC"/>
    <w:rsid w:val="000337FF"/>
    <w:rsid w:val="0003399D"/>
    <w:rsid w:val="000339E1"/>
    <w:rsid w:val="00033A9B"/>
    <w:rsid w:val="000340AB"/>
    <w:rsid w:val="00034303"/>
    <w:rsid w:val="0003432F"/>
    <w:rsid w:val="0003441F"/>
    <w:rsid w:val="0003450C"/>
    <w:rsid w:val="000346DD"/>
    <w:rsid w:val="00034798"/>
    <w:rsid w:val="0003480E"/>
    <w:rsid w:val="00034815"/>
    <w:rsid w:val="0003493A"/>
    <w:rsid w:val="00034A50"/>
    <w:rsid w:val="00034C37"/>
    <w:rsid w:val="00034C47"/>
    <w:rsid w:val="00034CA3"/>
    <w:rsid w:val="00034E07"/>
    <w:rsid w:val="00034F34"/>
    <w:rsid w:val="00034F3D"/>
    <w:rsid w:val="00034FA7"/>
    <w:rsid w:val="00035121"/>
    <w:rsid w:val="00035140"/>
    <w:rsid w:val="00035170"/>
    <w:rsid w:val="00035275"/>
    <w:rsid w:val="000352F3"/>
    <w:rsid w:val="000353DC"/>
    <w:rsid w:val="00035439"/>
    <w:rsid w:val="00035665"/>
    <w:rsid w:val="000356BE"/>
    <w:rsid w:val="00035748"/>
    <w:rsid w:val="00035884"/>
    <w:rsid w:val="000358C5"/>
    <w:rsid w:val="0003591A"/>
    <w:rsid w:val="0003599D"/>
    <w:rsid w:val="00035BAF"/>
    <w:rsid w:val="00035C30"/>
    <w:rsid w:val="00035F9C"/>
    <w:rsid w:val="00036062"/>
    <w:rsid w:val="00036353"/>
    <w:rsid w:val="00036358"/>
    <w:rsid w:val="000364C4"/>
    <w:rsid w:val="00036614"/>
    <w:rsid w:val="0003674B"/>
    <w:rsid w:val="000367D6"/>
    <w:rsid w:val="0003684D"/>
    <w:rsid w:val="00036872"/>
    <w:rsid w:val="000368BB"/>
    <w:rsid w:val="00036A4A"/>
    <w:rsid w:val="00036B42"/>
    <w:rsid w:val="00036B68"/>
    <w:rsid w:val="00036BA4"/>
    <w:rsid w:val="00036C09"/>
    <w:rsid w:val="00036C23"/>
    <w:rsid w:val="00036C9F"/>
    <w:rsid w:val="00037077"/>
    <w:rsid w:val="000371AC"/>
    <w:rsid w:val="000371EF"/>
    <w:rsid w:val="00037343"/>
    <w:rsid w:val="000373CB"/>
    <w:rsid w:val="00037431"/>
    <w:rsid w:val="00037472"/>
    <w:rsid w:val="00037488"/>
    <w:rsid w:val="0003786D"/>
    <w:rsid w:val="000378B6"/>
    <w:rsid w:val="00037933"/>
    <w:rsid w:val="00037BCF"/>
    <w:rsid w:val="00037C6C"/>
    <w:rsid w:val="0003E3D4"/>
    <w:rsid w:val="000400C5"/>
    <w:rsid w:val="000401B8"/>
    <w:rsid w:val="000403EE"/>
    <w:rsid w:val="0004044B"/>
    <w:rsid w:val="000405F6"/>
    <w:rsid w:val="0004062E"/>
    <w:rsid w:val="00040947"/>
    <w:rsid w:val="00040977"/>
    <w:rsid w:val="00040995"/>
    <w:rsid w:val="0004099F"/>
    <w:rsid w:val="000409B1"/>
    <w:rsid w:val="00040B3E"/>
    <w:rsid w:val="00040D86"/>
    <w:rsid w:val="0004116D"/>
    <w:rsid w:val="00041196"/>
    <w:rsid w:val="000413A2"/>
    <w:rsid w:val="000413FD"/>
    <w:rsid w:val="0004164D"/>
    <w:rsid w:val="000416DD"/>
    <w:rsid w:val="00041717"/>
    <w:rsid w:val="0004173A"/>
    <w:rsid w:val="00041817"/>
    <w:rsid w:val="000418F8"/>
    <w:rsid w:val="00041A5D"/>
    <w:rsid w:val="00041AE8"/>
    <w:rsid w:val="00041B15"/>
    <w:rsid w:val="00041B1C"/>
    <w:rsid w:val="00041B3C"/>
    <w:rsid w:val="00041BD2"/>
    <w:rsid w:val="00041BF3"/>
    <w:rsid w:val="00041C75"/>
    <w:rsid w:val="00041E0A"/>
    <w:rsid w:val="00041E4A"/>
    <w:rsid w:val="00041F43"/>
    <w:rsid w:val="000420BE"/>
    <w:rsid w:val="0004217B"/>
    <w:rsid w:val="000421AD"/>
    <w:rsid w:val="00042431"/>
    <w:rsid w:val="000424A1"/>
    <w:rsid w:val="000424FF"/>
    <w:rsid w:val="000426AE"/>
    <w:rsid w:val="00042760"/>
    <w:rsid w:val="0004289C"/>
    <w:rsid w:val="00042A0A"/>
    <w:rsid w:val="00042A1B"/>
    <w:rsid w:val="00042B2E"/>
    <w:rsid w:val="00042B77"/>
    <w:rsid w:val="00042B89"/>
    <w:rsid w:val="00042E72"/>
    <w:rsid w:val="00042FC5"/>
    <w:rsid w:val="000430CA"/>
    <w:rsid w:val="0004319D"/>
    <w:rsid w:val="0004324F"/>
    <w:rsid w:val="0004336E"/>
    <w:rsid w:val="000435E8"/>
    <w:rsid w:val="000437A0"/>
    <w:rsid w:val="00043927"/>
    <w:rsid w:val="00043975"/>
    <w:rsid w:val="00043A69"/>
    <w:rsid w:val="00043B11"/>
    <w:rsid w:val="00043BFD"/>
    <w:rsid w:val="00043E64"/>
    <w:rsid w:val="00044025"/>
    <w:rsid w:val="00044084"/>
    <w:rsid w:val="00044143"/>
    <w:rsid w:val="00044192"/>
    <w:rsid w:val="00044359"/>
    <w:rsid w:val="0004437E"/>
    <w:rsid w:val="000443A4"/>
    <w:rsid w:val="00044486"/>
    <w:rsid w:val="000444EB"/>
    <w:rsid w:val="000445D5"/>
    <w:rsid w:val="00044640"/>
    <w:rsid w:val="00044A09"/>
    <w:rsid w:val="00044D01"/>
    <w:rsid w:val="00044E14"/>
    <w:rsid w:val="00044E23"/>
    <w:rsid w:val="00045016"/>
    <w:rsid w:val="000450C7"/>
    <w:rsid w:val="000450C8"/>
    <w:rsid w:val="000452D5"/>
    <w:rsid w:val="00045347"/>
    <w:rsid w:val="00045354"/>
    <w:rsid w:val="000453A7"/>
    <w:rsid w:val="00045520"/>
    <w:rsid w:val="000457E4"/>
    <w:rsid w:val="000458AB"/>
    <w:rsid w:val="000458EF"/>
    <w:rsid w:val="00045A52"/>
    <w:rsid w:val="00045AE4"/>
    <w:rsid w:val="00045B7D"/>
    <w:rsid w:val="00045C0D"/>
    <w:rsid w:val="00045EB9"/>
    <w:rsid w:val="00045F3E"/>
    <w:rsid w:val="00045FE8"/>
    <w:rsid w:val="00046096"/>
    <w:rsid w:val="00046139"/>
    <w:rsid w:val="000463B7"/>
    <w:rsid w:val="0004649C"/>
    <w:rsid w:val="00046590"/>
    <w:rsid w:val="0004667E"/>
    <w:rsid w:val="000466F8"/>
    <w:rsid w:val="00046788"/>
    <w:rsid w:val="000468C8"/>
    <w:rsid w:val="000468D3"/>
    <w:rsid w:val="000469F3"/>
    <w:rsid w:val="00046B00"/>
    <w:rsid w:val="00046B26"/>
    <w:rsid w:val="00046B79"/>
    <w:rsid w:val="00046BE7"/>
    <w:rsid w:val="00046BFC"/>
    <w:rsid w:val="00046C4C"/>
    <w:rsid w:val="00046D79"/>
    <w:rsid w:val="00046EC2"/>
    <w:rsid w:val="00046F6E"/>
    <w:rsid w:val="00046F73"/>
    <w:rsid w:val="00046FA5"/>
    <w:rsid w:val="00046FAE"/>
    <w:rsid w:val="00046FCA"/>
    <w:rsid w:val="00047040"/>
    <w:rsid w:val="0004706C"/>
    <w:rsid w:val="00047246"/>
    <w:rsid w:val="0004724C"/>
    <w:rsid w:val="000476C3"/>
    <w:rsid w:val="00047A1D"/>
    <w:rsid w:val="00047CA5"/>
    <w:rsid w:val="00047F56"/>
    <w:rsid w:val="00047FBA"/>
    <w:rsid w:val="00050024"/>
    <w:rsid w:val="00050063"/>
    <w:rsid w:val="000500E2"/>
    <w:rsid w:val="00050190"/>
    <w:rsid w:val="000501A7"/>
    <w:rsid w:val="000501B7"/>
    <w:rsid w:val="000502DE"/>
    <w:rsid w:val="00050364"/>
    <w:rsid w:val="00050759"/>
    <w:rsid w:val="0005087F"/>
    <w:rsid w:val="000508AF"/>
    <w:rsid w:val="00050913"/>
    <w:rsid w:val="00050985"/>
    <w:rsid w:val="000509C9"/>
    <w:rsid w:val="00050DD5"/>
    <w:rsid w:val="0005121E"/>
    <w:rsid w:val="00051274"/>
    <w:rsid w:val="0005129D"/>
    <w:rsid w:val="0005130E"/>
    <w:rsid w:val="00051383"/>
    <w:rsid w:val="00051507"/>
    <w:rsid w:val="000515A4"/>
    <w:rsid w:val="000515A7"/>
    <w:rsid w:val="00051611"/>
    <w:rsid w:val="000516A2"/>
    <w:rsid w:val="00051736"/>
    <w:rsid w:val="0005196B"/>
    <w:rsid w:val="00051B93"/>
    <w:rsid w:val="00051C01"/>
    <w:rsid w:val="00051CC2"/>
    <w:rsid w:val="00051CC5"/>
    <w:rsid w:val="00051EC2"/>
    <w:rsid w:val="00051EFF"/>
    <w:rsid w:val="0005202E"/>
    <w:rsid w:val="00052178"/>
    <w:rsid w:val="000521D7"/>
    <w:rsid w:val="000522E6"/>
    <w:rsid w:val="00052359"/>
    <w:rsid w:val="00052447"/>
    <w:rsid w:val="00052464"/>
    <w:rsid w:val="000524A1"/>
    <w:rsid w:val="000524CB"/>
    <w:rsid w:val="00052637"/>
    <w:rsid w:val="000526AF"/>
    <w:rsid w:val="000527A6"/>
    <w:rsid w:val="000527BF"/>
    <w:rsid w:val="00052A0B"/>
    <w:rsid w:val="00052AC4"/>
    <w:rsid w:val="00052C0F"/>
    <w:rsid w:val="00052C2B"/>
    <w:rsid w:val="00052C83"/>
    <w:rsid w:val="00052ED8"/>
    <w:rsid w:val="00052FE8"/>
    <w:rsid w:val="0005307B"/>
    <w:rsid w:val="000531D2"/>
    <w:rsid w:val="00053250"/>
    <w:rsid w:val="000532A0"/>
    <w:rsid w:val="0005347B"/>
    <w:rsid w:val="00053609"/>
    <w:rsid w:val="000536E4"/>
    <w:rsid w:val="000537A3"/>
    <w:rsid w:val="00053824"/>
    <w:rsid w:val="00053842"/>
    <w:rsid w:val="000539DF"/>
    <w:rsid w:val="00053D7B"/>
    <w:rsid w:val="00053F4D"/>
    <w:rsid w:val="00053F72"/>
    <w:rsid w:val="000540CC"/>
    <w:rsid w:val="0005418A"/>
    <w:rsid w:val="00054645"/>
    <w:rsid w:val="00054691"/>
    <w:rsid w:val="0005470E"/>
    <w:rsid w:val="000547A3"/>
    <w:rsid w:val="000548A4"/>
    <w:rsid w:val="0005496A"/>
    <w:rsid w:val="00054C4C"/>
    <w:rsid w:val="00054C75"/>
    <w:rsid w:val="00054D30"/>
    <w:rsid w:val="00054D41"/>
    <w:rsid w:val="00054D4C"/>
    <w:rsid w:val="00054EBE"/>
    <w:rsid w:val="00054EE2"/>
    <w:rsid w:val="00054EEC"/>
    <w:rsid w:val="0005501B"/>
    <w:rsid w:val="000552B6"/>
    <w:rsid w:val="000554FD"/>
    <w:rsid w:val="00055583"/>
    <w:rsid w:val="000555D5"/>
    <w:rsid w:val="000555E7"/>
    <w:rsid w:val="00055659"/>
    <w:rsid w:val="00055693"/>
    <w:rsid w:val="00055707"/>
    <w:rsid w:val="00055889"/>
    <w:rsid w:val="000558BB"/>
    <w:rsid w:val="000558DE"/>
    <w:rsid w:val="000559AF"/>
    <w:rsid w:val="000559F4"/>
    <w:rsid w:val="00055A04"/>
    <w:rsid w:val="00055AA9"/>
    <w:rsid w:val="00055C3C"/>
    <w:rsid w:val="00055C4A"/>
    <w:rsid w:val="00055EE1"/>
    <w:rsid w:val="00055F70"/>
    <w:rsid w:val="00055F81"/>
    <w:rsid w:val="0005601C"/>
    <w:rsid w:val="0005607B"/>
    <w:rsid w:val="00056603"/>
    <w:rsid w:val="0005667A"/>
    <w:rsid w:val="0005671D"/>
    <w:rsid w:val="000567F6"/>
    <w:rsid w:val="00056811"/>
    <w:rsid w:val="00056B55"/>
    <w:rsid w:val="00056BB2"/>
    <w:rsid w:val="00056BC5"/>
    <w:rsid w:val="00056E1E"/>
    <w:rsid w:val="00056E87"/>
    <w:rsid w:val="00056F46"/>
    <w:rsid w:val="00056FAA"/>
    <w:rsid w:val="00057222"/>
    <w:rsid w:val="00057256"/>
    <w:rsid w:val="00057337"/>
    <w:rsid w:val="0005748D"/>
    <w:rsid w:val="000575D9"/>
    <w:rsid w:val="000575FC"/>
    <w:rsid w:val="000576C7"/>
    <w:rsid w:val="0005785F"/>
    <w:rsid w:val="00057979"/>
    <w:rsid w:val="000579B2"/>
    <w:rsid w:val="000579DF"/>
    <w:rsid w:val="00057A73"/>
    <w:rsid w:val="00057ADB"/>
    <w:rsid w:val="00057BCA"/>
    <w:rsid w:val="00057C4D"/>
    <w:rsid w:val="00057C7C"/>
    <w:rsid w:val="00057F3E"/>
    <w:rsid w:val="00060078"/>
    <w:rsid w:val="00060375"/>
    <w:rsid w:val="0006045F"/>
    <w:rsid w:val="000606BB"/>
    <w:rsid w:val="0006071D"/>
    <w:rsid w:val="00060A1E"/>
    <w:rsid w:val="00060A40"/>
    <w:rsid w:val="00060A85"/>
    <w:rsid w:val="00060B1F"/>
    <w:rsid w:val="00060BAE"/>
    <w:rsid w:val="00061014"/>
    <w:rsid w:val="0006105C"/>
    <w:rsid w:val="00061076"/>
    <w:rsid w:val="000611C1"/>
    <w:rsid w:val="000611D1"/>
    <w:rsid w:val="000613B5"/>
    <w:rsid w:val="000614DE"/>
    <w:rsid w:val="000616A9"/>
    <w:rsid w:val="0006176B"/>
    <w:rsid w:val="00061802"/>
    <w:rsid w:val="00061835"/>
    <w:rsid w:val="00061868"/>
    <w:rsid w:val="00061A42"/>
    <w:rsid w:val="00061A45"/>
    <w:rsid w:val="00061A62"/>
    <w:rsid w:val="00061CF7"/>
    <w:rsid w:val="00061E08"/>
    <w:rsid w:val="00061E32"/>
    <w:rsid w:val="00061EED"/>
    <w:rsid w:val="00061F8A"/>
    <w:rsid w:val="000620B7"/>
    <w:rsid w:val="000621CE"/>
    <w:rsid w:val="00062208"/>
    <w:rsid w:val="0006224E"/>
    <w:rsid w:val="00062337"/>
    <w:rsid w:val="0006236C"/>
    <w:rsid w:val="00062538"/>
    <w:rsid w:val="000626A1"/>
    <w:rsid w:val="000627CC"/>
    <w:rsid w:val="000628C8"/>
    <w:rsid w:val="000629B9"/>
    <w:rsid w:val="00062E1B"/>
    <w:rsid w:val="00062EE4"/>
    <w:rsid w:val="000630AF"/>
    <w:rsid w:val="00063332"/>
    <w:rsid w:val="00063534"/>
    <w:rsid w:val="000635E7"/>
    <w:rsid w:val="0006376A"/>
    <w:rsid w:val="00063879"/>
    <w:rsid w:val="00063A18"/>
    <w:rsid w:val="00063AF8"/>
    <w:rsid w:val="00063C86"/>
    <w:rsid w:val="00063D51"/>
    <w:rsid w:val="00063D71"/>
    <w:rsid w:val="00063EF3"/>
    <w:rsid w:val="00063FEB"/>
    <w:rsid w:val="000640DC"/>
    <w:rsid w:val="00064239"/>
    <w:rsid w:val="0006428F"/>
    <w:rsid w:val="00064526"/>
    <w:rsid w:val="00064561"/>
    <w:rsid w:val="000645F7"/>
    <w:rsid w:val="00064697"/>
    <w:rsid w:val="000646E5"/>
    <w:rsid w:val="00064B87"/>
    <w:rsid w:val="00064D52"/>
    <w:rsid w:val="00064E64"/>
    <w:rsid w:val="00065014"/>
    <w:rsid w:val="000650CC"/>
    <w:rsid w:val="00065135"/>
    <w:rsid w:val="0006519E"/>
    <w:rsid w:val="00065371"/>
    <w:rsid w:val="0006554E"/>
    <w:rsid w:val="00065582"/>
    <w:rsid w:val="000655C4"/>
    <w:rsid w:val="00065653"/>
    <w:rsid w:val="000658E9"/>
    <w:rsid w:val="000659D0"/>
    <w:rsid w:val="00065ACC"/>
    <w:rsid w:val="00065BA3"/>
    <w:rsid w:val="00065C05"/>
    <w:rsid w:val="00065CEA"/>
    <w:rsid w:val="00065D15"/>
    <w:rsid w:val="00065DA7"/>
    <w:rsid w:val="00065FEF"/>
    <w:rsid w:val="00066135"/>
    <w:rsid w:val="000665DA"/>
    <w:rsid w:val="0006690A"/>
    <w:rsid w:val="00066931"/>
    <w:rsid w:val="00066AA7"/>
    <w:rsid w:val="00066B31"/>
    <w:rsid w:val="00066BF9"/>
    <w:rsid w:val="00066C76"/>
    <w:rsid w:val="00066F73"/>
    <w:rsid w:val="0006708B"/>
    <w:rsid w:val="000670ED"/>
    <w:rsid w:val="000671E1"/>
    <w:rsid w:val="000673CF"/>
    <w:rsid w:val="0006741E"/>
    <w:rsid w:val="00067458"/>
    <w:rsid w:val="000674AC"/>
    <w:rsid w:val="000674F3"/>
    <w:rsid w:val="0006773A"/>
    <w:rsid w:val="00067740"/>
    <w:rsid w:val="00067949"/>
    <w:rsid w:val="00067987"/>
    <w:rsid w:val="00067AD9"/>
    <w:rsid w:val="00067C0A"/>
    <w:rsid w:val="00067C2E"/>
    <w:rsid w:val="00067C3E"/>
    <w:rsid w:val="00067D85"/>
    <w:rsid w:val="00067DA4"/>
    <w:rsid w:val="00067E58"/>
    <w:rsid w:val="00067F44"/>
    <w:rsid w:val="00067F9B"/>
    <w:rsid w:val="00067FC9"/>
    <w:rsid w:val="00070065"/>
    <w:rsid w:val="0007012B"/>
    <w:rsid w:val="00070151"/>
    <w:rsid w:val="000701D2"/>
    <w:rsid w:val="00070670"/>
    <w:rsid w:val="000707B2"/>
    <w:rsid w:val="0007085F"/>
    <w:rsid w:val="00070A08"/>
    <w:rsid w:val="00070B9C"/>
    <w:rsid w:val="00070C09"/>
    <w:rsid w:val="00070C12"/>
    <w:rsid w:val="00070D93"/>
    <w:rsid w:val="00070E20"/>
    <w:rsid w:val="00070F77"/>
    <w:rsid w:val="00070F7D"/>
    <w:rsid w:val="0007141C"/>
    <w:rsid w:val="00071573"/>
    <w:rsid w:val="000716A1"/>
    <w:rsid w:val="0007171A"/>
    <w:rsid w:val="00071942"/>
    <w:rsid w:val="00071AE6"/>
    <w:rsid w:val="00071B42"/>
    <w:rsid w:val="00071C1F"/>
    <w:rsid w:val="00071D4D"/>
    <w:rsid w:val="0007203B"/>
    <w:rsid w:val="00072076"/>
    <w:rsid w:val="00072156"/>
    <w:rsid w:val="00072266"/>
    <w:rsid w:val="000722F9"/>
    <w:rsid w:val="00072607"/>
    <w:rsid w:val="00072640"/>
    <w:rsid w:val="0007265F"/>
    <w:rsid w:val="00072838"/>
    <w:rsid w:val="00072AA1"/>
    <w:rsid w:val="00072B4F"/>
    <w:rsid w:val="00072C08"/>
    <w:rsid w:val="00072C3A"/>
    <w:rsid w:val="00072CDA"/>
    <w:rsid w:val="00072CEE"/>
    <w:rsid w:val="00072D68"/>
    <w:rsid w:val="000732FB"/>
    <w:rsid w:val="00073418"/>
    <w:rsid w:val="0007347D"/>
    <w:rsid w:val="00073494"/>
    <w:rsid w:val="000734B6"/>
    <w:rsid w:val="00073568"/>
    <w:rsid w:val="0007391B"/>
    <w:rsid w:val="000739D4"/>
    <w:rsid w:val="00073A08"/>
    <w:rsid w:val="00073CB6"/>
    <w:rsid w:val="00073E04"/>
    <w:rsid w:val="00073E97"/>
    <w:rsid w:val="0007402D"/>
    <w:rsid w:val="000742D9"/>
    <w:rsid w:val="0007432E"/>
    <w:rsid w:val="000743CA"/>
    <w:rsid w:val="000743FC"/>
    <w:rsid w:val="0007442D"/>
    <w:rsid w:val="0007444E"/>
    <w:rsid w:val="00074635"/>
    <w:rsid w:val="000746B9"/>
    <w:rsid w:val="000748CD"/>
    <w:rsid w:val="00074972"/>
    <w:rsid w:val="00074A1B"/>
    <w:rsid w:val="00074AA5"/>
    <w:rsid w:val="00074C4A"/>
    <w:rsid w:val="00074C9C"/>
    <w:rsid w:val="00074D27"/>
    <w:rsid w:val="00074E12"/>
    <w:rsid w:val="00074EA3"/>
    <w:rsid w:val="000751C9"/>
    <w:rsid w:val="00075266"/>
    <w:rsid w:val="000752F4"/>
    <w:rsid w:val="00075362"/>
    <w:rsid w:val="00075458"/>
    <w:rsid w:val="000754AF"/>
    <w:rsid w:val="0007557C"/>
    <w:rsid w:val="000756FA"/>
    <w:rsid w:val="00075919"/>
    <w:rsid w:val="0007596B"/>
    <w:rsid w:val="00075A45"/>
    <w:rsid w:val="00075CE6"/>
    <w:rsid w:val="00075DB1"/>
    <w:rsid w:val="00075EA4"/>
    <w:rsid w:val="00076017"/>
    <w:rsid w:val="000760CB"/>
    <w:rsid w:val="000761D6"/>
    <w:rsid w:val="00076249"/>
    <w:rsid w:val="000763BE"/>
    <w:rsid w:val="0007643F"/>
    <w:rsid w:val="0007654E"/>
    <w:rsid w:val="000765E1"/>
    <w:rsid w:val="00076646"/>
    <w:rsid w:val="0007669A"/>
    <w:rsid w:val="000768B6"/>
    <w:rsid w:val="00076A7F"/>
    <w:rsid w:val="00076AE6"/>
    <w:rsid w:val="00076B56"/>
    <w:rsid w:val="00076BAE"/>
    <w:rsid w:val="00076EB4"/>
    <w:rsid w:val="00076EC6"/>
    <w:rsid w:val="00076F37"/>
    <w:rsid w:val="00076F9D"/>
    <w:rsid w:val="0007714C"/>
    <w:rsid w:val="00077197"/>
    <w:rsid w:val="00077216"/>
    <w:rsid w:val="00077325"/>
    <w:rsid w:val="00077409"/>
    <w:rsid w:val="0007761B"/>
    <w:rsid w:val="000777A8"/>
    <w:rsid w:val="000778DE"/>
    <w:rsid w:val="00077996"/>
    <w:rsid w:val="000779B4"/>
    <w:rsid w:val="00077AD6"/>
    <w:rsid w:val="00077D04"/>
    <w:rsid w:val="00077D9A"/>
    <w:rsid w:val="00077E6F"/>
    <w:rsid w:val="00077EDB"/>
    <w:rsid w:val="000800BE"/>
    <w:rsid w:val="00080101"/>
    <w:rsid w:val="00080108"/>
    <w:rsid w:val="000801DF"/>
    <w:rsid w:val="0008022E"/>
    <w:rsid w:val="00080278"/>
    <w:rsid w:val="00080583"/>
    <w:rsid w:val="000805D2"/>
    <w:rsid w:val="00080629"/>
    <w:rsid w:val="00080732"/>
    <w:rsid w:val="0008087B"/>
    <w:rsid w:val="0008096B"/>
    <w:rsid w:val="00080993"/>
    <w:rsid w:val="00080C3D"/>
    <w:rsid w:val="00080D7D"/>
    <w:rsid w:val="000810DA"/>
    <w:rsid w:val="00081143"/>
    <w:rsid w:val="0008138A"/>
    <w:rsid w:val="000813FB"/>
    <w:rsid w:val="00081435"/>
    <w:rsid w:val="0008156F"/>
    <w:rsid w:val="000815D9"/>
    <w:rsid w:val="0008165B"/>
    <w:rsid w:val="0008169C"/>
    <w:rsid w:val="000816B5"/>
    <w:rsid w:val="000816FF"/>
    <w:rsid w:val="000819D6"/>
    <w:rsid w:val="00081A23"/>
    <w:rsid w:val="00081A78"/>
    <w:rsid w:val="00081C0C"/>
    <w:rsid w:val="00081C75"/>
    <w:rsid w:val="00081C85"/>
    <w:rsid w:val="00081D52"/>
    <w:rsid w:val="00081DEB"/>
    <w:rsid w:val="00082084"/>
    <w:rsid w:val="00082189"/>
    <w:rsid w:val="000821DB"/>
    <w:rsid w:val="000825D7"/>
    <w:rsid w:val="00082656"/>
    <w:rsid w:val="000826DD"/>
    <w:rsid w:val="00082710"/>
    <w:rsid w:val="00082721"/>
    <w:rsid w:val="00082CCE"/>
    <w:rsid w:val="00082E82"/>
    <w:rsid w:val="00082EB6"/>
    <w:rsid w:val="000830EA"/>
    <w:rsid w:val="000831C0"/>
    <w:rsid w:val="000834D4"/>
    <w:rsid w:val="000835EC"/>
    <w:rsid w:val="00083714"/>
    <w:rsid w:val="00083837"/>
    <w:rsid w:val="0008383E"/>
    <w:rsid w:val="00083B43"/>
    <w:rsid w:val="00083C2C"/>
    <w:rsid w:val="00083CB1"/>
    <w:rsid w:val="00083CDB"/>
    <w:rsid w:val="00083E58"/>
    <w:rsid w:val="00083EB2"/>
    <w:rsid w:val="00083ECB"/>
    <w:rsid w:val="000841D0"/>
    <w:rsid w:val="000843A3"/>
    <w:rsid w:val="000845A5"/>
    <w:rsid w:val="000846B4"/>
    <w:rsid w:val="000847BF"/>
    <w:rsid w:val="000847DF"/>
    <w:rsid w:val="00084810"/>
    <w:rsid w:val="00084814"/>
    <w:rsid w:val="000848B1"/>
    <w:rsid w:val="00084982"/>
    <w:rsid w:val="000849EA"/>
    <w:rsid w:val="000849F0"/>
    <w:rsid w:val="00084A62"/>
    <w:rsid w:val="00084C94"/>
    <w:rsid w:val="00084D40"/>
    <w:rsid w:val="00084E6D"/>
    <w:rsid w:val="00084EF4"/>
    <w:rsid w:val="00084F14"/>
    <w:rsid w:val="00084FCA"/>
    <w:rsid w:val="00085084"/>
    <w:rsid w:val="00085097"/>
    <w:rsid w:val="00085235"/>
    <w:rsid w:val="00085294"/>
    <w:rsid w:val="0008536D"/>
    <w:rsid w:val="000853CA"/>
    <w:rsid w:val="000854DA"/>
    <w:rsid w:val="000854FD"/>
    <w:rsid w:val="00085551"/>
    <w:rsid w:val="00085782"/>
    <w:rsid w:val="0008594D"/>
    <w:rsid w:val="00085ABA"/>
    <w:rsid w:val="00085D4B"/>
    <w:rsid w:val="00085D4C"/>
    <w:rsid w:val="00085D91"/>
    <w:rsid w:val="00085E83"/>
    <w:rsid w:val="000860A7"/>
    <w:rsid w:val="00086297"/>
    <w:rsid w:val="00086496"/>
    <w:rsid w:val="000865DA"/>
    <w:rsid w:val="00086746"/>
    <w:rsid w:val="00086889"/>
    <w:rsid w:val="000869B2"/>
    <w:rsid w:val="00086A30"/>
    <w:rsid w:val="00086A32"/>
    <w:rsid w:val="00086ACD"/>
    <w:rsid w:val="00086BA9"/>
    <w:rsid w:val="00086BCD"/>
    <w:rsid w:val="00086D63"/>
    <w:rsid w:val="00086E88"/>
    <w:rsid w:val="00087005"/>
    <w:rsid w:val="00087117"/>
    <w:rsid w:val="00087135"/>
    <w:rsid w:val="000873CC"/>
    <w:rsid w:val="000876E0"/>
    <w:rsid w:val="000879DD"/>
    <w:rsid w:val="00087B65"/>
    <w:rsid w:val="00087B8E"/>
    <w:rsid w:val="00087B9B"/>
    <w:rsid w:val="00087BE5"/>
    <w:rsid w:val="00087CC4"/>
    <w:rsid w:val="00087DF3"/>
    <w:rsid w:val="00087F79"/>
    <w:rsid w:val="00087FF0"/>
    <w:rsid w:val="0009008A"/>
    <w:rsid w:val="0009010D"/>
    <w:rsid w:val="00090160"/>
    <w:rsid w:val="0009024F"/>
    <w:rsid w:val="00090346"/>
    <w:rsid w:val="000903D2"/>
    <w:rsid w:val="000903E2"/>
    <w:rsid w:val="00090501"/>
    <w:rsid w:val="000907B3"/>
    <w:rsid w:val="000907E7"/>
    <w:rsid w:val="000909CC"/>
    <w:rsid w:val="00090B58"/>
    <w:rsid w:val="00090C3C"/>
    <w:rsid w:val="00090C73"/>
    <w:rsid w:val="00090DB5"/>
    <w:rsid w:val="0009107F"/>
    <w:rsid w:val="00091210"/>
    <w:rsid w:val="00091520"/>
    <w:rsid w:val="000916FF"/>
    <w:rsid w:val="000917C5"/>
    <w:rsid w:val="000919A5"/>
    <w:rsid w:val="00091BB4"/>
    <w:rsid w:val="00091C89"/>
    <w:rsid w:val="00091F0F"/>
    <w:rsid w:val="00092125"/>
    <w:rsid w:val="000921C9"/>
    <w:rsid w:val="000921DF"/>
    <w:rsid w:val="00092352"/>
    <w:rsid w:val="0009257B"/>
    <w:rsid w:val="000926B2"/>
    <w:rsid w:val="000926E1"/>
    <w:rsid w:val="0009282A"/>
    <w:rsid w:val="00092914"/>
    <w:rsid w:val="00092A31"/>
    <w:rsid w:val="00092B6C"/>
    <w:rsid w:val="00092D40"/>
    <w:rsid w:val="00092D9F"/>
    <w:rsid w:val="00093239"/>
    <w:rsid w:val="00093277"/>
    <w:rsid w:val="0009329C"/>
    <w:rsid w:val="000934CA"/>
    <w:rsid w:val="000934DA"/>
    <w:rsid w:val="000937AA"/>
    <w:rsid w:val="0009384C"/>
    <w:rsid w:val="0009388B"/>
    <w:rsid w:val="00093CB5"/>
    <w:rsid w:val="00093D16"/>
    <w:rsid w:val="00093E1A"/>
    <w:rsid w:val="00093F4B"/>
    <w:rsid w:val="00093FB9"/>
    <w:rsid w:val="0009405B"/>
    <w:rsid w:val="0009413A"/>
    <w:rsid w:val="00094163"/>
    <w:rsid w:val="0009420F"/>
    <w:rsid w:val="00094289"/>
    <w:rsid w:val="0009452B"/>
    <w:rsid w:val="000945E9"/>
    <w:rsid w:val="00094808"/>
    <w:rsid w:val="00094A66"/>
    <w:rsid w:val="00094BD0"/>
    <w:rsid w:val="00094C6D"/>
    <w:rsid w:val="00094CB9"/>
    <w:rsid w:val="00094CE1"/>
    <w:rsid w:val="00094F69"/>
    <w:rsid w:val="00094F76"/>
    <w:rsid w:val="0009505F"/>
    <w:rsid w:val="000951DC"/>
    <w:rsid w:val="000953EF"/>
    <w:rsid w:val="000956A3"/>
    <w:rsid w:val="00095747"/>
    <w:rsid w:val="00095834"/>
    <w:rsid w:val="00095991"/>
    <w:rsid w:val="00095C88"/>
    <w:rsid w:val="00095D02"/>
    <w:rsid w:val="00095E04"/>
    <w:rsid w:val="00095E91"/>
    <w:rsid w:val="00095ECF"/>
    <w:rsid w:val="00096008"/>
    <w:rsid w:val="0009614A"/>
    <w:rsid w:val="000961A5"/>
    <w:rsid w:val="00096260"/>
    <w:rsid w:val="000963EE"/>
    <w:rsid w:val="000966B8"/>
    <w:rsid w:val="0009691A"/>
    <w:rsid w:val="0009695A"/>
    <w:rsid w:val="00096AC7"/>
    <w:rsid w:val="00096C86"/>
    <w:rsid w:val="00096CE3"/>
    <w:rsid w:val="00096D93"/>
    <w:rsid w:val="00096F80"/>
    <w:rsid w:val="0009714C"/>
    <w:rsid w:val="0009718F"/>
    <w:rsid w:val="00097258"/>
    <w:rsid w:val="0009745A"/>
    <w:rsid w:val="00097469"/>
    <w:rsid w:val="0009757A"/>
    <w:rsid w:val="000977D7"/>
    <w:rsid w:val="000977FF"/>
    <w:rsid w:val="00097889"/>
    <w:rsid w:val="00097974"/>
    <w:rsid w:val="00097A3A"/>
    <w:rsid w:val="00097A97"/>
    <w:rsid w:val="00097B8A"/>
    <w:rsid w:val="00097D99"/>
    <w:rsid w:val="00097DBE"/>
    <w:rsid w:val="00097FC8"/>
    <w:rsid w:val="000A00E5"/>
    <w:rsid w:val="000A0200"/>
    <w:rsid w:val="000A044C"/>
    <w:rsid w:val="000A045B"/>
    <w:rsid w:val="000A08BF"/>
    <w:rsid w:val="000A094D"/>
    <w:rsid w:val="000A09AB"/>
    <w:rsid w:val="000A0ADE"/>
    <w:rsid w:val="000A0ADF"/>
    <w:rsid w:val="000A0B58"/>
    <w:rsid w:val="000A0D52"/>
    <w:rsid w:val="000A0E1F"/>
    <w:rsid w:val="000A0FEC"/>
    <w:rsid w:val="000A100A"/>
    <w:rsid w:val="000A1059"/>
    <w:rsid w:val="000A12C2"/>
    <w:rsid w:val="000A1332"/>
    <w:rsid w:val="000A1389"/>
    <w:rsid w:val="000A14B9"/>
    <w:rsid w:val="000A15C0"/>
    <w:rsid w:val="000A1627"/>
    <w:rsid w:val="000A1686"/>
    <w:rsid w:val="000A1755"/>
    <w:rsid w:val="000A186C"/>
    <w:rsid w:val="000A18AA"/>
    <w:rsid w:val="000A1948"/>
    <w:rsid w:val="000A1969"/>
    <w:rsid w:val="000A1AC7"/>
    <w:rsid w:val="000A1B62"/>
    <w:rsid w:val="000A1BB7"/>
    <w:rsid w:val="000A1BBF"/>
    <w:rsid w:val="000A1C27"/>
    <w:rsid w:val="000A1DB4"/>
    <w:rsid w:val="000A1E35"/>
    <w:rsid w:val="000A1EAA"/>
    <w:rsid w:val="000A1F08"/>
    <w:rsid w:val="000A1F40"/>
    <w:rsid w:val="000A1F92"/>
    <w:rsid w:val="000A225E"/>
    <w:rsid w:val="000A2277"/>
    <w:rsid w:val="000A22F2"/>
    <w:rsid w:val="000A2546"/>
    <w:rsid w:val="000A2590"/>
    <w:rsid w:val="000A2629"/>
    <w:rsid w:val="000A26F9"/>
    <w:rsid w:val="000A2705"/>
    <w:rsid w:val="000A27C0"/>
    <w:rsid w:val="000A27DA"/>
    <w:rsid w:val="000A2A96"/>
    <w:rsid w:val="000A2AE7"/>
    <w:rsid w:val="000A2B1E"/>
    <w:rsid w:val="000A2B4B"/>
    <w:rsid w:val="000A2B60"/>
    <w:rsid w:val="000A2BE6"/>
    <w:rsid w:val="000A2BF0"/>
    <w:rsid w:val="000A2C86"/>
    <w:rsid w:val="000A2CB8"/>
    <w:rsid w:val="000A2D34"/>
    <w:rsid w:val="000A2DEE"/>
    <w:rsid w:val="000A2DEF"/>
    <w:rsid w:val="000A2E79"/>
    <w:rsid w:val="000A2EF8"/>
    <w:rsid w:val="000A2F6D"/>
    <w:rsid w:val="000A31C4"/>
    <w:rsid w:val="000A3484"/>
    <w:rsid w:val="000A34A7"/>
    <w:rsid w:val="000A37D4"/>
    <w:rsid w:val="000A37EA"/>
    <w:rsid w:val="000A38FC"/>
    <w:rsid w:val="000A39E1"/>
    <w:rsid w:val="000A39E7"/>
    <w:rsid w:val="000A39FB"/>
    <w:rsid w:val="000A3ADA"/>
    <w:rsid w:val="000A3BB3"/>
    <w:rsid w:val="000A3BBD"/>
    <w:rsid w:val="000A3C49"/>
    <w:rsid w:val="000A3CFA"/>
    <w:rsid w:val="000A3D32"/>
    <w:rsid w:val="000A3DE7"/>
    <w:rsid w:val="000A3F5A"/>
    <w:rsid w:val="000A4227"/>
    <w:rsid w:val="000A4237"/>
    <w:rsid w:val="000A461E"/>
    <w:rsid w:val="000A474F"/>
    <w:rsid w:val="000A48EB"/>
    <w:rsid w:val="000A48F2"/>
    <w:rsid w:val="000A4971"/>
    <w:rsid w:val="000A49E4"/>
    <w:rsid w:val="000A4A0F"/>
    <w:rsid w:val="000A4A28"/>
    <w:rsid w:val="000A4A37"/>
    <w:rsid w:val="000A4A85"/>
    <w:rsid w:val="000A4E04"/>
    <w:rsid w:val="000A4FF3"/>
    <w:rsid w:val="000A50F2"/>
    <w:rsid w:val="000A5267"/>
    <w:rsid w:val="000A528F"/>
    <w:rsid w:val="000A52F9"/>
    <w:rsid w:val="000A5316"/>
    <w:rsid w:val="000A5442"/>
    <w:rsid w:val="000A548B"/>
    <w:rsid w:val="000A5587"/>
    <w:rsid w:val="000A5591"/>
    <w:rsid w:val="000A5614"/>
    <w:rsid w:val="000A56C1"/>
    <w:rsid w:val="000A574D"/>
    <w:rsid w:val="000A57B5"/>
    <w:rsid w:val="000A586B"/>
    <w:rsid w:val="000A58F5"/>
    <w:rsid w:val="000A5B0E"/>
    <w:rsid w:val="000A5B26"/>
    <w:rsid w:val="000A5D41"/>
    <w:rsid w:val="000A5FAF"/>
    <w:rsid w:val="000A6020"/>
    <w:rsid w:val="000A6228"/>
    <w:rsid w:val="000A6241"/>
    <w:rsid w:val="000A642B"/>
    <w:rsid w:val="000A650E"/>
    <w:rsid w:val="000A665C"/>
    <w:rsid w:val="000A67CB"/>
    <w:rsid w:val="000A6C5D"/>
    <w:rsid w:val="000A6C91"/>
    <w:rsid w:val="000A6DA4"/>
    <w:rsid w:val="000A6E39"/>
    <w:rsid w:val="000A6FD8"/>
    <w:rsid w:val="000A702E"/>
    <w:rsid w:val="000A7107"/>
    <w:rsid w:val="000A721F"/>
    <w:rsid w:val="000A753E"/>
    <w:rsid w:val="000A7610"/>
    <w:rsid w:val="000A769C"/>
    <w:rsid w:val="000A77A4"/>
    <w:rsid w:val="000A782B"/>
    <w:rsid w:val="000A791D"/>
    <w:rsid w:val="000A7969"/>
    <w:rsid w:val="000A79DE"/>
    <w:rsid w:val="000A79E8"/>
    <w:rsid w:val="000A7A2A"/>
    <w:rsid w:val="000A7A41"/>
    <w:rsid w:val="000A7A6C"/>
    <w:rsid w:val="000A7B00"/>
    <w:rsid w:val="000A7CE1"/>
    <w:rsid w:val="000A7D08"/>
    <w:rsid w:val="000B002F"/>
    <w:rsid w:val="000B01B0"/>
    <w:rsid w:val="000B023E"/>
    <w:rsid w:val="000B0519"/>
    <w:rsid w:val="000B071C"/>
    <w:rsid w:val="000B079A"/>
    <w:rsid w:val="000B07DA"/>
    <w:rsid w:val="000B0979"/>
    <w:rsid w:val="000B0A9D"/>
    <w:rsid w:val="000B0C04"/>
    <w:rsid w:val="000B0DAC"/>
    <w:rsid w:val="000B0E4C"/>
    <w:rsid w:val="000B123D"/>
    <w:rsid w:val="000B1727"/>
    <w:rsid w:val="000B1751"/>
    <w:rsid w:val="000B19BA"/>
    <w:rsid w:val="000B1A4A"/>
    <w:rsid w:val="000B1A72"/>
    <w:rsid w:val="000B1A78"/>
    <w:rsid w:val="000B1C8E"/>
    <w:rsid w:val="000B1D8B"/>
    <w:rsid w:val="000B1E3E"/>
    <w:rsid w:val="000B1E54"/>
    <w:rsid w:val="000B1F42"/>
    <w:rsid w:val="000B2363"/>
    <w:rsid w:val="000B25A2"/>
    <w:rsid w:val="000B263D"/>
    <w:rsid w:val="000B289C"/>
    <w:rsid w:val="000B2912"/>
    <w:rsid w:val="000B292B"/>
    <w:rsid w:val="000B2A4E"/>
    <w:rsid w:val="000B2A63"/>
    <w:rsid w:val="000B2B49"/>
    <w:rsid w:val="000B2C97"/>
    <w:rsid w:val="000B3072"/>
    <w:rsid w:val="000B31EE"/>
    <w:rsid w:val="000B335C"/>
    <w:rsid w:val="000B34DA"/>
    <w:rsid w:val="000B350B"/>
    <w:rsid w:val="000B35A8"/>
    <w:rsid w:val="000B35B6"/>
    <w:rsid w:val="000B35B9"/>
    <w:rsid w:val="000B3699"/>
    <w:rsid w:val="000B3729"/>
    <w:rsid w:val="000B3803"/>
    <w:rsid w:val="000B3A17"/>
    <w:rsid w:val="000B3A39"/>
    <w:rsid w:val="000B3C54"/>
    <w:rsid w:val="000B3C57"/>
    <w:rsid w:val="000B3C8A"/>
    <w:rsid w:val="000B3C9C"/>
    <w:rsid w:val="000B3F9F"/>
    <w:rsid w:val="000B4036"/>
    <w:rsid w:val="000B42B4"/>
    <w:rsid w:val="000B473A"/>
    <w:rsid w:val="000B49B5"/>
    <w:rsid w:val="000B4B75"/>
    <w:rsid w:val="000B4BEB"/>
    <w:rsid w:val="000B4EDB"/>
    <w:rsid w:val="000B4FDC"/>
    <w:rsid w:val="000B502F"/>
    <w:rsid w:val="000B50FC"/>
    <w:rsid w:val="000B51D4"/>
    <w:rsid w:val="000B520A"/>
    <w:rsid w:val="000B52D4"/>
    <w:rsid w:val="000B5372"/>
    <w:rsid w:val="000B53E1"/>
    <w:rsid w:val="000B543C"/>
    <w:rsid w:val="000B54F8"/>
    <w:rsid w:val="000B551C"/>
    <w:rsid w:val="000B5587"/>
    <w:rsid w:val="000B55C2"/>
    <w:rsid w:val="000B55CB"/>
    <w:rsid w:val="000B55F8"/>
    <w:rsid w:val="000B5618"/>
    <w:rsid w:val="000B5622"/>
    <w:rsid w:val="000B5726"/>
    <w:rsid w:val="000B5838"/>
    <w:rsid w:val="000B599C"/>
    <w:rsid w:val="000B5AD3"/>
    <w:rsid w:val="000B5BD5"/>
    <w:rsid w:val="000B5CA4"/>
    <w:rsid w:val="000B5CCF"/>
    <w:rsid w:val="000B5D19"/>
    <w:rsid w:val="000B5D21"/>
    <w:rsid w:val="000B5D40"/>
    <w:rsid w:val="000B5D7E"/>
    <w:rsid w:val="000B609B"/>
    <w:rsid w:val="000B60A9"/>
    <w:rsid w:val="000B6310"/>
    <w:rsid w:val="000B63CC"/>
    <w:rsid w:val="000B64A6"/>
    <w:rsid w:val="000B650A"/>
    <w:rsid w:val="000B693F"/>
    <w:rsid w:val="000B6A08"/>
    <w:rsid w:val="000B6F76"/>
    <w:rsid w:val="000B6F86"/>
    <w:rsid w:val="000B70D7"/>
    <w:rsid w:val="000B71D6"/>
    <w:rsid w:val="000B7616"/>
    <w:rsid w:val="000B766B"/>
    <w:rsid w:val="000B7769"/>
    <w:rsid w:val="000B78D8"/>
    <w:rsid w:val="000B7DC6"/>
    <w:rsid w:val="000B7DD2"/>
    <w:rsid w:val="000B7DEB"/>
    <w:rsid w:val="000B7E2B"/>
    <w:rsid w:val="000B7E7A"/>
    <w:rsid w:val="000B7EC6"/>
    <w:rsid w:val="000B7F43"/>
    <w:rsid w:val="000B7FC1"/>
    <w:rsid w:val="000C0106"/>
    <w:rsid w:val="000C042E"/>
    <w:rsid w:val="000C046A"/>
    <w:rsid w:val="000C053B"/>
    <w:rsid w:val="000C063C"/>
    <w:rsid w:val="000C0783"/>
    <w:rsid w:val="000C07D2"/>
    <w:rsid w:val="000C0A5D"/>
    <w:rsid w:val="000C0B96"/>
    <w:rsid w:val="000C0CC9"/>
    <w:rsid w:val="000C0D3C"/>
    <w:rsid w:val="000C0D53"/>
    <w:rsid w:val="000C0DDB"/>
    <w:rsid w:val="000C0E69"/>
    <w:rsid w:val="000C0F3A"/>
    <w:rsid w:val="000C1064"/>
    <w:rsid w:val="000C12F5"/>
    <w:rsid w:val="000C1351"/>
    <w:rsid w:val="000C1449"/>
    <w:rsid w:val="000C1617"/>
    <w:rsid w:val="000C168F"/>
    <w:rsid w:val="000C16E8"/>
    <w:rsid w:val="000C16EB"/>
    <w:rsid w:val="000C17AD"/>
    <w:rsid w:val="000C1A18"/>
    <w:rsid w:val="000C1A4D"/>
    <w:rsid w:val="000C1B0C"/>
    <w:rsid w:val="000C1B33"/>
    <w:rsid w:val="000C1B3F"/>
    <w:rsid w:val="000C1F78"/>
    <w:rsid w:val="000C20EB"/>
    <w:rsid w:val="000C2124"/>
    <w:rsid w:val="000C21D2"/>
    <w:rsid w:val="000C21DD"/>
    <w:rsid w:val="000C2444"/>
    <w:rsid w:val="000C2862"/>
    <w:rsid w:val="000C2AA5"/>
    <w:rsid w:val="000C2B21"/>
    <w:rsid w:val="000C2B64"/>
    <w:rsid w:val="000C2BDE"/>
    <w:rsid w:val="000C2C25"/>
    <w:rsid w:val="000C2C70"/>
    <w:rsid w:val="000C2C8A"/>
    <w:rsid w:val="000C2EC8"/>
    <w:rsid w:val="000C2F6C"/>
    <w:rsid w:val="000C3067"/>
    <w:rsid w:val="000C3206"/>
    <w:rsid w:val="000C32ED"/>
    <w:rsid w:val="000C34E1"/>
    <w:rsid w:val="000C34EE"/>
    <w:rsid w:val="000C3654"/>
    <w:rsid w:val="000C3A2E"/>
    <w:rsid w:val="000C3A74"/>
    <w:rsid w:val="000C3C0C"/>
    <w:rsid w:val="000C3C7E"/>
    <w:rsid w:val="000C3CF9"/>
    <w:rsid w:val="000C3D3D"/>
    <w:rsid w:val="000C4018"/>
    <w:rsid w:val="000C4022"/>
    <w:rsid w:val="000C4098"/>
    <w:rsid w:val="000C4282"/>
    <w:rsid w:val="000C4298"/>
    <w:rsid w:val="000C4311"/>
    <w:rsid w:val="000C4370"/>
    <w:rsid w:val="000C43DA"/>
    <w:rsid w:val="000C44D3"/>
    <w:rsid w:val="000C47A6"/>
    <w:rsid w:val="000C47F4"/>
    <w:rsid w:val="000C487F"/>
    <w:rsid w:val="000C4895"/>
    <w:rsid w:val="000C4B89"/>
    <w:rsid w:val="000C4C2D"/>
    <w:rsid w:val="000C4CDB"/>
    <w:rsid w:val="000C4EA6"/>
    <w:rsid w:val="000C50B8"/>
    <w:rsid w:val="000C5256"/>
    <w:rsid w:val="000C532A"/>
    <w:rsid w:val="000C5401"/>
    <w:rsid w:val="000C5538"/>
    <w:rsid w:val="000C55CF"/>
    <w:rsid w:val="000C56B7"/>
    <w:rsid w:val="000C57B4"/>
    <w:rsid w:val="000C599D"/>
    <w:rsid w:val="000C5AF8"/>
    <w:rsid w:val="000C5CF9"/>
    <w:rsid w:val="000C5D7A"/>
    <w:rsid w:val="000C5E87"/>
    <w:rsid w:val="000C5EE7"/>
    <w:rsid w:val="000C61A5"/>
    <w:rsid w:val="000C6445"/>
    <w:rsid w:val="000C6483"/>
    <w:rsid w:val="000C65B2"/>
    <w:rsid w:val="000C661D"/>
    <w:rsid w:val="000C6724"/>
    <w:rsid w:val="000C6962"/>
    <w:rsid w:val="000C6A2A"/>
    <w:rsid w:val="000C6A2B"/>
    <w:rsid w:val="000C6A69"/>
    <w:rsid w:val="000C6C0B"/>
    <w:rsid w:val="000C7028"/>
    <w:rsid w:val="000C714C"/>
    <w:rsid w:val="000C71E5"/>
    <w:rsid w:val="000C7249"/>
    <w:rsid w:val="000C748B"/>
    <w:rsid w:val="000C74C2"/>
    <w:rsid w:val="000C75BD"/>
    <w:rsid w:val="000C7736"/>
    <w:rsid w:val="000C775D"/>
    <w:rsid w:val="000C7824"/>
    <w:rsid w:val="000C791B"/>
    <w:rsid w:val="000C79E4"/>
    <w:rsid w:val="000C7B82"/>
    <w:rsid w:val="000C7D8F"/>
    <w:rsid w:val="000CD295"/>
    <w:rsid w:val="000D0017"/>
    <w:rsid w:val="000D013F"/>
    <w:rsid w:val="000D025C"/>
    <w:rsid w:val="000D031A"/>
    <w:rsid w:val="000D0464"/>
    <w:rsid w:val="000D0597"/>
    <w:rsid w:val="000D06DE"/>
    <w:rsid w:val="000D0780"/>
    <w:rsid w:val="000D0793"/>
    <w:rsid w:val="000D0845"/>
    <w:rsid w:val="000D0B89"/>
    <w:rsid w:val="000D0EBB"/>
    <w:rsid w:val="000D1089"/>
    <w:rsid w:val="000D10AB"/>
    <w:rsid w:val="000D128B"/>
    <w:rsid w:val="000D1374"/>
    <w:rsid w:val="000D13A5"/>
    <w:rsid w:val="000D13D4"/>
    <w:rsid w:val="000D1545"/>
    <w:rsid w:val="000D15EF"/>
    <w:rsid w:val="000D17C0"/>
    <w:rsid w:val="000D17FF"/>
    <w:rsid w:val="000D18F2"/>
    <w:rsid w:val="000D1DBB"/>
    <w:rsid w:val="000D1E79"/>
    <w:rsid w:val="000D1F25"/>
    <w:rsid w:val="000D2064"/>
    <w:rsid w:val="000D210A"/>
    <w:rsid w:val="000D22E8"/>
    <w:rsid w:val="000D2325"/>
    <w:rsid w:val="000D2634"/>
    <w:rsid w:val="000D2708"/>
    <w:rsid w:val="000D2847"/>
    <w:rsid w:val="000D287D"/>
    <w:rsid w:val="000D29D7"/>
    <w:rsid w:val="000D2A0A"/>
    <w:rsid w:val="000D2A26"/>
    <w:rsid w:val="000D2A74"/>
    <w:rsid w:val="000D2AA8"/>
    <w:rsid w:val="000D2E26"/>
    <w:rsid w:val="000D2EC2"/>
    <w:rsid w:val="000D2F20"/>
    <w:rsid w:val="000D316A"/>
    <w:rsid w:val="000D321B"/>
    <w:rsid w:val="000D3489"/>
    <w:rsid w:val="000D348D"/>
    <w:rsid w:val="000D34FB"/>
    <w:rsid w:val="000D3541"/>
    <w:rsid w:val="000D35B6"/>
    <w:rsid w:val="000D3682"/>
    <w:rsid w:val="000D37BA"/>
    <w:rsid w:val="000D387D"/>
    <w:rsid w:val="000D39A3"/>
    <w:rsid w:val="000D3A11"/>
    <w:rsid w:val="000D3A13"/>
    <w:rsid w:val="000D3AD4"/>
    <w:rsid w:val="000D3CAE"/>
    <w:rsid w:val="000D3DC0"/>
    <w:rsid w:val="000D3EBD"/>
    <w:rsid w:val="000D3FD9"/>
    <w:rsid w:val="000D40D9"/>
    <w:rsid w:val="000D41BA"/>
    <w:rsid w:val="000D4349"/>
    <w:rsid w:val="000D4393"/>
    <w:rsid w:val="000D4440"/>
    <w:rsid w:val="000D4666"/>
    <w:rsid w:val="000D473A"/>
    <w:rsid w:val="000D480A"/>
    <w:rsid w:val="000D49D9"/>
    <w:rsid w:val="000D4A3B"/>
    <w:rsid w:val="000D4B41"/>
    <w:rsid w:val="000D4B51"/>
    <w:rsid w:val="000D4D06"/>
    <w:rsid w:val="000D4D85"/>
    <w:rsid w:val="000D4E3D"/>
    <w:rsid w:val="000D4EAB"/>
    <w:rsid w:val="000D50AC"/>
    <w:rsid w:val="000D5293"/>
    <w:rsid w:val="000D533B"/>
    <w:rsid w:val="000D54B5"/>
    <w:rsid w:val="000D5501"/>
    <w:rsid w:val="000D560C"/>
    <w:rsid w:val="000D58FB"/>
    <w:rsid w:val="000D59D6"/>
    <w:rsid w:val="000D5AF3"/>
    <w:rsid w:val="000D5B48"/>
    <w:rsid w:val="000D5DC6"/>
    <w:rsid w:val="000D5E25"/>
    <w:rsid w:val="000D5E27"/>
    <w:rsid w:val="000D5EE9"/>
    <w:rsid w:val="000D5EEB"/>
    <w:rsid w:val="000D5F8A"/>
    <w:rsid w:val="000D5F8C"/>
    <w:rsid w:val="000D5FC9"/>
    <w:rsid w:val="000D6017"/>
    <w:rsid w:val="000D6052"/>
    <w:rsid w:val="000D60F8"/>
    <w:rsid w:val="000D634F"/>
    <w:rsid w:val="000D657F"/>
    <w:rsid w:val="000D65D6"/>
    <w:rsid w:val="000D6852"/>
    <w:rsid w:val="000D6881"/>
    <w:rsid w:val="000D6A93"/>
    <w:rsid w:val="000D6BD1"/>
    <w:rsid w:val="000D6C20"/>
    <w:rsid w:val="000D6ED9"/>
    <w:rsid w:val="000D7043"/>
    <w:rsid w:val="000D708C"/>
    <w:rsid w:val="000D7217"/>
    <w:rsid w:val="000D725B"/>
    <w:rsid w:val="000D7280"/>
    <w:rsid w:val="000D7295"/>
    <w:rsid w:val="000D72F5"/>
    <w:rsid w:val="000D7548"/>
    <w:rsid w:val="000D76CE"/>
    <w:rsid w:val="000D7785"/>
    <w:rsid w:val="000D78A7"/>
    <w:rsid w:val="000D7A05"/>
    <w:rsid w:val="000D7B6D"/>
    <w:rsid w:val="000D7BFF"/>
    <w:rsid w:val="000D7C65"/>
    <w:rsid w:val="000D7D39"/>
    <w:rsid w:val="000D7D68"/>
    <w:rsid w:val="000D7E99"/>
    <w:rsid w:val="000D7F79"/>
    <w:rsid w:val="000D7FC7"/>
    <w:rsid w:val="000E013B"/>
    <w:rsid w:val="000E032E"/>
    <w:rsid w:val="000E0596"/>
    <w:rsid w:val="000E0622"/>
    <w:rsid w:val="000E06F9"/>
    <w:rsid w:val="000E09C4"/>
    <w:rsid w:val="000E0A54"/>
    <w:rsid w:val="000E0B0A"/>
    <w:rsid w:val="000E0B7F"/>
    <w:rsid w:val="000E0BBB"/>
    <w:rsid w:val="000E0BF1"/>
    <w:rsid w:val="000E0BF9"/>
    <w:rsid w:val="000E0D8E"/>
    <w:rsid w:val="000E0DA6"/>
    <w:rsid w:val="000E0F51"/>
    <w:rsid w:val="000E0F57"/>
    <w:rsid w:val="000E104C"/>
    <w:rsid w:val="000E113E"/>
    <w:rsid w:val="000E13FB"/>
    <w:rsid w:val="000E1490"/>
    <w:rsid w:val="000E14BD"/>
    <w:rsid w:val="000E14D1"/>
    <w:rsid w:val="000E14DA"/>
    <w:rsid w:val="000E14DE"/>
    <w:rsid w:val="000E14E6"/>
    <w:rsid w:val="000E16D6"/>
    <w:rsid w:val="000E1BD5"/>
    <w:rsid w:val="000E1CAE"/>
    <w:rsid w:val="000E1EE2"/>
    <w:rsid w:val="000E1F42"/>
    <w:rsid w:val="000E1FD4"/>
    <w:rsid w:val="000E260B"/>
    <w:rsid w:val="000E28DD"/>
    <w:rsid w:val="000E2956"/>
    <w:rsid w:val="000E295B"/>
    <w:rsid w:val="000E2A3C"/>
    <w:rsid w:val="000E2B61"/>
    <w:rsid w:val="000E2CFA"/>
    <w:rsid w:val="000E2DA1"/>
    <w:rsid w:val="000E2F3A"/>
    <w:rsid w:val="000E2F5E"/>
    <w:rsid w:val="000E300D"/>
    <w:rsid w:val="000E31B9"/>
    <w:rsid w:val="000E3474"/>
    <w:rsid w:val="000E353C"/>
    <w:rsid w:val="000E3577"/>
    <w:rsid w:val="000E36B8"/>
    <w:rsid w:val="000E3776"/>
    <w:rsid w:val="000E3923"/>
    <w:rsid w:val="000E393A"/>
    <w:rsid w:val="000E39C0"/>
    <w:rsid w:val="000E3A69"/>
    <w:rsid w:val="000E3B43"/>
    <w:rsid w:val="000E3BC9"/>
    <w:rsid w:val="000E3C1D"/>
    <w:rsid w:val="000E3C3B"/>
    <w:rsid w:val="000E3CAD"/>
    <w:rsid w:val="000E3E7C"/>
    <w:rsid w:val="000E3E7E"/>
    <w:rsid w:val="000E3F05"/>
    <w:rsid w:val="000E4250"/>
    <w:rsid w:val="000E43E6"/>
    <w:rsid w:val="000E448B"/>
    <w:rsid w:val="000E44B7"/>
    <w:rsid w:val="000E44F6"/>
    <w:rsid w:val="000E4652"/>
    <w:rsid w:val="000E46D9"/>
    <w:rsid w:val="000E4BC7"/>
    <w:rsid w:val="000E4D02"/>
    <w:rsid w:val="000E4DB7"/>
    <w:rsid w:val="000E4FDE"/>
    <w:rsid w:val="000E5100"/>
    <w:rsid w:val="000E5285"/>
    <w:rsid w:val="000E52AE"/>
    <w:rsid w:val="000E5337"/>
    <w:rsid w:val="000E54A4"/>
    <w:rsid w:val="000E54D4"/>
    <w:rsid w:val="000E5884"/>
    <w:rsid w:val="000E596B"/>
    <w:rsid w:val="000E5A5F"/>
    <w:rsid w:val="000E5B53"/>
    <w:rsid w:val="000E5C5C"/>
    <w:rsid w:val="000E5CD5"/>
    <w:rsid w:val="000E5E12"/>
    <w:rsid w:val="000E5F66"/>
    <w:rsid w:val="000E61D4"/>
    <w:rsid w:val="000E639D"/>
    <w:rsid w:val="000E6545"/>
    <w:rsid w:val="000E6661"/>
    <w:rsid w:val="000E6966"/>
    <w:rsid w:val="000E6A11"/>
    <w:rsid w:val="000E6B02"/>
    <w:rsid w:val="000E6B99"/>
    <w:rsid w:val="000E6BDB"/>
    <w:rsid w:val="000E6C0C"/>
    <w:rsid w:val="000E6CC3"/>
    <w:rsid w:val="000E6D33"/>
    <w:rsid w:val="000E7034"/>
    <w:rsid w:val="000E7160"/>
    <w:rsid w:val="000E71E2"/>
    <w:rsid w:val="000E7274"/>
    <w:rsid w:val="000E7297"/>
    <w:rsid w:val="000E7379"/>
    <w:rsid w:val="000E743E"/>
    <w:rsid w:val="000E74B8"/>
    <w:rsid w:val="000E74C8"/>
    <w:rsid w:val="000E75A9"/>
    <w:rsid w:val="000E760A"/>
    <w:rsid w:val="000E78D1"/>
    <w:rsid w:val="000E7981"/>
    <w:rsid w:val="000E7B7A"/>
    <w:rsid w:val="000E7C03"/>
    <w:rsid w:val="000E7C66"/>
    <w:rsid w:val="000E7E58"/>
    <w:rsid w:val="000E7F10"/>
    <w:rsid w:val="000E89FE"/>
    <w:rsid w:val="000F0095"/>
    <w:rsid w:val="000F03F2"/>
    <w:rsid w:val="000F046D"/>
    <w:rsid w:val="000F0477"/>
    <w:rsid w:val="000F053C"/>
    <w:rsid w:val="000F0767"/>
    <w:rsid w:val="000F07CA"/>
    <w:rsid w:val="000F0868"/>
    <w:rsid w:val="000F096F"/>
    <w:rsid w:val="000F0B4B"/>
    <w:rsid w:val="000F0B5C"/>
    <w:rsid w:val="000F0CAD"/>
    <w:rsid w:val="000F0CF6"/>
    <w:rsid w:val="000F0DB1"/>
    <w:rsid w:val="000F0DFC"/>
    <w:rsid w:val="000F0F2B"/>
    <w:rsid w:val="000F1005"/>
    <w:rsid w:val="000F1119"/>
    <w:rsid w:val="000F1174"/>
    <w:rsid w:val="000F1186"/>
    <w:rsid w:val="000F15C1"/>
    <w:rsid w:val="000F16A2"/>
    <w:rsid w:val="000F1814"/>
    <w:rsid w:val="000F1877"/>
    <w:rsid w:val="000F19D6"/>
    <w:rsid w:val="000F1A29"/>
    <w:rsid w:val="000F1BFE"/>
    <w:rsid w:val="000F1C1A"/>
    <w:rsid w:val="000F1D1D"/>
    <w:rsid w:val="000F1E16"/>
    <w:rsid w:val="000F1E67"/>
    <w:rsid w:val="000F1F14"/>
    <w:rsid w:val="000F1F3B"/>
    <w:rsid w:val="000F1FAF"/>
    <w:rsid w:val="000F2103"/>
    <w:rsid w:val="000F2323"/>
    <w:rsid w:val="000F23B2"/>
    <w:rsid w:val="000F24FB"/>
    <w:rsid w:val="000F26C9"/>
    <w:rsid w:val="000F28C7"/>
    <w:rsid w:val="000F2A20"/>
    <w:rsid w:val="000F2AE3"/>
    <w:rsid w:val="000F2AFB"/>
    <w:rsid w:val="000F2D6C"/>
    <w:rsid w:val="000F2D6D"/>
    <w:rsid w:val="000F2DD1"/>
    <w:rsid w:val="000F30CD"/>
    <w:rsid w:val="000F3444"/>
    <w:rsid w:val="000F3552"/>
    <w:rsid w:val="000F3593"/>
    <w:rsid w:val="000F35DA"/>
    <w:rsid w:val="000F36B0"/>
    <w:rsid w:val="000F36C7"/>
    <w:rsid w:val="000F38A8"/>
    <w:rsid w:val="000F3972"/>
    <w:rsid w:val="000F3977"/>
    <w:rsid w:val="000F3E78"/>
    <w:rsid w:val="000F40A4"/>
    <w:rsid w:val="000F40B6"/>
    <w:rsid w:val="000F41D4"/>
    <w:rsid w:val="000F41FF"/>
    <w:rsid w:val="000F4213"/>
    <w:rsid w:val="000F427D"/>
    <w:rsid w:val="000F42D3"/>
    <w:rsid w:val="000F4315"/>
    <w:rsid w:val="000F445C"/>
    <w:rsid w:val="000F454F"/>
    <w:rsid w:val="000F463F"/>
    <w:rsid w:val="000F4685"/>
    <w:rsid w:val="000F46B5"/>
    <w:rsid w:val="000F49D1"/>
    <w:rsid w:val="000F4B53"/>
    <w:rsid w:val="000F4D93"/>
    <w:rsid w:val="000F4DC7"/>
    <w:rsid w:val="000F4F23"/>
    <w:rsid w:val="000F4F83"/>
    <w:rsid w:val="000F51C6"/>
    <w:rsid w:val="000F51D8"/>
    <w:rsid w:val="000F5361"/>
    <w:rsid w:val="000F56D2"/>
    <w:rsid w:val="000F5707"/>
    <w:rsid w:val="000F575F"/>
    <w:rsid w:val="000F584B"/>
    <w:rsid w:val="000F5931"/>
    <w:rsid w:val="000F5A29"/>
    <w:rsid w:val="000F5AB0"/>
    <w:rsid w:val="000F5C41"/>
    <w:rsid w:val="000F5D54"/>
    <w:rsid w:val="000F5D7F"/>
    <w:rsid w:val="000F5DA3"/>
    <w:rsid w:val="000F5F44"/>
    <w:rsid w:val="000F6011"/>
    <w:rsid w:val="000F6049"/>
    <w:rsid w:val="000F60FC"/>
    <w:rsid w:val="000F61D6"/>
    <w:rsid w:val="000F637E"/>
    <w:rsid w:val="000F677B"/>
    <w:rsid w:val="000F67BD"/>
    <w:rsid w:val="000F6B48"/>
    <w:rsid w:val="000F6B6B"/>
    <w:rsid w:val="000F6CDA"/>
    <w:rsid w:val="000F6D6B"/>
    <w:rsid w:val="000F6E17"/>
    <w:rsid w:val="000F6EB5"/>
    <w:rsid w:val="000F705D"/>
    <w:rsid w:val="000F7270"/>
    <w:rsid w:val="000F730D"/>
    <w:rsid w:val="000F7481"/>
    <w:rsid w:val="000F759F"/>
    <w:rsid w:val="000F7850"/>
    <w:rsid w:val="000F792D"/>
    <w:rsid w:val="000F794E"/>
    <w:rsid w:val="000F7962"/>
    <w:rsid w:val="000F79B4"/>
    <w:rsid w:val="000F7A81"/>
    <w:rsid w:val="000F7BBE"/>
    <w:rsid w:val="000F7BCE"/>
    <w:rsid w:val="000F7C94"/>
    <w:rsid w:val="000F7F71"/>
    <w:rsid w:val="00100097"/>
    <w:rsid w:val="001000A8"/>
    <w:rsid w:val="00100293"/>
    <w:rsid w:val="001003E4"/>
    <w:rsid w:val="00100443"/>
    <w:rsid w:val="001006C5"/>
    <w:rsid w:val="001009EB"/>
    <w:rsid w:val="001009FA"/>
    <w:rsid w:val="00100BCD"/>
    <w:rsid w:val="00100C39"/>
    <w:rsid w:val="00100D19"/>
    <w:rsid w:val="00100D92"/>
    <w:rsid w:val="00100E0F"/>
    <w:rsid w:val="0010110E"/>
    <w:rsid w:val="0010120E"/>
    <w:rsid w:val="001012DD"/>
    <w:rsid w:val="001015F6"/>
    <w:rsid w:val="00101797"/>
    <w:rsid w:val="00101819"/>
    <w:rsid w:val="00101872"/>
    <w:rsid w:val="0010187A"/>
    <w:rsid w:val="00101B91"/>
    <w:rsid w:val="00101BAB"/>
    <w:rsid w:val="00101E6D"/>
    <w:rsid w:val="00102046"/>
    <w:rsid w:val="00102093"/>
    <w:rsid w:val="001020B5"/>
    <w:rsid w:val="00102144"/>
    <w:rsid w:val="00102172"/>
    <w:rsid w:val="0010247C"/>
    <w:rsid w:val="001027E9"/>
    <w:rsid w:val="001028CE"/>
    <w:rsid w:val="00102955"/>
    <w:rsid w:val="00102C69"/>
    <w:rsid w:val="00102DBA"/>
    <w:rsid w:val="00102E58"/>
    <w:rsid w:val="00102FE6"/>
    <w:rsid w:val="0010306D"/>
    <w:rsid w:val="0010324F"/>
    <w:rsid w:val="0010334F"/>
    <w:rsid w:val="0010336F"/>
    <w:rsid w:val="0010339F"/>
    <w:rsid w:val="001033EE"/>
    <w:rsid w:val="00103528"/>
    <w:rsid w:val="00103699"/>
    <w:rsid w:val="00103710"/>
    <w:rsid w:val="00103864"/>
    <w:rsid w:val="0010387B"/>
    <w:rsid w:val="0010389C"/>
    <w:rsid w:val="001038B6"/>
    <w:rsid w:val="00103A87"/>
    <w:rsid w:val="00103AA1"/>
    <w:rsid w:val="00103BDA"/>
    <w:rsid w:val="00103E14"/>
    <w:rsid w:val="00103E78"/>
    <w:rsid w:val="00103F2A"/>
    <w:rsid w:val="00104089"/>
    <w:rsid w:val="00104137"/>
    <w:rsid w:val="001041F0"/>
    <w:rsid w:val="00104251"/>
    <w:rsid w:val="0010426A"/>
    <w:rsid w:val="00104339"/>
    <w:rsid w:val="001043A5"/>
    <w:rsid w:val="00104409"/>
    <w:rsid w:val="00104678"/>
    <w:rsid w:val="001047D3"/>
    <w:rsid w:val="001047EC"/>
    <w:rsid w:val="00104B62"/>
    <w:rsid w:val="00104BD0"/>
    <w:rsid w:val="00104BDD"/>
    <w:rsid w:val="00104C30"/>
    <w:rsid w:val="00104D20"/>
    <w:rsid w:val="00104E01"/>
    <w:rsid w:val="00104E3F"/>
    <w:rsid w:val="00104E92"/>
    <w:rsid w:val="00104F84"/>
    <w:rsid w:val="00105251"/>
    <w:rsid w:val="001053C4"/>
    <w:rsid w:val="0010546E"/>
    <w:rsid w:val="00105602"/>
    <w:rsid w:val="001056BA"/>
    <w:rsid w:val="0010570C"/>
    <w:rsid w:val="001057C2"/>
    <w:rsid w:val="00105809"/>
    <w:rsid w:val="00105970"/>
    <w:rsid w:val="00105977"/>
    <w:rsid w:val="001059F3"/>
    <w:rsid w:val="00105A00"/>
    <w:rsid w:val="00105BFE"/>
    <w:rsid w:val="00105C83"/>
    <w:rsid w:val="00105CD1"/>
    <w:rsid w:val="00105F91"/>
    <w:rsid w:val="001060C6"/>
    <w:rsid w:val="00106364"/>
    <w:rsid w:val="0010653C"/>
    <w:rsid w:val="00106585"/>
    <w:rsid w:val="0010658A"/>
    <w:rsid w:val="001066BF"/>
    <w:rsid w:val="00106A3E"/>
    <w:rsid w:val="00106A88"/>
    <w:rsid w:val="00106AB5"/>
    <w:rsid w:val="00106C6A"/>
    <w:rsid w:val="00106C70"/>
    <w:rsid w:val="00106D4D"/>
    <w:rsid w:val="00106FB3"/>
    <w:rsid w:val="00107014"/>
    <w:rsid w:val="0010709D"/>
    <w:rsid w:val="0010717B"/>
    <w:rsid w:val="001071D8"/>
    <w:rsid w:val="00107455"/>
    <w:rsid w:val="00107493"/>
    <w:rsid w:val="00107896"/>
    <w:rsid w:val="001078D6"/>
    <w:rsid w:val="00107937"/>
    <w:rsid w:val="001079A3"/>
    <w:rsid w:val="00107B28"/>
    <w:rsid w:val="00107D87"/>
    <w:rsid w:val="00107DD5"/>
    <w:rsid w:val="00107EEE"/>
    <w:rsid w:val="00108BA7"/>
    <w:rsid w:val="00110050"/>
    <w:rsid w:val="0011007A"/>
    <w:rsid w:val="001100D9"/>
    <w:rsid w:val="00110111"/>
    <w:rsid w:val="0011014C"/>
    <w:rsid w:val="00110515"/>
    <w:rsid w:val="00110553"/>
    <w:rsid w:val="001106C9"/>
    <w:rsid w:val="001106D8"/>
    <w:rsid w:val="0011080D"/>
    <w:rsid w:val="0011081F"/>
    <w:rsid w:val="0011099C"/>
    <w:rsid w:val="00110A2D"/>
    <w:rsid w:val="00110B94"/>
    <w:rsid w:val="00110C48"/>
    <w:rsid w:val="00110C82"/>
    <w:rsid w:val="00110D36"/>
    <w:rsid w:val="00110E45"/>
    <w:rsid w:val="00110E86"/>
    <w:rsid w:val="00110F03"/>
    <w:rsid w:val="00110F30"/>
    <w:rsid w:val="00110FAF"/>
    <w:rsid w:val="00111312"/>
    <w:rsid w:val="00111321"/>
    <w:rsid w:val="0011138D"/>
    <w:rsid w:val="00111695"/>
    <w:rsid w:val="0011169A"/>
    <w:rsid w:val="001116EF"/>
    <w:rsid w:val="00111757"/>
    <w:rsid w:val="00111801"/>
    <w:rsid w:val="0011181F"/>
    <w:rsid w:val="00111881"/>
    <w:rsid w:val="0011190D"/>
    <w:rsid w:val="00111992"/>
    <w:rsid w:val="00111997"/>
    <w:rsid w:val="001119B6"/>
    <w:rsid w:val="001119D3"/>
    <w:rsid w:val="00111B5E"/>
    <w:rsid w:val="00111B8A"/>
    <w:rsid w:val="00111B92"/>
    <w:rsid w:val="00111C54"/>
    <w:rsid w:val="00111EBF"/>
    <w:rsid w:val="00111EF5"/>
    <w:rsid w:val="00111F20"/>
    <w:rsid w:val="00111F29"/>
    <w:rsid w:val="00111F81"/>
    <w:rsid w:val="00112127"/>
    <w:rsid w:val="001122DE"/>
    <w:rsid w:val="0011230C"/>
    <w:rsid w:val="00112340"/>
    <w:rsid w:val="0011242A"/>
    <w:rsid w:val="0011246C"/>
    <w:rsid w:val="00112608"/>
    <w:rsid w:val="0011277C"/>
    <w:rsid w:val="001127D6"/>
    <w:rsid w:val="001128D3"/>
    <w:rsid w:val="00112B97"/>
    <w:rsid w:val="00112C08"/>
    <w:rsid w:val="00112D40"/>
    <w:rsid w:val="00112E2E"/>
    <w:rsid w:val="00112E35"/>
    <w:rsid w:val="00112E7F"/>
    <w:rsid w:val="00112F39"/>
    <w:rsid w:val="00112F41"/>
    <w:rsid w:val="00113111"/>
    <w:rsid w:val="00113218"/>
    <w:rsid w:val="00113228"/>
    <w:rsid w:val="001132D9"/>
    <w:rsid w:val="001133D2"/>
    <w:rsid w:val="001136F2"/>
    <w:rsid w:val="0011379D"/>
    <w:rsid w:val="00113832"/>
    <w:rsid w:val="001138D3"/>
    <w:rsid w:val="00113972"/>
    <w:rsid w:val="001139AA"/>
    <w:rsid w:val="001139CA"/>
    <w:rsid w:val="001139EF"/>
    <w:rsid w:val="00113AB8"/>
    <w:rsid w:val="00113B36"/>
    <w:rsid w:val="00113C4F"/>
    <w:rsid w:val="00113CB1"/>
    <w:rsid w:val="00113CCF"/>
    <w:rsid w:val="00113CDD"/>
    <w:rsid w:val="00113CFF"/>
    <w:rsid w:val="00113D53"/>
    <w:rsid w:val="00113D68"/>
    <w:rsid w:val="00113F3C"/>
    <w:rsid w:val="001141F0"/>
    <w:rsid w:val="0011435B"/>
    <w:rsid w:val="00114378"/>
    <w:rsid w:val="00114387"/>
    <w:rsid w:val="001144C2"/>
    <w:rsid w:val="0011455A"/>
    <w:rsid w:val="0011466E"/>
    <w:rsid w:val="001148C5"/>
    <w:rsid w:val="001148CC"/>
    <w:rsid w:val="00114942"/>
    <w:rsid w:val="00114A1A"/>
    <w:rsid w:val="00114A56"/>
    <w:rsid w:val="00114ACB"/>
    <w:rsid w:val="00114ADE"/>
    <w:rsid w:val="00114FB9"/>
    <w:rsid w:val="00115101"/>
    <w:rsid w:val="00115284"/>
    <w:rsid w:val="001153AC"/>
    <w:rsid w:val="0011564D"/>
    <w:rsid w:val="00115BB1"/>
    <w:rsid w:val="00115CB6"/>
    <w:rsid w:val="00115DFD"/>
    <w:rsid w:val="00115E27"/>
    <w:rsid w:val="00115F02"/>
    <w:rsid w:val="00116103"/>
    <w:rsid w:val="0011619D"/>
    <w:rsid w:val="001163FF"/>
    <w:rsid w:val="0011645D"/>
    <w:rsid w:val="001166A9"/>
    <w:rsid w:val="001166B9"/>
    <w:rsid w:val="00116705"/>
    <w:rsid w:val="0011675F"/>
    <w:rsid w:val="00116802"/>
    <w:rsid w:val="00116847"/>
    <w:rsid w:val="001168E7"/>
    <w:rsid w:val="00116A3B"/>
    <w:rsid w:val="00116AFF"/>
    <w:rsid w:val="00116C5B"/>
    <w:rsid w:val="00116CD8"/>
    <w:rsid w:val="00116D43"/>
    <w:rsid w:val="00116D7F"/>
    <w:rsid w:val="00116FD6"/>
    <w:rsid w:val="00117085"/>
    <w:rsid w:val="00117171"/>
    <w:rsid w:val="001171FD"/>
    <w:rsid w:val="00117238"/>
    <w:rsid w:val="001172CF"/>
    <w:rsid w:val="001173E6"/>
    <w:rsid w:val="0011752F"/>
    <w:rsid w:val="001176C9"/>
    <w:rsid w:val="00117816"/>
    <w:rsid w:val="00117868"/>
    <w:rsid w:val="001178BE"/>
    <w:rsid w:val="001179FD"/>
    <w:rsid w:val="00117A4D"/>
    <w:rsid w:val="00117AD8"/>
    <w:rsid w:val="00117B7B"/>
    <w:rsid w:val="00117C4F"/>
    <w:rsid w:val="00117C91"/>
    <w:rsid w:val="00117CC4"/>
    <w:rsid w:val="00117D87"/>
    <w:rsid w:val="00117DF0"/>
    <w:rsid w:val="00118724"/>
    <w:rsid w:val="001203A2"/>
    <w:rsid w:val="00120463"/>
    <w:rsid w:val="00120494"/>
    <w:rsid w:val="00120498"/>
    <w:rsid w:val="001207DF"/>
    <w:rsid w:val="00120956"/>
    <w:rsid w:val="00120974"/>
    <w:rsid w:val="00120987"/>
    <w:rsid w:val="00120BE1"/>
    <w:rsid w:val="00120BE3"/>
    <w:rsid w:val="00120D01"/>
    <w:rsid w:val="00120D46"/>
    <w:rsid w:val="00120F92"/>
    <w:rsid w:val="00121044"/>
    <w:rsid w:val="00121283"/>
    <w:rsid w:val="00121527"/>
    <w:rsid w:val="001215B1"/>
    <w:rsid w:val="00121604"/>
    <w:rsid w:val="0012178A"/>
    <w:rsid w:val="0012179B"/>
    <w:rsid w:val="00121AC6"/>
    <w:rsid w:val="00121AF5"/>
    <w:rsid w:val="00121B4A"/>
    <w:rsid w:val="00121C80"/>
    <w:rsid w:val="00121DCE"/>
    <w:rsid w:val="00121FCD"/>
    <w:rsid w:val="001220F8"/>
    <w:rsid w:val="0012212A"/>
    <w:rsid w:val="0012218F"/>
    <w:rsid w:val="001221EE"/>
    <w:rsid w:val="00122241"/>
    <w:rsid w:val="00122314"/>
    <w:rsid w:val="00122352"/>
    <w:rsid w:val="0012236A"/>
    <w:rsid w:val="001225C3"/>
    <w:rsid w:val="001227B9"/>
    <w:rsid w:val="001228AA"/>
    <w:rsid w:val="001228BF"/>
    <w:rsid w:val="001228C5"/>
    <w:rsid w:val="00122A17"/>
    <w:rsid w:val="00122D04"/>
    <w:rsid w:val="00122DC1"/>
    <w:rsid w:val="00122DEC"/>
    <w:rsid w:val="00122FDF"/>
    <w:rsid w:val="0012309B"/>
    <w:rsid w:val="001233AE"/>
    <w:rsid w:val="00123400"/>
    <w:rsid w:val="0012343A"/>
    <w:rsid w:val="0012359B"/>
    <w:rsid w:val="00123725"/>
    <w:rsid w:val="0012391D"/>
    <w:rsid w:val="00123B60"/>
    <w:rsid w:val="00123D1A"/>
    <w:rsid w:val="00123EB5"/>
    <w:rsid w:val="00123EDA"/>
    <w:rsid w:val="00123F39"/>
    <w:rsid w:val="00123F50"/>
    <w:rsid w:val="00123FD6"/>
    <w:rsid w:val="0012400B"/>
    <w:rsid w:val="0012413F"/>
    <w:rsid w:val="00124348"/>
    <w:rsid w:val="00124437"/>
    <w:rsid w:val="00124494"/>
    <w:rsid w:val="001244E6"/>
    <w:rsid w:val="00124598"/>
    <w:rsid w:val="001245CF"/>
    <w:rsid w:val="00124680"/>
    <w:rsid w:val="001246BB"/>
    <w:rsid w:val="00124755"/>
    <w:rsid w:val="00124788"/>
    <w:rsid w:val="001247F6"/>
    <w:rsid w:val="00124818"/>
    <w:rsid w:val="0012488A"/>
    <w:rsid w:val="001249A5"/>
    <w:rsid w:val="00124B7E"/>
    <w:rsid w:val="00124BEC"/>
    <w:rsid w:val="00124C79"/>
    <w:rsid w:val="00125064"/>
    <w:rsid w:val="001251EF"/>
    <w:rsid w:val="00125263"/>
    <w:rsid w:val="001252CB"/>
    <w:rsid w:val="0012545E"/>
    <w:rsid w:val="00125756"/>
    <w:rsid w:val="00125A85"/>
    <w:rsid w:val="00125AA8"/>
    <w:rsid w:val="00125B93"/>
    <w:rsid w:val="00125F29"/>
    <w:rsid w:val="0012604B"/>
    <w:rsid w:val="001265F6"/>
    <w:rsid w:val="00126711"/>
    <w:rsid w:val="0012684B"/>
    <w:rsid w:val="00126935"/>
    <w:rsid w:val="00126B23"/>
    <w:rsid w:val="00126BD4"/>
    <w:rsid w:val="00126E34"/>
    <w:rsid w:val="00126F88"/>
    <w:rsid w:val="00126FC1"/>
    <w:rsid w:val="00127346"/>
    <w:rsid w:val="00127448"/>
    <w:rsid w:val="001275B4"/>
    <w:rsid w:val="00127690"/>
    <w:rsid w:val="0012782A"/>
    <w:rsid w:val="00127A83"/>
    <w:rsid w:val="00127AE1"/>
    <w:rsid w:val="00127B86"/>
    <w:rsid w:val="00127E90"/>
    <w:rsid w:val="00127F71"/>
    <w:rsid w:val="00130176"/>
    <w:rsid w:val="001304A1"/>
    <w:rsid w:val="001304AA"/>
    <w:rsid w:val="00130656"/>
    <w:rsid w:val="001306E8"/>
    <w:rsid w:val="00130737"/>
    <w:rsid w:val="0013084D"/>
    <w:rsid w:val="0013097A"/>
    <w:rsid w:val="0013098B"/>
    <w:rsid w:val="001309C4"/>
    <w:rsid w:val="00130A5F"/>
    <w:rsid w:val="00130CA0"/>
    <w:rsid w:val="00130D0C"/>
    <w:rsid w:val="00130DAE"/>
    <w:rsid w:val="00130E30"/>
    <w:rsid w:val="00130F63"/>
    <w:rsid w:val="00130F9D"/>
    <w:rsid w:val="00131220"/>
    <w:rsid w:val="0013124F"/>
    <w:rsid w:val="0013130F"/>
    <w:rsid w:val="00131592"/>
    <w:rsid w:val="00131612"/>
    <w:rsid w:val="00131C1A"/>
    <w:rsid w:val="00131C38"/>
    <w:rsid w:val="00131C70"/>
    <w:rsid w:val="00131D20"/>
    <w:rsid w:val="00132078"/>
    <w:rsid w:val="0013219F"/>
    <w:rsid w:val="001321E7"/>
    <w:rsid w:val="001323EB"/>
    <w:rsid w:val="00132484"/>
    <w:rsid w:val="001324AD"/>
    <w:rsid w:val="001324EB"/>
    <w:rsid w:val="001324FF"/>
    <w:rsid w:val="00132510"/>
    <w:rsid w:val="0013254B"/>
    <w:rsid w:val="001326DA"/>
    <w:rsid w:val="0013271B"/>
    <w:rsid w:val="001327ED"/>
    <w:rsid w:val="00132900"/>
    <w:rsid w:val="00132933"/>
    <w:rsid w:val="001329BE"/>
    <w:rsid w:val="001329FD"/>
    <w:rsid w:val="00132CA2"/>
    <w:rsid w:val="00132D46"/>
    <w:rsid w:val="00132DA5"/>
    <w:rsid w:val="00132E03"/>
    <w:rsid w:val="00133096"/>
    <w:rsid w:val="00133221"/>
    <w:rsid w:val="00133324"/>
    <w:rsid w:val="001333C0"/>
    <w:rsid w:val="001336CE"/>
    <w:rsid w:val="00133796"/>
    <w:rsid w:val="001339B0"/>
    <w:rsid w:val="001339E6"/>
    <w:rsid w:val="00133A91"/>
    <w:rsid w:val="00133B58"/>
    <w:rsid w:val="00133B8D"/>
    <w:rsid w:val="00133B99"/>
    <w:rsid w:val="00133DBF"/>
    <w:rsid w:val="00134106"/>
    <w:rsid w:val="001342F7"/>
    <w:rsid w:val="001343AE"/>
    <w:rsid w:val="0013483D"/>
    <w:rsid w:val="0013490D"/>
    <w:rsid w:val="00134972"/>
    <w:rsid w:val="00134C9E"/>
    <w:rsid w:val="00134D87"/>
    <w:rsid w:val="00134FEA"/>
    <w:rsid w:val="00135061"/>
    <w:rsid w:val="00135078"/>
    <w:rsid w:val="0013513A"/>
    <w:rsid w:val="00135182"/>
    <w:rsid w:val="001353F5"/>
    <w:rsid w:val="001354C8"/>
    <w:rsid w:val="00135509"/>
    <w:rsid w:val="00135530"/>
    <w:rsid w:val="00135547"/>
    <w:rsid w:val="0013554D"/>
    <w:rsid w:val="0013555E"/>
    <w:rsid w:val="001355F1"/>
    <w:rsid w:val="0013564A"/>
    <w:rsid w:val="00135691"/>
    <w:rsid w:val="001357FE"/>
    <w:rsid w:val="0013584D"/>
    <w:rsid w:val="00135AC7"/>
    <w:rsid w:val="00135B76"/>
    <w:rsid w:val="00135BC9"/>
    <w:rsid w:val="00135C4E"/>
    <w:rsid w:val="00135C70"/>
    <w:rsid w:val="00135E50"/>
    <w:rsid w:val="00135FE2"/>
    <w:rsid w:val="001360DA"/>
    <w:rsid w:val="001360EB"/>
    <w:rsid w:val="0013611E"/>
    <w:rsid w:val="0013615B"/>
    <w:rsid w:val="001361DC"/>
    <w:rsid w:val="0013639E"/>
    <w:rsid w:val="001363C1"/>
    <w:rsid w:val="001363FE"/>
    <w:rsid w:val="00136469"/>
    <w:rsid w:val="0013653C"/>
    <w:rsid w:val="001366A8"/>
    <w:rsid w:val="0013671C"/>
    <w:rsid w:val="001368D1"/>
    <w:rsid w:val="0013693E"/>
    <w:rsid w:val="00136B42"/>
    <w:rsid w:val="00136B7F"/>
    <w:rsid w:val="00136BCD"/>
    <w:rsid w:val="00136E22"/>
    <w:rsid w:val="00136E81"/>
    <w:rsid w:val="00136F4C"/>
    <w:rsid w:val="00136F93"/>
    <w:rsid w:val="00137050"/>
    <w:rsid w:val="00137152"/>
    <w:rsid w:val="0013715A"/>
    <w:rsid w:val="001373E6"/>
    <w:rsid w:val="00137494"/>
    <w:rsid w:val="001375F8"/>
    <w:rsid w:val="00137618"/>
    <w:rsid w:val="001376C4"/>
    <w:rsid w:val="00137705"/>
    <w:rsid w:val="0013793A"/>
    <w:rsid w:val="001379AF"/>
    <w:rsid w:val="00137B3B"/>
    <w:rsid w:val="00137B47"/>
    <w:rsid w:val="00137BA1"/>
    <w:rsid w:val="00137CC6"/>
    <w:rsid w:val="00137FAB"/>
    <w:rsid w:val="00140058"/>
    <w:rsid w:val="001401A6"/>
    <w:rsid w:val="00140212"/>
    <w:rsid w:val="00140265"/>
    <w:rsid w:val="00140591"/>
    <w:rsid w:val="001405F9"/>
    <w:rsid w:val="001406DC"/>
    <w:rsid w:val="001407AD"/>
    <w:rsid w:val="0014081C"/>
    <w:rsid w:val="001408B3"/>
    <w:rsid w:val="001408E2"/>
    <w:rsid w:val="00140A16"/>
    <w:rsid w:val="00140C55"/>
    <w:rsid w:val="00140C97"/>
    <w:rsid w:val="00140E09"/>
    <w:rsid w:val="00140E7E"/>
    <w:rsid w:val="00140F9C"/>
    <w:rsid w:val="00141110"/>
    <w:rsid w:val="001411BD"/>
    <w:rsid w:val="001411D6"/>
    <w:rsid w:val="00141204"/>
    <w:rsid w:val="00141223"/>
    <w:rsid w:val="00141247"/>
    <w:rsid w:val="00141396"/>
    <w:rsid w:val="001414EF"/>
    <w:rsid w:val="0014158D"/>
    <w:rsid w:val="001415F9"/>
    <w:rsid w:val="001417E9"/>
    <w:rsid w:val="0014199F"/>
    <w:rsid w:val="00141BF8"/>
    <w:rsid w:val="00141F95"/>
    <w:rsid w:val="00142117"/>
    <w:rsid w:val="00142124"/>
    <w:rsid w:val="001422B0"/>
    <w:rsid w:val="0014230E"/>
    <w:rsid w:val="0014237E"/>
    <w:rsid w:val="00142641"/>
    <w:rsid w:val="001426EB"/>
    <w:rsid w:val="001428BF"/>
    <w:rsid w:val="00142A1A"/>
    <w:rsid w:val="00142B0F"/>
    <w:rsid w:val="00142E14"/>
    <w:rsid w:val="00142EC0"/>
    <w:rsid w:val="00142EC4"/>
    <w:rsid w:val="00142EDF"/>
    <w:rsid w:val="00143030"/>
    <w:rsid w:val="001430EC"/>
    <w:rsid w:val="001431D4"/>
    <w:rsid w:val="001431DC"/>
    <w:rsid w:val="0014322D"/>
    <w:rsid w:val="00143285"/>
    <w:rsid w:val="001433BE"/>
    <w:rsid w:val="0014341E"/>
    <w:rsid w:val="0014365C"/>
    <w:rsid w:val="0014372F"/>
    <w:rsid w:val="0014376A"/>
    <w:rsid w:val="00143A3B"/>
    <w:rsid w:val="00143B3D"/>
    <w:rsid w:val="00143B7C"/>
    <w:rsid w:val="00143C80"/>
    <w:rsid w:val="00143CAD"/>
    <w:rsid w:val="00143DAE"/>
    <w:rsid w:val="00143DDF"/>
    <w:rsid w:val="00143E2B"/>
    <w:rsid w:val="00143F95"/>
    <w:rsid w:val="00144077"/>
    <w:rsid w:val="001440D3"/>
    <w:rsid w:val="001444FD"/>
    <w:rsid w:val="00144846"/>
    <w:rsid w:val="0014488A"/>
    <w:rsid w:val="00144A69"/>
    <w:rsid w:val="00144AC8"/>
    <w:rsid w:val="00144C5C"/>
    <w:rsid w:val="00144D8E"/>
    <w:rsid w:val="00144E9D"/>
    <w:rsid w:val="00144EDD"/>
    <w:rsid w:val="00144F5C"/>
    <w:rsid w:val="00144F92"/>
    <w:rsid w:val="00144FCD"/>
    <w:rsid w:val="001450F1"/>
    <w:rsid w:val="0014513F"/>
    <w:rsid w:val="0014516E"/>
    <w:rsid w:val="00145243"/>
    <w:rsid w:val="00145298"/>
    <w:rsid w:val="001453AF"/>
    <w:rsid w:val="001453B2"/>
    <w:rsid w:val="001454B6"/>
    <w:rsid w:val="001458C2"/>
    <w:rsid w:val="00145938"/>
    <w:rsid w:val="00145993"/>
    <w:rsid w:val="001459E6"/>
    <w:rsid w:val="00145A77"/>
    <w:rsid w:val="00145BFC"/>
    <w:rsid w:val="00145C8C"/>
    <w:rsid w:val="00145CBE"/>
    <w:rsid w:val="00145CC4"/>
    <w:rsid w:val="00145D83"/>
    <w:rsid w:val="00145E3C"/>
    <w:rsid w:val="00145EBA"/>
    <w:rsid w:val="00145EBD"/>
    <w:rsid w:val="00145F18"/>
    <w:rsid w:val="001460D9"/>
    <w:rsid w:val="001461B1"/>
    <w:rsid w:val="001462FA"/>
    <w:rsid w:val="001463CA"/>
    <w:rsid w:val="00146715"/>
    <w:rsid w:val="001467B4"/>
    <w:rsid w:val="0014680D"/>
    <w:rsid w:val="00146906"/>
    <w:rsid w:val="00146AD6"/>
    <w:rsid w:val="00146BCA"/>
    <w:rsid w:val="00146C65"/>
    <w:rsid w:val="00146C87"/>
    <w:rsid w:val="00146CE0"/>
    <w:rsid w:val="00146D26"/>
    <w:rsid w:val="00146E49"/>
    <w:rsid w:val="00146F38"/>
    <w:rsid w:val="00146F5A"/>
    <w:rsid w:val="0014704E"/>
    <w:rsid w:val="00147069"/>
    <w:rsid w:val="00147242"/>
    <w:rsid w:val="0014731E"/>
    <w:rsid w:val="00147370"/>
    <w:rsid w:val="0014750A"/>
    <w:rsid w:val="00147535"/>
    <w:rsid w:val="0014789C"/>
    <w:rsid w:val="001479C4"/>
    <w:rsid w:val="001479F3"/>
    <w:rsid w:val="00147A2D"/>
    <w:rsid w:val="00147AA7"/>
    <w:rsid w:val="00147AC1"/>
    <w:rsid w:val="00147C72"/>
    <w:rsid w:val="00147D8F"/>
    <w:rsid w:val="00147DE1"/>
    <w:rsid w:val="00147EFA"/>
    <w:rsid w:val="00147F56"/>
    <w:rsid w:val="00147FA2"/>
    <w:rsid w:val="00147FAC"/>
    <w:rsid w:val="00149A34"/>
    <w:rsid w:val="0015010E"/>
    <w:rsid w:val="0015023E"/>
    <w:rsid w:val="00150243"/>
    <w:rsid w:val="00150446"/>
    <w:rsid w:val="0015069B"/>
    <w:rsid w:val="001506C5"/>
    <w:rsid w:val="00150739"/>
    <w:rsid w:val="001507F9"/>
    <w:rsid w:val="00150877"/>
    <w:rsid w:val="001508F7"/>
    <w:rsid w:val="001509C1"/>
    <w:rsid w:val="001509C9"/>
    <w:rsid w:val="00150BB1"/>
    <w:rsid w:val="00150D99"/>
    <w:rsid w:val="00150F0B"/>
    <w:rsid w:val="00150FBA"/>
    <w:rsid w:val="0015103F"/>
    <w:rsid w:val="00151262"/>
    <w:rsid w:val="00151288"/>
    <w:rsid w:val="001512D4"/>
    <w:rsid w:val="001512E7"/>
    <w:rsid w:val="001512F4"/>
    <w:rsid w:val="001513BF"/>
    <w:rsid w:val="001513E9"/>
    <w:rsid w:val="001513EB"/>
    <w:rsid w:val="00151428"/>
    <w:rsid w:val="00151439"/>
    <w:rsid w:val="0015143E"/>
    <w:rsid w:val="001514CB"/>
    <w:rsid w:val="00151516"/>
    <w:rsid w:val="001515BF"/>
    <w:rsid w:val="00151666"/>
    <w:rsid w:val="0015179B"/>
    <w:rsid w:val="001517C7"/>
    <w:rsid w:val="00151871"/>
    <w:rsid w:val="0015190A"/>
    <w:rsid w:val="001519CA"/>
    <w:rsid w:val="00151B08"/>
    <w:rsid w:val="00152063"/>
    <w:rsid w:val="001520A8"/>
    <w:rsid w:val="0015210A"/>
    <w:rsid w:val="0015235F"/>
    <w:rsid w:val="00152455"/>
    <w:rsid w:val="001524B6"/>
    <w:rsid w:val="00152525"/>
    <w:rsid w:val="00152596"/>
    <w:rsid w:val="001525AD"/>
    <w:rsid w:val="00152725"/>
    <w:rsid w:val="0015282E"/>
    <w:rsid w:val="0015295D"/>
    <w:rsid w:val="00152AAF"/>
    <w:rsid w:val="00152C8A"/>
    <w:rsid w:val="00153018"/>
    <w:rsid w:val="00153155"/>
    <w:rsid w:val="00153262"/>
    <w:rsid w:val="0015330E"/>
    <w:rsid w:val="00153311"/>
    <w:rsid w:val="0015344B"/>
    <w:rsid w:val="001537CE"/>
    <w:rsid w:val="00153AB0"/>
    <w:rsid w:val="00153B4C"/>
    <w:rsid w:val="00153C2B"/>
    <w:rsid w:val="00153C4E"/>
    <w:rsid w:val="00153D96"/>
    <w:rsid w:val="001542FF"/>
    <w:rsid w:val="0015464B"/>
    <w:rsid w:val="00154729"/>
    <w:rsid w:val="001548AA"/>
    <w:rsid w:val="00154909"/>
    <w:rsid w:val="0015499E"/>
    <w:rsid w:val="00154AC9"/>
    <w:rsid w:val="00154AE7"/>
    <w:rsid w:val="00154B02"/>
    <w:rsid w:val="00154B5A"/>
    <w:rsid w:val="00154B66"/>
    <w:rsid w:val="00154B92"/>
    <w:rsid w:val="00154DC3"/>
    <w:rsid w:val="00155021"/>
    <w:rsid w:val="00155180"/>
    <w:rsid w:val="001551C6"/>
    <w:rsid w:val="001551E5"/>
    <w:rsid w:val="001552D3"/>
    <w:rsid w:val="00155360"/>
    <w:rsid w:val="001553D7"/>
    <w:rsid w:val="0015541B"/>
    <w:rsid w:val="0015549A"/>
    <w:rsid w:val="00155601"/>
    <w:rsid w:val="0015576F"/>
    <w:rsid w:val="00155820"/>
    <w:rsid w:val="00155935"/>
    <w:rsid w:val="0015596F"/>
    <w:rsid w:val="00155E09"/>
    <w:rsid w:val="00155E19"/>
    <w:rsid w:val="00156052"/>
    <w:rsid w:val="00156208"/>
    <w:rsid w:val="00156274"/>
    <w:rsid w:val="0015627B"/>
    <w:rsid w:val="00156641"/>
    <w:rsid w:val="00156788"/>
    <w:rsid w:val="00156798"/>
    <w:rsid w:val="001567FB"/>
    <w:rsid w:val="001568BC"/>
    <w:rsid w:val="001569BF"/>
    <w:rsid w:val="001569EE"/>
    <w:rsid w:val="00156A84"/>
    <w:rsid w:val="00156ED7"/>
    <w:rsid w:val="00157019"/>
    <w:rsid w:val="001570FC"/>
    <w:rsid w:val="0015713F"/>
    <w:rsid w:val="0015718D"/>
    <w:rsid w:val="001571E1"/>
    <w:rsid w:val="00157322"/>
    <w:rsid w:val="0015740E"/>
    <w:rsid w:val="001574DA"/>
    <w:rsid w:val="001576AC"/>
    <w:rsid w:val="001576FA"/>
    <w:rsid w:val="0015783A"/>
    <w:rsid w:val="00157915"/>
    <w:rsid w:val="00157940"/>
    <w:rsid w:val="001579A0"/>
    <w:rsid w:val="00157A4A"/>
    <w:rsid w:val="00157B3E"/>
    <w:rsid w:val="00157BB9"/>
    <w:rsid w:val="00157D82"/>
    <w:rsid w:val="00157E19"/>
    <w:rsid w:val="00157E91"/>
    <w:rsid w:val="00157FC5"/>
    <w:rsid w:val="00160018"/>
    <w:rsid w:val="0016025B"/>
    <w:rsid w:val="001602BE"/>
    <w:rsid w:val="0016056A"/>
    <w:rsid w:val="00160588"/>
    <w:rsid w:val="001605F2"/>
    <w:rsid w:val="0016062C"/>
    <w:rsid w:val="0016072B"/>
    <w:rsid w:val="0016074A"/>
    <w:rsid w:val="001607C9"/>
    <w:rsid w:val="00160B8E"/>
    <w:rsid w:val="00160C67"/>
    <w:rsid w:val="00160CF4"/>
    <w:rsid w:val="00160EF4"/>
    <w:rsid w:val="00160FC0"/>
    <w:rsid w:val="0016107B"/>
    <w:rsid w:val="001610C0"/>
    <w:rsid w:val="0016146D"/>
    <w:rsid w:val="001614CA"/>
    <w:rsid w:val="0016172A"/>
    <w:rsid w:val="00161746"/>
    <w:rsid w:val="00161873"/>
    <w:rsid w:val="0016196D"/>
    <w:rsid w:val="00161C48"/>
    <w:rsid w:val="00161CC7"/>
    <w:rsid w:val="00161EF0"/>
    <w:rsid w:val="00162094"/>
    <w:rsid w:val="00162251"/>
    <w:rsid w:val="0016229E"/>
    <w:rsid w:val="00162302"/>
    <w:rsid w:val="0016239C"/>
    <w:rsid w:val="001624FB"/>
    <w:rsid w:val="00162786"/>
    <w:rsid w:val="001628CB"/>
    <w:rsid w:val="0016290D"/>
    <w:rsid w:val="0016294C"/>
    <w:rsid w:val="00162A3E"/>
    <w:rsid w:val="00162A41"/>
    <w:rsid w:val="00162A66"/>
    <w:rsid w:val="00162A80"/>
    <w:rsid w:val="00162A9C"/>
    <w:rsid w:val="00162B9A"/>
    <w:rsid w:val="0016315D"/>
    <w:rsid w:val="00163168"/>
    <w:rsid w:val="00163222"/>
    <w:rsid w:val="00163307"/>
    <w:rsid w:val="0016343C"/>
    <w:rsid w:val="001635AC"/>
    <w:rsid w:val="00163988"/>
    <w:rsid w:val="001639AB"/>
    <w:rsid w:val="00163A62"/>
    <w:rsid w:val="00163B5D"/>
    <w:rsid w:val="00163D72"/>
    <w:rsid w:val="00163E5B"/>
    <w:rsid w:val="00163EC6"/>
    <w:rsid w:val="00163F30"/>
    <w:rsid w:val="00164112"/>
    <w:rsid w:val="001642D1"/>
    <w:rsid w:val="00164341"/>
    <w:rsid w:val="0016444B"/>
    <w:rsid w:val="001644F4"/>
    <w:rsid w:val="0016473B"/>
    <w:rsid w:val="00164977"/>
    <w:rsid w:val="0016509D"/>
    <w:rsid w:val="00165593"/>
    <w:rsid w:val="001656C6"/>
    <w:rsid w:val="00165898"/>
    <w:rsid w:val="00165AEA"/>
    <w:rsid w:val="00165B67"/>
    <w:rsid w:val="00165C64"/>
    <w:rsid w:val="00165E62"/>
    <w:rsid w:val="00165FCD"/>
    <w:rsid w:val="001660A5"/>
    <w:rsid w:val="001661B3"/>
    <w:rsid w:val="0016628B"/>
    <w:rsid w:val="0016629C"/>
    <w:rsid w:val="0016638C"/>
    <w:rsid w:val="001663AE"/>
    <w:rsid w:val="0016653F"/>
    <w:rsid w:val="001665D6"/>
    <w:rsid w:val="00166673"/>
    <w:rsid w:val="0016694A"/>
    <w:rsid w:val="00166AAD"/>
    <w:rsid w:val="00166B76"/>
    <w:rsid w:val="00166BB1"/>
    <w:rsid w:val="00166BB9"/>
    <w:rsid w:val="00166C3D"/>
    <w:rsid w:val="00166CC3"/>
    <w:rsid w:val="00166D7E"/>
    <w:rsid w:val="00166DA0"/>
    <w:rsid w:val="00166EA9"/>
    <w:rsid w:val="00166F28"/>
    <w:rsid w:val="00166FC3"/>
    <w:rsid w:val="0016713F"/>
    <w:rsid w:val="001671FD"/>
    <w:rsid w:val="00167298"/>
    <w:rsid w:val="00167375"/>
    <w:rsid w:val="00167A5C"/>
    <w:rsid w:val="00167A8A"/>
    <w:rsid w:val="00167BC9"/>
    <w:rsid w:val="00167E1C"/>
    <w:rsid w:val="00167E8C"/>
    <w:rsid w:val="00167E9C"/>
    <w:rsid w:val="00167F97"/>
    <w:rsid w:val="00170003"/>
    <w:rsid w:val="0017001A"/>
    <w:rsid w:val="00170084"/>
    <w:rsid w:val="00170105"/>
    <w:rsid w:val="0017012C"/>
    <w:rsid w:val="001701EF"/>
    <w:rsid w:val="0017027C"/>
    <w:rsid w:val="001703BB"/>
    <w:rsid w:val="001703D5"/>
    <w:rsid w:val="001705BC"/>
    <w:rsid w:val="001705C8"/>
    <w:rsid w:val="00170673"/>
    <w:rsid w:val="001706CA"/>
    <w:rsid w:val="001706EF"/>
    <w:rsid w:val="0017075E"/>
    <w:rsid w:val="0017098E"/>
    <w:rsid w:val="0017099D"/>
    <w:rsid w:val="001709CF"/>
    <w:rsid w:val="00170A2F"/>
    <w:rsid w:val="00170A93"/>
    <w:rsid w:val="00170BB7"/>
    <w:rsid w:val="00170D19"/>
    <w:rsid w:val="00170D82"/>
    <w:rsid w:val="00170DD0"/>
    <w:rsid w:val="0017101E"/>
    <w:rsid w:val="001710E7"/>
    <w:rsid w:val="0017113A"/>
    <w:rsid w:val="001711B4"/>
    <w:rsid w:val="001711F1"/>
    <w:rsid w:val="0017134D"/>
    <w:rsid w:val="00171438"/>
    <w:rsid w:val="00171487"/>
    <w:rsid w:val="001717BC"/>
    <w:rsid w:val="001717DA"/>
    <w:rsid w:val="00171841"/>
    <w:rsid w:val="00171B7B"/>
    <w:rsid w:val="00171B85"/>
    <w:rsid w:val="00171D74"/>
    <w:rsid w:val="00171F07"/>
    <w:rsid w:val="00171F90"/>
    <w:rsid w:val="001720B7"/>
    <w:rsid w:val="001721A2"/>
    <w:rsid w:val="0017232C"/>
    <w:rsid w:val="00172429"/>
    <w:rsid w:val="00172449"/>
    <w:rsid w:val="00172522"/>
    <w:rsid w:val="00172707"/>
    <w:rsid w:val="00172813"/>
    <w:rsid w:val="00172828"/>
    <w:rsid w:val="001728C9"/>
    <w:rsid w:val="001729EF"/>
    <w:rsid w:val="00172C0A"/>
    <w:rsid w:val="00172C23"/>
    <w:rsid w:val="00172D47"/>
    <w:rsid w:val="00172E49"/>
    <w:rsid w:val="00172F23"/>
    <w:rsid w:val="00173167"/>
    <w:rsid w:val="001731E8"/>
    <w:rsid w:val="001735F0"/>
    <w:rsid w:val="0017364F"/>
    <w:rsid w:val="00173710"/>
    <w:rsid w:val="0017377A"/>
    <w:rsid w:val="001738B9"/>
    <w:rsid w:val="001738FD"/>
    <w:rsid w:val="00173939"/>
    <w:rsid w:val="00173AB6"/>
    <w:rsid w:val="00173E05"/>
    <w:rsid w:val="00173E3D"/>
    <w:rsid w:val="00173EC3"/>
    <w:rsid w:val="00173ED3"/>
    <w:rsid w:val="00173F29"/>
    <w:rsid w:val="0017400C"/>
    <w:rsid w:val="001741A6"/>
    <w:rsid w:val="0017431E"/>
    <w:rsid w:val="00174362"/>
    <w:rsid w:val="0017437E"/>
    <w:rsid w:val="001745F6"/>
    <w:rsid w:val="00174601"/>
    <w:rsid w:val="00174AEC"/>
    <w:rsid w:val="00174B34"/>
    <w:rsid w:val="00174DCD"/>
    <w:rsid w:val="00174E10"/>
    <w:rsid w:val="00175112"/>
    <w:rsid w:val="00175176"/>
    <w:rsid w:val="001751CD"/>
    <w:rsid w:val="00175216"/>
    <w:rsid w:val="0017521A"/>
    <w:rsid w:val="00175226"/>
    <w:rsid w:val="00175249"/>
    <w:rsid w:val="00175342"/>
    <w:rsid w:val="0017546F"/>
    <w:rsid w:val="001754F2"/>
    <w:rsid w:val="00175652"/>
    <w:rsid w:val="0017587C"/>
    <w:rsid w:val="00175AAF"/>
    <w:rsid w:val="00175B3A"/>
    <w:rsid w:val="00175C5F"/>
    <w:rsid w:val="00175CED"/>
    <w:rsid w:val="00175CEE"/>
    <w:rsid w:val="00175D34"/>
    <w:rsid w:val="00175DD7"/>
    <w:rsid w:val="00175E9C"/>
    <w:rsid w:val="0017623B"/>
    <w:rsid w:val="0017642B"/>
    <w:rsid w:val="001764A0"/>
    <w:rsid w:val="00176523"/>
    <w:rsid w:val="001766EC"/>
    <w:rsid w:val="00176877"/>
    <w:rsid w:val="00176A97"/>
    <w:rsid w:val="00176B41"/>
    <w:rsid w:val="00176BD9"/>
    <w:rsid w:val="00176C25"/>
    <w:rsid w:val="00176F40"/>
    <w:rsid w:val="00176F86"/>
    <w:rsid w:val="0017706A"/>
    <w:rsid w:val="00177193"/>
    <w:rsid w:val="00177252"/>
    <w:rsid w:val="0017726C"/>
    <w:rsid w:val="00177456"/>
    <w:rsid w:val="0017746F"/>
    <w:rsid w:val="0017751E"/>
    <w:rsid w:val="001775AE"/>
    <w:rsid w:val="00177852"/>
    <w:rsid w:val="0017788A"/>
    <w:rsid w:val="0017793F"/>
    <w:rsid w:val="001779C2"/>
    <w:rsid w:val="00177A2F"/>
    <w:rsid w:val="00177B00"/>
    <w:rsid w:val="00177B23"/>
    <w:rsid w:val="00177BC4"/>
    <w:rsid w:val="00177C37"/>
    <w:rsid w:val="00177CBC"/>
    <w:rsid w:val="00177D96"/>
    <w:rsid w:val="00177DDB"/>
    <w:rsid w:val="00177F71"/>
    <w:rsid w:val="00177F7B"/>
    <w:rsid w:val="00177FD8"/>
    <w:rsid w:val="001800D9"/>
    <w:rsid w:val="00180129"/>
    <w:rsid w:val="00180315"/>
    <w:rsid w:val="0018055D"/>
    <w:rsid w:val="0018057F"/>
    <w:rsid w:val="00180581"/>
    <w:rsid w:val="00180692"/>
    <w:rsid w:val="00180944"/>
    <w:rsid w:val="00180B1E"/>
    <w:rsid w:val="00180CEF"/>
    <w:rsid w:val="00180D53"/>
    <w:rsid w:val="00180D9A"/>
    <w:rsid w:val="00180EC4"/>
    <w:rsid w:val="00180EDF"/>
    <w:rsid w:val="00180FA4"/>
    <w:rsid w:val="00181001"/>
    <w:rsid w:val="00181073"/>
    <w:rsid w:val="001810F2"/>
    <w:rsid w:val="001812B3"/>
    <w:rsid w:val="0018136F"/>
    <w:rsid w:val="001814E5"/>
    <w:rsid w:val="00181691"/>
    <w:rsid w:val="001816B5"/>
    <w:rsid w:val="0018178A"/>
    <w:rsid w:val="001817AC"/>
    <w:rsid w:val="001819E5"/>
    <w:rsid w:val="00181A22"/>
    <w:rsid w:val="00181B6D"/>
    <w:rsid w:val="0018200F"/>
    <w:rsid w:val="00182254"/>
    <w:rsid w:val="001822B6"/>
    <w:rsid w:val="0018248E"/>
    <w:rsid w:val="001824AB"/>
    <w:rsid w:val="001825A8"/>
    <w:rsid w:val="00182643"/>
    <w:rsid w:val="00182710"/>
    <w:rsid w:val="00182817"/>
    <w:rsid w:val="0018291B"/>
    <w:rsid w:val="0018296E"/>
    <w:rsid w:val="00182A36"/>
    <w:rsid w:val="00182A54"/>
    <w:rsid w:val="00182A84"/>
    <w:rsid w:val="00182ABB"/>
    <w:rsid w:val="00182C2C"/>
    <w:rsid w:val="00182C93"/>
    <w:rsid w:val="00182D78"/>
    <w:rsid w:val="00182D9B"/>
    <w:rsid w:val="00182EBD"/>
    <w:rsid w:val="00182F11"/>
    <w:rsid w:val="00183114"/>
    <w:rsid w:val="00183176"/>
    <w:rsid w:val="00183244"/>
    <w:rsid w:val="0018347A"/>
    <w:rsid w:val="00183671"/>
    <w:rsid w:val="0018372F"/>
    <w:rsid w:val="00183795"/>
    <w:rsid w:val="00183A1A"/>
    <w:rsid w:val="00183A60"/>
    <w:rsid w:val="00183CA8"/>
    <w:rsid w:val="00183CCC"/>
    <w:rsid w:val="00183ED9"/>
    <w:rsid w:val="00183F13"/>
    <w:rsid w:val="00183FB5"/>
    <w:rsid w:val="00183FEB"/>
    <w:rsid w:val="0018400A"/>
    <w:rsid w:val="001840BC"/>
    <w:rsid w:val="001842F3"/>
    <w:rsid w:val="00184445"/>
    <w:rsid w:val="001844FD"/>
    <w:rsid w:val="001846E0"/>
    <w:rsid w:val="001846F0"/>
    <w:rsid w:val="001846F7"/>
    <w:rsid w:val="00184A02"/>
    <w:rsid w:val="00184C60"/>
    <w:rsid w:val="00184EDC"/>
    <w:rsid w:val="001850C6"/>
    <w:rsid w:val="00185328"/>
    <w:rsid w:val="0018538B"/>
    <w:rsid w:val="00185420"/>
    <w:rsid w:val="00185528"/>
    <w:rsid w:val="0018599D"/>
    <w:rsid w:val="00185A83"/>
    <w:rsid w:val="00185B51"/>
    <w:rsid w:val="00185B66"/>
    <w:rsid w:val="00185BAD"/>
    <w:rsid w:val="00185C01"/>
    <w:rsid w:val="00185C0B"/>
    <w:rsid w:val="00185C24"/>
    <w:rsid w:val="00185C90"/>
    <w:rsid w:val="00185D8F"/>
    <w:rsid w:val="00185DA9"/>
    <w:rsid w:val="00185F97"/>
    <w:rsid w:val="0018615F"/>
    <w:rsid w:val="001861DF"/>
    <w:rsid w:val="0018624D"/>
    <w:rsid w:val="00186252"/>
    <w:rsid w:val="00186270"/>
    <w:rsid w:val="00186373"/>
    <w:rsid w:val="00186525"/>
    <w:rsid w:val="00186627"/>
    <w:rsid w:val="0018662C"/>
    <w:rsid w:val="0018664E"/>
    <w:rsid w:val="001866B0"/>
    <w:rsid w:val="0018680D"/>
    <w:rsid w:val="00186810"/>
    <w:rsid w:val="0018683A"/>
    <w:rsid w:val="00186865"/>
    <w:rsid w:val="00186A36"/>
    <w:rsid w:val="00186B85"/>
    <w:rsid w:val="00186BB9"/>
    <w:rsid w:val="00186BC4"/>
    <w:rsid w:val="00186D81"/>
    <w:rsid w:val="00186D9C"/>
    <w:rsid w:val="00186E04"/>
    <w:rsid w:val="00186EB0"/>
    <w:rsid w:val="001872B7"/>
    <w:rsid w:val="001872CD"/>
    <w:rsid w:val="0018733A"/>
    <w:rsid w:val="00187464"/>
    <w:rsid w:val="00187472"/>
    <w:rsid w:val="001874B6"/>
    <w:rsid w:val="00187509"/>
    <w:rsid w:val="001875F8"/>
    <w:rsid w:val="0018769C"/>
    <w:rsid w:val="0018779E"/>
    <w:rsid w:val="0018780A"/>
    <w:rsid w:val="001879A8"/>
    <w:rsid w:val="001879AE"/>
    <w:rsid w:val="00187C7B"/>
    <w:rsid w:val="00187CB4"/>
    <w:rsid w:val="00187CEC"/>
    <w:rsid w:val="00187D22"/>
    <w:rsid w:val="00187DC2"/>
    <w:rsid w:val="00187F89"/>
    <w:rsid w:val="001900AB"/>
    <w:rsid w:val="00190266"/>
    <w:rsid w:val="001902BC"/>
    <w:rsid w:val="001902E8"/>
    <w:rsid w:val="00190592"/>
    <w:rsid w:val="00190715"/>
    <w:rsid w:val="0019074A"/>
    <w:rsid w:val="001907C5"/>
    <w:rsid w:val="0019081A"/>
    <w:rsid w:val="0019081D"/>
    <w:rsid w:val="00190A02"/>
    <w:rsid w:val="00190AFB"/>
    <w:rsid w:val="00190B66"/>
    <w:rsid w:val="00190BB2"/>
    <w:rsid w:val="00190D27"/>
    <w:rsid w:val="00190DDD"/>
    <w:rsid w:val="00190F18"/>
    <w:rsid w:val="00190F2A"/>
    <w:rsid w:val="00191071"/>
    <w:rsid w:val="001910B7"/>
    <w:rsid w:val="0019111B"/>
    <w:rsid w:val="001911A7"/>
    <w:rsid w:val="001914C4"/>
    <w:rsid w:val="00191672"/>
    <w:rsid w:val="00191B62"/>
    <w:rsid w:val="00191B92"/>
    <w:rsid w:val="00191E65"/>
    <w:rsid w:val="001920FB"/>
    <w:rsid w:val="00192630"/>
    <w:rsid w:val="00192666"/>
    <w:rsid w:val="001927D7"/>
    <w:rsid w:val="00192855"/>
    <w:rsid w:val="00192902"/>
    <w:rsid w:val="00192B79"/>
    <w:rsid w:val="00192CB4"/>
    <w:rsid w:val="00192ED0"/>
    <w:rsid w:val="001930F5"/>
    <w:rsid w:val="0019331B"/>
    <w:rsid w:val="00193365"/>
    <w:rsid w:val="00193548"/>
    <w:rsid w:val="0019356D"/>
    <w:rsid w:val="00193686"/>
    <w:rsid w:val="0019373E"/>
    <w:rsid w:val="00193767"/>
    <w:rsid w:val="001937A2"/>
    <w:rsid w:val="00193ABF"/>
    <w:rsid w:val="00193BC1"/>
    <w:rsid w:val="00193BF6"/>
    <w:rsid w:val="00193C9F"/>
    <w:rsid w:val="00193D1A"/>
    <w:rsid w:val="00193D99"/>
    <w:rsid w:val="00193E37"/>
    <w:rsid w:val="00193E8C"/>
    <w:rsid w:val="00193FF8"/>
    <w:rsid w:val="001943DC"/>
    <w:rsid w:val="00194482"/>
    <w:rsid w:val="0019448C"/>
    <w:rsid w:val="001944AE"/>
    <w:rsid w:val="00194975"/>
    <w:rsid w:val="001949CA"/>
    <w:rsid w:val="00194A1D"/>
    <w:rsid w:val="00194B02"/>
    <w:rsid w:val="00194C8E"/>
    <w:rsid w:val="00194CF1"/>
    <w:rsid w:val="00194DF7"/>
    <w:rsid w:val="00194E96"/>
    <w:rsid w:val="001951ED"/>
    <w:rsid w:val="00195398"/>
    <w:rsid w:val="0019543B"/>
    <w:rsid w:val="001954CD"/>
    <w:rsid w:val="0019557B"/>
    <w:rsid w:val="0019566E"/>
    <w:rsid w:val="001956E1"/>
    <w:rsid w:val="001957C8"/>
    <w:rsid w:val="001958E3"/>
    <w:rsid w:val="001959B3"/>
    <w:rsid w:val="00195A80"/>
    <w:rsid w:val="00195CB9"/>
    <w:rsid w:val="00195D55"/>
    <w:rsid w:val="00195DBC"/>
    <w:rsid w:val="00195E50"/>
    <w:rsid w:val="00195EB7"/>
    <w:rsid w:val="00195EF5"/>
    <w:rsid w:val="001960AA"/>
    <w:rsid w:val="001960C8"/>
    <w:rsid w:val="00196361"/>
    <w:rsid w:val="0019636F"/>
    <w:rsid w:val="00196425"/>
    <w:rsid w:val="001965D4"/>
    <w:rsid w:val="001965E3"/>
    <w:rsid w:val="0019667C"/>
    <w:rsid w:val="001967A8"/>
    <w:rsid w:val="00196827"/>
    <w:rsid w:val="0019699F"/>
    <w:rsid w:val="001969BC"/>
    <w:rsid w:val="00196A27"/>
    <w:rsid w:val="00196AA9"/>
    <w:rsid w:val="00196B22"/>
    <w:rsid w:val="00196CDD"/>
    <w:rsid w:val="00196D1B"/>
    <w:rsid w:val="00196D1C"/>
    <w:rsid w:val="00196DB5"/>
    <w:rsid w:val="00196ED0"/>
    <w:rsid w:val="00196F82"/>
    <w:rsid w:val="0019715F"/>
    <w:rsid w:val="0019727B"/>
    <w:rsid w:val="001972F8"/>
    <w:rsid w:val="00197393"/>
    <w:rsid w:val="001975E6"/>
    <w:rsid w:val="0019790A"/>
    <w:rsid w:val="001979A5"/>
    <w:rsid w:val="00197A2E"/>
    <w:rsid w:val="00197AF7"/>
    <w:rsid w:val="00197B45"/>
    <w:rsid w:val="00197D7A"/>
    <w:rsid w:val="001A011B"/>
    <w:rsid w:val="001A0216"/>
    <w:rsid w:val="001A022A"/>
    <w:rsid w:val="001A0461"/>
    <w:rsid w:val="001A0672"/>
    <w:rsid w:val="001A067D"/>
    <w:rsid w:val="001A073B"/>
    <w:rsid w:val="001A09A7"/>
    <w:rsid w:val="001A09B5"/>
    <w:rsid w:val="001A0A58"/>
    <w:rsid w:val="001A0B1F"/>
    <w:rsid w:val="001A0B61"/>
    <w:rsid w:val="001A0CC7"/>
    <w:rsid w:val="001A0D24"/>
    <w:rsid w:val="001A0ECE"/>
    <w:rsid w:val="001A0EE3"/>
    <w:rsid w:val="001A10EF"/>
    <w:rsid w:val="001A1156"/>
    <w:rsid w:val="001A1351"/>
    <w:rsid w:val="001A136B"/>
    <w:rsid w:val="001A14C8"/>
    <w:rsid w:val="001A17C0"/>
    <w:rsid w:val="001A189E"/>
    <w:rsid w:val="001A18BB"/>
    <w:rsid w:val="001A1973"/>
    <w:rsid w:val="001A199D"/>
    <w:rsid w:val="001A1AA3"/>
    <w:rsid w:val="001A1AF2"/>
    <w:rsid w:val="001A1CEC"/>
    <w:rsid w:val="001A1D20"/>
    <w:rsid w:val="001A1D8D"/>
    <w:rsid w:val="001A209A"/>
    <w:rsid w:val="001A2159"/>
    <w:rsid w:val="001A219E"/>
    <w:rsid w:val="001A223D"/>
    <w:rsid w:val="001A2267"/>
    <w:rsid w:val="001A23E2"/>
    <w:rsid w:val="001A243A"/>
    <w:rsid w:val="001A2462"/>
    <w:rsid w:val="001A2688"/>
    <w:rsid w:val="001A26CD"/>
    <w:rsid w:val="001A28FB"/>
    <w:rsid w:val="001A29A7"/>
    <w:rsid w:val="001A2AEF"/>
    <w:rsid w:val="001A2BA2"/>
    <w:rsid w:val="001A2C93"/>
    <w:rsid w:val="001A2E09"/>
    <w:rsid w:val="001A3316"/>
    <w:rsid w:val="001A35DD"/>
    <w:rsid w:val="001A36D4"/>
    <w:rsid w:val="001A375C"/>
    <w:rsid w:val="001A3A13"/>
    <w:rsid w:val="001A3B9D"/>
    <w:rsid w:val="001A3C1B"/>
    <w:rsid w:val="001A3CB2"/>
    <w:rsid w:val="001A3DC2"/>
    <w:rsid w:val="001A3E1B"/>
    <w:rsid w:val="001A4017"/>
    <w:rsid w:val="001A4068"/>
    <w:rsid w:val="001A4162"/>
    <w:rsid w:val="001A4164"/>
    <w:rsid w:val="001A4192"/>
    <w:rsid w:val="001A41D7"/>
    <w:rsid w:val="001A43F8"/>
    <w:rsid w:val="001A4526"/>
    <w:rsid w:val="001A4564"/>
    <w:rsid w:val="001A4669"/>
    <w:rsid w:val="001A4686"/>
    <w:rsid w:val="001A46E5"/>
    <w:rsid w:val="001A4A19"/>
    <w:rsid w:val="001A4B14"/>
    <w:rsid w:val="001A4B54"/>
    <w:rsid w:val="001A4C25"/>
    <w:rsid w:val="001A4D16"/>
    <w:rsid w:val="001A4E38"/>
    <w:rsid w:val="001A4FB5"/>
    <w:rsid w:val="001A504F"/>
    <w:rsid w:val="001A524F"/>
    <w:rsid w:val="001A5383"/>
    <w:rsid w:val="001A582A"/>
    <w:rsid w:val="001A59BF"/>
    <w:rsid w:val="001A5AA3"/>
    <w:rsid w:val="001A5C43"/>
    <w:rsid w:val="001A5CDD"/>
    <w:rsid w:val="001A5CEB"/>
    <w:rsid w:val="001A5D95"/>
    <w:rsid w:val="001A5E50"/>
    <w:rsid w:val="001A5EC8"/>
    <w:rsid w:val="001A5EDB"/>
    <w:rsid w:val="001A5F19"/>
    <w:rsid w:val="001A5F91"/>
    <w:rsid w:val="001A5FFE"/>
    <w:rsid w:val="001A6159"/>
    <w:rsid w:val="001A6406"/>
    <w:rsid w:val="001A645A"/>
    <w:rsid w:val="001A664F"/>
    <w:rsid w:val="001A668F"/>
    <w:rsid w:val="001A6761"/>
    <w:rsid w:val="001A68E8"/>
    <w:rsid w:val="001A6A45"/>
    <w:rsid w:val="001A6CB6"/>
    <w:rsid w:val="001A6D28"/>
    <w:rsid w:val="001A6E2C"/>
    <w:rsid w:val="001A6F92"/>
    <w:rsid w:val="001A706A"/>
    <w:rsid w:val="001A7389"/>
    <w:rsid w:val="001A738B"/>
    <w:rsid w:val="001A73E2"/>
    <w:rsid w:val="001A73F6"/>
    <w:rsid w:val="001A7639"/>
    <w:rsid w:val="001A7851"/>
    <w:rsid w:val="001A7A59"/>
    <w:rsid w:val="001A7C45"/>
    <w:rsid w:val="001A7CED"/>
    <w:rsid w:val="001A7CFC"/>
    <w:rsid w:val="001A7E3F"/>
    <w:rsid w:val="001A7F51"/>
    <w:rsid w:val="001B01F1"/>
    <w:rsid w:val="001B04A9"/>
    <w:rsid w:val="001B0524"/>
    <w:rsid w:val="001B057E"/>
    <w:rsid w:val="001B0585"/>
    <w:rsid w:val="001B05FC"/>
    <w:rsid w:val="001B0CA0"/>
    <w:rsid w:val="001B0E79"/>
    <w:rsid w:val="001B0E97"/>
    <w:rsid w:val="001B0F47"/>
    <w:rsid w:val="001B1000"/>
    <w:rsid w:val="001B103C"/>
    <w:rsid w:val="001B1083"/>
    <w:rsid w:val="001B11E6"/>
    <w:rsid w:val="001B11F5"/>
    <w:rsid w:val="001B12DC"/>
    <w:rsid w:val="001B1306"/>
    <w:rsid w:val="001B135E"/>
    <w:rsid w:val="001B1448"/>
    <w:rsid w:val="001B198F"/>
    <w:rsid w:val="001B1B49"/>
    <w:rsid w:val="001B1C21"/>
    <w:rsid w:val="001B1D04"/>
    <w:rsid w:val="001B1DC4"/>
    <w:rsid w:val="001B1EBA"/>
    <w:rsid w:val="001B1F20"/>
    <w:rsid w:val="001B2413"/>
    <w:rsid w:val="001B2510"/>
    <w:rsid w:val="001B25C5"/>
    <w:rsid w:val="001B29C9"/>
    <w:rsid w:val="001B29F2"/>
    <w:rsid w:val="001B2A23"/>
    <w:rsid w:val="001B2B6C"/>
    <w:rsid w:val="001B2E56"/>
    <w:rsid w:val="001B2FB0"/>
    <w:rsid w:val="001B32C2"/>
    <w:rsid w:val="001B3318"/>
    <w:rsid w:val="001B33DF"/>
    <w:rsid w:val="001B344F"/>
    <w:rsid w:val="001B347E"/>
    <w:rsid w:val="001B357C"/>
    <w:rsid w:val="001B3593"/>
    <w:rsid w:val="001B35E2"/>
    <w:rsid w:val="001B3726"/>
    <w:rsid w:val="001B3922"/>
    <w:rsid w:val="001B3991"/>
    <w:rsid w:val="001B3A92"/>
    <w:rsid w:val="001B3B27"/>
    <w:rsid w:val="001B3D5A"/>
    <w:rsid w:val="001B3DDD"/>
    <w:rsid w:val="001B3E7D"/>
    <w:rsid w:val="001B3F52"/>
    <w:rsid w:val="001B40A3"/>
    <w:rsid w:val="001B4179"/>
    <w:rsid w:val="001B4180"/>
    <w:rsid w:val="001B4291"/>
    <w:rsid w:val="001B44F2"/>
    <w:rsid w:val="001B4629"/>
    <w:rsid w:val="001B4776"/>
    <w:rsid w:val="001B477B"/>
    <w:rsid w:val="001B482D"/>
    <w:rsid w:val="001B4843"/>
    <w:rsid w:val="001B4858"/>
    <w:rsid w:val="001B48A3"/>
    <w:rsid w:val="001B491A"/>
    <w:rsid w:val="001B4A3F"/>
    <w:rsid w:val="001B4A42"/>
    <w:rsid w:val="001B4ADA"/>
    <w:rsid w:val="001B4B36"/>
    <w:rsid w:val="001B4B46"/>
    <w:rsid w:val="001B4B5C"/>
    <w:rsid w:val="001B4BD6"/>
    <w:rsid w:val="001B4D6A"/>
    <w:rsid w:val="001B4E2D"/>
    <w:rsid w:val="001B4E7F"/>
    <w:rsid w:val="001B51FE"/>
    <w:rsid w:val="001B52A9"/>
    <w:rsid w:val="001B52E3"/>
    <w:rsid w:val="001B52FD"/>
    <w:rsid w:val="001B538A"/>
    <w:rsid w:val="001B5598"/>
    <w:rsid w:val="001B569C"/>
    <w:rsid w:val="001B5707"/>
    <w:rsid w:val="001B57A0"/>
    <w:rsid w:val="001B5848"/>
    <w:rsid w:val="001B5EA3"/>
    <w:rsid w:val="001B5F78"/>
    <w:rsid w:val="001B5F7A"/>
    <w:rsid w:val="001B60CD"/>
    <w:rsid w:val="001B61F6"/>
    <w:rsid w:val="001B638C"/>
    <w:rsid w:val="001B6395"/>
    <w:rsid w:val="001B6398"/>
    <w:rsid w:val="001B64A2"/>
    <w:rsid w:val="001B64B2"/>
    <w:rsid w:val="001B6697"/>
    <w:rsid w:val="001B6718"/>
    <w:rsid w:val="001B6836"/>
    <w:rsid w:val="001B6874"/>
    <w:rsid w:val="001B697D"/>
    <w:rsid w:val="001B69C1"/>
    <w:rsid w:val="001B69F0"/>
    <w:rsid w:val="001B6CAC"/>
    <w:rsid w:val="001B6D25"/>
    <w:rsid w:val="001B6D3C"/>
    <w:rsid w:val="001B6F8D"/>
    <w:rsid w:val="001B7030"/>
    <w:rsid w:val="001B7107"/>
    <w:rsid w:val="001B7152"/>
    <w:rsid w:val="001B717E"/>
    <w:rsid w:val="001B7280"/>
    <w:rsid w:val="001B729D"/>
    <w:rsid w:val="001B72EE"/>
    <w:rsid w:val="001B7320"/>
    <w:rsid w:val="001B73C2"/>
    <w:rsid w:val="001B75F8"/>
    <w:rsid w:val="001B786B"/>
    <w:rsid w:val="001B78CA"/>
    <w:rsid w:val="001B79C5"/>
    <w:rsid w:val="001B7A19"/>
    <w:rsid w:val="001B7FF5"/>
    <w:rsid w:val="001C0007"/>
    <w:rsid w:val="001C004A"/>
    <w:rsid w:val="001C02DA"/>
    <w:rsid w:val="001C0346"/>
    <w:rsid w:val="001C04C2"/>
    <w:rsid w:val="001C05A0"/>
    <w:rsid w:val="001C0617"/>
    <w:rsid w:val="001C06A8"/>
    <w:rsid w:val="001C0721"/>
    <w:rsid w:val="001C0782"/>
    <w:rsid w:val="001C08A4"/>
    <w:rsid w:val="001C08B0"/>
    <w:rsid w:val="001C0A06"/>
    <w:rsid w:val="001C0F95"/>
    <w:rsid w:val="001C0FFF"/>
    <w:rsid w:val="001C1033"/>
    <w:rsid w:val="001C1160"/>
    <w:rsid w:val="001C1287"/>
    <w:rsid w:val="001C1368"/>
    <w:rsid w:val="001C14B7"/>
    <w:rsid w:val="001C1523"/>
    <w:rsid w:val="001C15D6"/>
    <w:rsid w:val="001C16C9"/>
    <w:rsid w:val="001C1799"/>
    <w:rsid w:val="001C18E7"/>
    <w:rsid w:val="001C1956"/>
    <w:rsid w:val="001C1A95"/>
    <w:rsid w:val="001C1AD8"/>
    <w:rsid w:val="001C1B81"/>
    <w:rsid w:val="001C1BF7"/>
    <w:rsid w:val="001C1D3C"/>
    <w:rsid w:val="001C1D56"/>
    <w:rsid w:val="001C1D6B"/>
    <w:rsid w:val="001C1F1B"/>
    <w:rsid w:val="001C1F22"/>
    <w:rsid w:val="001C200E"/>
    <w:rsid w:val="001C20E3"/>
    <w:rsid w:val="001C21F0"/>
    <w:rsid w:val="001C21FC"/>
    <w:rsid w:val="001C22FD"/>
    <w:rsid w:val="001C25B0"/>
    <w:rsid w:val="001C274B"/>
    <w:rsid w:val="001C294B"/>
    <w:rsid w:val="001C294C"/>
    <w:rsid w:val="001C2A7A"/>
    <w:rsid w:val="001C2B38"/>
    <w:rsid w:val="001C2B9C"/>
    <w:rsid w:val="001C3152"/>
    <w:rsid w:val="001C34DA"/>
    <w:rsid w:val="001C35F2"/>
    <w:rsid w:val="001C35FB"/>
    <w:rsid w:val="001C3663"/>
    <w:rsid w:val="001C3883"/>
    <w:rsid w:val="001C39B0"/>
    <w:rsid w:val="001C3A7C"/>
    <w:rsid w:val="001C3C13"/>
    <w:rsid w:val="001C3E0D"/>
    <w:rsid w:val="001C3E9F"/>
    <w:rsid w:val="001C4011"/>
    <w:rsid w:val="001C4362"/>
    <w:rsid w:val="001C43CC"/>
    <w:rsid w:val="001C4524"/>
    <w:rsid w:val="001C4577"/>
    <w:rsid w:val="001C46D3"/>
    <w:rsid w:val="001C48C5"/>
    <w:rsid w:val="001C48CD"/>
    <w:rsid w:val="001C48E2"/>
    <w:rsid w:val="001C4A77"/>
    <w:rsid w:val="001C4C28"/>
    <w:rsid w:val="001C4E54"/>
    <w:rsid w:val="001C5149"/>
    <w:rsid w:val="001C51CE"/>
    <w:rsid w:val="001C5389"/>
    <w:rsid w:val="001C549A"/>
    <w:rsid w:val="001C5827"/>
    <w:rsid w:val="001C5831"/>
    <w:rsid w:val="001C59D8"/>
    <w:rsid w:val="001C5AB2"/>
    <w:rsid w:val="001C5ABE"/>
    <w:rsid w:val="001C5D0B"/>
    <w:rsid w:val="001C5F43"/>
    <w:rsid w:val="001C60C4"/>
    <w:rsid w:val="001C60D6"/>
    <w:rsid w:val="001C6198"/>
    <w:rsid w:val="001C6254"/>
    <w:rsid w:val="001C6276"/>
    <w:rsid w:val="001C634D"/>
    <w:rsid w:val="001C6406"/>
    <w:rsid w:val="001C647F"/>
    <w:rsid w:val="001C6797"/>
    <w:rsid w:val="001C687B"/>
    <w:rsid w:val="001C69EC"/>
    <w:rsid w:val="001C6B1C"/>
    <w:rsid w:val="001C6B25"/>
    <w:rsid w:val="001C6B61"/>
    <w:rsid w:val="001C6BAE"/>
    <w:rsid w:val="001C6E5F"/>
    <w:rsid w:val="001C701B"/>
    <w:rsid w:val="001C706D"/>
    <w:rsid w:val="001C7134"/>
    <w:rsid w:val="001C71A2"/>
    <w:rsid w:val="001C724F"/>
    <w:rsid w:val="001C737B"/>
    <w:rsid w:val="001C7393"/>
    <w:rsid w:val="001C74C8"/>
    <w:rsid w:val="001C7615"/>
    <w:rsid w:val="001C7629"/>
    <w:rsid w:val="001C77F5"/>
    <w:rsid w:val="001C7810"/>
    <w:rsid w:val="001C786C"/>
    <w:rsid w:val="001C7903"/>
    <w:rsid w:val="001C797C"/>
    <w:rsid w:val="001C7B8B"/>
    <w:rsid w:val="001C7E33"/>
    <w:rsid w:val="001C7E50"/>
    <w:rsid w:val="001C7F47"/>
    <w:rsid w:val="001D0333"/>
    <w:rsid w:val="001D03C4"/>
    <w:rsid w:val="001D0486"/>
    <w:rsid w:val="001D04F9"/>
    <w:rsid w:val="001D05B7"/>
    <w:rsid w:val="001D05F5"/>
    <w:rsid w:val="001D0617"/>
    <w:rsid w:val="001D0825"/>
    <w:rsid w:val="001D0B50"/>
    <w:rsid w:val="001D0BCC"/>
    <w:rsid w:val="001D0D12"/>
    <w:rsid w:val="001D0D4E"/>
    <w:rsid w:val="001D0DB9"/>
    <w:rsid w:val="001D0DC8"/>
    <w:rsid w:val="001D0E07"/>
    <w:rsid w:val="001D113F"/>
    <w:rsid w:val="001D141A"/>
    <w:rsid w:val="001D1601"/>
    <w:rsid w:val="001D1621"/>
    <w:rsid w:val="001D1638"/>
    <w:rsid w:val="001D1678"/>
    <w:rsid w:val="001D179C"/>
    <w:rsid w:val="001D17C3"/>
    <w:rsid w:val="001D181D"/>
    <w:rsid w:val="001D19B8"/>
    <w:rsid w:val="001D1B9F"/>
    <w:rsid w:val="001D1C7F"/>
    <w:rsid w:val="001D1E0B"/>
    <w:rsid w:val="001D1E8B"/>
    <w:rsid w:val="001D20BB"/>
    <w:rsid w:val="001D2132"/>
    <w:rsid w:val="001D2143"/>
    <w:rsid w:val="001D2150"/>
    <w:rsid w:val="001D23A4"/>
    <w:rsid w:val="001D2404"/>
    <w:rsid w:val="001D2490"/>
    <w:rsid w:val="001D249F"/>
    <w:rsid w:val="001D24DC"/>
    <w:rsid w:val="001D2556"/>
    <w:rsid w:val="001D25D7"/>
    <w:rsid w:val="001D2757"/>
    <w:rsid w:val="001D27CD"/>
    <w:rsid w:val="001D2863"/>
    <w:rsid w:val="001D293F"/>
    <w:rsid w:val="001D2C37"/>
    <w:rsid w:val="001D2C71"/>
    <w:rsid w:val="001D2CEA"/>
    <w:rsid w:val="001D2CF7"/>
    <w:rsid w:val="001D2EF4"/>
    <w:rsid w:val="001D3086"/>
    <w:rsid w:val="001D314F"/>
    <w:rsid w:val="001D32E3"/>
    <w:rsid w:val="001D3389"/>
    <w:rsid w:val="001D3451"/>
    <w:rsid w:val="001D34C5"/>
    <w:rsid w:val="001D356F"/>
    <w:rsid w:val="001D3583"/>
    <w:rsid w:val="001D35EA"/>
    <w:rsid w:val="001D36DE"/>
    <w:rsid w:val="001D372D"/>
    <w:rsid w:val="001D378F"/>
    <w:rsid w:val="001D3813"/>
    <w:rsid w:val="001D3CF1"/>
    <w:rsid w:val="001D3D9C"/>
    <w:rsid w:val="001D3FC6"/>
    <w:rsid w:val="001D3FF5"/>
    <w:rsid w:val="001D4153"/>
    <w:rsid w:val="001D41B3"/>
    <w:rsid w:val="001D4340"/>
    <w:rsid w:val="001D44BB"/>
    <w:rsid w:val="001D4737"/>
    <w:rsid w:val="001D47E1"/>
    <w:rsid w:val="001D47E5"/>
    <w:rsid w:val="001D483C"/>
    <w:rsid w:val="001D48E2"/>
    <w:rsid w:val="001D48FA"/>
    <w:rsid w:val="001D490A"/>
    <w:rsid w:val="001D4A2C"/>
    <w:rsid w:val="001D4C39"/>
    <w:rsid w:val="001D4DA8"/>
    <w:rsid w:val="001D4FD6"/>
    <w:rsid w:val="001D4FE0"/>
    <w:rsid w:val="001D5272"/>
    <w:rsid w:val="001D53C9"/>
    <w:rsid w:val="001D545A"/>
    <w:rsid w:val="001D553C"/>
    <w:rsid w:val="001D56F3"/>
    <w:rsid w:val="001D5719"/>
    <w:rsid w:val="001D58EB"/>
    <w:rsid w:val="001D5972"/>
    <w:rsid w:val="001D5A25"/>
    <w:rsid w:val="001D5A7D"/>
    <w:rsid w:val="001D5AA1"/>
    <w:rsid w:val="001D5BD2"/>
    <w:rsid w:val="001D5E84"/>
    <w:rsid w:val="001D5F24"/>
    <w:rsid w:val="001D5F30"/>
    <w:rsid w:val="001D5F46"/>
    <w:rsid w:val="001D5F5F"/>
    <w:rsid w:val="001D5F9E"/>
    <w:rsid w:val="001D6020"/>
    <w:rsid w:val="001D6385"/>
    <w:rsid w:val="001D63AE"/>
    <w:rsid w:val="001D66C5"/>
    <w:rsid w:val="001D6806"/>
    <w:rsid w:val="001D6900"/>
    <w:rsid w:val="001D6A0E"/>
    <w:rsid w:val="001D6A80"/>
    <w:rsid w:val="001D6AC5"/>
    <w:rsid w:val="001D6BE1"/>
    <w:rsid w:val="001D6CAB"/>
    <w:rsid w:val="001D6D57"/>
    <w:rsid w:val="001D6ED1"/>
    <w:rsid w:val="001D72FE"/>
    <w:rsid w:val="001D731C"/>
    <w:rsid w:val="001D7320"/>
    <w:rsid w:val="001D73B9"/>
    <w:rsid w:val="001D75DA"/>
    <w:rsid w:val="001D75FD"/>
    <w:rsid w:val="001D7713"/>
    <w:rsid w:val="001D7744"/>
    <w:rsid w:val="001D78F5"/>
    <w:rsid w:val="001D7A39"/>
    <w:rsid w:val="001D7AAB"/>
    <w:rsid w:val="001D7CC2"/>
    <w:rsid w:val="001D7D10"/>
    <w:rsid w:val="001D7D17"/>
    <w:rsid w:val="001D7D93"/>
    <w:rsid w:val="001D7DEF"/>
    <w:rsid w:val="001E00A2"/>
    <w:rsid w:val="001E0182"/>
    <w:rsid w:val="001E028C"/>
    <w:rsid w:val="001E0405"/>
    <w:rsid w:val="001E0465"/>
    <w:rsid w:val="001E04FE"/>
    <w:rsid w:val="001E05EB"/>
    <w:rsid w:val="001E0638"/>
    <w:rsid w:val="001E06D5"/>
    <w:rsid w:val="001E0999"/>
    <w:rsid w:val="001E09EB"/>
    <w:rsid w:val="001E0A0A"/>
    <w:rsid w:val="001E0AB3"/>
    <w:rsid w:val="001E0B42"/>
    <w:rsid w:val="001E0F85"/>
    <w:rsid w:val="001E11E4"/>
    <w:rsid w:val="001E143B"/>
    <w:rsid w:val="001E1455"/>
    <w:rsid w:val="001E14A3"/>
    <w:rsid w:val="001E14D5"/>
    <w:rsid w:val="001E158B"/>
    <w:rsid w:val="001E1696"/>
    <w:rsid w:val="001E1699"/>
    <w:rsid w:val="001E1806"/>
    <w:rsid w:val="001E1812"/>
    <w:rsid w:val="001E18AA"/>
    <w:rsid w:val="001E18B7"/>
    <w:rsid w:val="001E18CD"/>
    <w:rsid w:val="001E1956"/>
    <w:rsid w:val="001E1A79"/>
    <w:rsid w:val="001E1BB6"/>
    <w:rsid w:val="001E1DE5"/>
    <w:rsid w:val="001E1FB9"/>
    <w:rsid w:val="001E1FD4"/>
    <w:rsid w:val="001E20E3"/>
    <w:rsid w:val="001E2329"/>
    <w:rsid w:val="001E23CC"/>
    <w:rsid w:val="001E243D"/>
    <w:rsid w:val="001E2482"/>
    <w:rsid w:val="001E25B6"/>
    <w:rsid w:val="001E2674"/>
    <w:rsid w:val="001E2884"/>
    <w:rsid w:val="001E297A"/>
    <w:rsid w:val="001E29DE"/>
    <w:rsid w:val="001E29F3"/>
    <w:rsid w:val="001E2A27"/>
    <w:rsid w:val="001E2AE6"/>
    <w:rsid w:val="001E2C03"/>
    <w:rsid w:val="001E2DE1"/>
    <w:rsid w:val="001E2F20"/>
    <w:rsid w:val="001E3332"/>
    <w:rsid w:val="001E3375"/>
    <w:rsid w:val="001E386E"/>
    <w:rsid w:val="001E3873"/>
    <w:rsid w:val="001E38A2"/>
    <w:rsid w:val="001E38EC"/>
    <w:rsid w:val="001E3928"/>
    <w:rsid w:val="001E3A37"/>
    <w:rsid w:val="001E3E7C"/>
    <w:rsid w:val="001E3E85"/>
    <w:rsid w:val="001E3F93"/>
    <w:rsid w:val="001E4296"/>
    <w:rsid w:val="001E42D5"/>
    <w:rsid w:val="001E4419"/>
    <w:rsid w:val="001E4473"/>
    <w:rsid w:val="001E4543"/>
    <w:rsid w:val="001E4715"/>
    <w:rsid w:val="001E472B"/>
    <w:rsid w:val="001E486F"/>
    <w:rsid w:val="001E496E"/>
    <w:rsid w:val="001E4AB6"/>
    <w:rsid w:val="001E4B73"/>
    <w:rsid w:val="001E4B77"/>
    <w:rsid w:val="001E4ED1"/>
    <w:rsid w:val="001E50DA"/>
    <w:rsid w:val="001E5267"/>
    <w:rsid w:val="001E52F1"/>
    <w:rsid w:val="001E53D5"/>
    <w:rsid w:val="001E542F"/>
    <w:rsid w:val="001E5497"/>
    <w:rsid w:val="001E54A3"/>
    <w:rsid w:val="001E54FC"/>
    <w:rsid w:val="001E5576"/>
    <w:rsid w:val="001E5683"/>
    <w:rsid w:val="001E5807"/>
    <w:rsid w:val="001E5A79"/>
    <w:rsid w:val="001E5B1D"/>
    <w:rsid w:val="001E5E92"/>
    <w:rsid w:val="001E5EFE"/>
    <w:rsid w:val="001E625B"/>
    <w:rsid w:val="001E6458"/>
    <w:rsid w:val="001E64F6"/>
    <w:rsid w:val="001E6521"/>
    <w:rsid w:val="001E653A"/>
    <w:rsid w:val="001E65CA"/>
    <w:rsid w:val="001E666D"/>
    <w:rsid w:val="001E6681"/>
    <w:rsid w:val="001E671B"/>
    <w:rsid w:val="001E6743"/>
    <w:rsid w:val="001E67E1"/>
    <w:rsid w:val="001E6912"/>
    <w:rsid w:val="001E6B77"/>
    <w:rsid w:val="001E6BAB"/>
    <w:rsid w:val="001E6BB7"/>
    <w:rsid w:val="001E6D34"/>
    <w:rsid w:val="001E6D37"/>
    <w:rsid w:val="001E6D7C"/>
    <w:rsid w:val="001E6E67"/>
    <w:rsid w:val="001E704D"/>
    <w:rsid w:val="001E7087"/>
    <w:rsid w:val="001E7100"/>
    <w:rsid w:val="001E7218"/>
    <w:rsid w:val="001E72DD"/>
    <w:rsid w:val="001E7488"/>
    <w:rsid w:val="001E74EF"/>
    <w:rsid w:val="001E7783"/>
    <w:rsid w:val="001E78AA"/>
    <w:rsid w:val="001E7921"/>
    <w:rsid w:val="001E7AA4"/>
    <w:rsid w:val="001E7C00"/>
    <w:rsid w:val="001E7C4E"/>
    <w:rsid w:val="001E7DB7"/>
    <w:rsid w:val="001E7E8E"/>
    <w:rsid w:val="001E7EF9"/>
    <w:rsid w:val="001E7F68"/>
    <w:rsid w:val="001E7F6C"/>
    <w:rsid w:val="001ED003"/>
    <w:rsid w:val="001F00FA"/>
    <w:rsid w:val="001F02EC"/>
    <w:rsid w:val="001F0407"/>
    <w:rsid w:val="001F055A"/>
    <w:rsid w:val="001F0616"/>
    <w:rsid w:val="001F0757"/>
    <w:rsid w:val="001F079F"/>
    <w:rsid w:val="001F07F2"/>
    <w:rsid w:val="001F0877"/>
    <w:rsid w:val="001F0895"/>
    <w:rsid w:val="001F09AE"/>
    <w:rsid w:val="001F0A17"/>
    <w:rsid w:val="001F0B3C"/>
    <w:rsid w:val="001F0D14"/>
    <w:rsid w:val="001F0D68"/>
    <w:rsid w:val="001F0FBB"/>
    <w:rsid w:val="001F0FC7"/>
    <w:rsid w:val="001F121F"/>
    <w:rsid w:val="001F129C"/>
    <w:rsid w:val="001F1540"/>
    <w:rsid w:val="001F1969"/>
    <w:rsid w:val="001F1A5A"/>
    <w:rsid w:val="001F1BB1"/>
    <w:rsid w:val="001F1CB6"/>
    <w:rsid w:val="001F1D35"/>
    <w:rsid w:val="001F1E7A"/>
    <w:rsid w:val="001F1F36"/>
    <w:rsid w:val="001F21BD"/>
    <w:rsid w:val="001F22BC"/>
    <w:rsid w:val="001F237D"/>
    <w:rsid w:val="001F2510"/>
    <w:rsid w:val="001F2559"/>
    <w:rsid w:val="001F25DF"/>
    <w:rsid w:val="001F264F"/>
    <w:rsid w:val="001F26E6"/>
    <w:rsid w:val="001F2735"/>
    <w:rsid w:val="001F28B7"/>
    <w:rsid w:val="001F2947"/>
    <w:rsid w:val="001F29A2"/>
    <w:rsid w:val="001F2A91"/>
    <w:rsid w:val="001F2C9A"/>
    <w:rsid w:val="001F2F4E"/>
    <w:rsid w:val="001F2F53"/>
    <w:rsid w:val="001F30F2"/>
    <w:rsid w:val="001F3405"/>
    <w:rsid w:val="001F3532"/>
    <w:rsid w:val="001F3535"/>
    <w:rsid w:val="001F37A2"/>
    <w:rsid w:val="001F38E6"/>
    <w:rsid w:val="001F3964"/>
    <w:rsid w:val="001F3A2B"/>
    <w:rsid w:val="001F3C17"/>
    <w:rsid w:val="001F3D1A"/>
    <w:rsid w:val="001F3D8F"/>
    <w:rsid w:val="001F3DA7"/>
    <w:rsid w:val="001F3E29"/>
    <w:rsid w:val="001F3EFE"/>
    <w:rsid w:val="001F3F88"/>
    <w:rsid w:val="001F41A9"/>
    <w:rsid w:val="001F448F"/>
    <w:rsid w:val="001F4A8A"/>
    <w:rsid w:val="001F4A94"/>
    <w:rsid w:val="001F4C78"/>
    <w:rsid w:val="001F4DFD"/>
    <w:rsid w:val="001F4E8A"/>
    <w:rsid w:val="001F5010"/>
    <w:rsid w:val="001F5331"/>
    <w:rsid w:val="001F54FD"/>
    <w:rsid w:val="001F5771"/>
    <w:rsid w:val="001F5AD5"/>
    <w:rsid w:val="001F5DA4"/>
    <w:rsid w:val="001F5DFF"/>
    <w:rsid w:val="001F5E77"/>
    <w:rsid w:val="001F5EE5"/>
    <w:rsid w:val="001F5EFE"/>
    <w:rsid w:val="001F60F8"/>
    <w:rsid w:val="001F6287"/>
    <w:rsid w:val="001F6562"/>
    <w:rsid w:val="001F66C9"/>
    <w:rsid w:val="001F6D00"/>
    <w:rsid w:val="001F6DDF"/>
    <w:rsid w:val="001F7005"/>
    <w:rsid w:val="001F72E3"/>
    <w:rsid w:val="001F736F"/>
    <w:rsid w:val="001F782C"/>
    <w:rsid w:val="001F7873"/>
    <w:rsid w:val="001F7901"/>
    <w:rsid w:val="001F7981"/>
    <w:rsid w:val="001F7A27"/>
    <w:rsid w:val="001F7ACC"/>
    <w:rsid w:val="001F7BA4"/>
    <w:rsid w:val="001F7D2A"/>
    <w:rsid w:val="001F7E8A"/>
    <w:rsid w:val="001F7ECE"/>
    <w:rsid w:val="001F7F7F"/>
    <w:rsid w:val="001F7FA5"/>
    <w:rsid w:val="0020001B"/>
    <w:rsid w:val="002000A6"/>
    <w:rsid w:val="0020016B"/>
    <w:rsid w:val="002001E0"/>
    <w:rsid w:val="0020029B"/>
    <w:rsid w:val="002002CC"/>
    <w:rsid w:val="002002DC"/>
    <w:rsid w:val="0020038F"/>
    <w:rsid w:val="0020055A"/>
    <w:rsid w:val="002005A7"/>
    <w:rsid w:val="00200667"/>
    <w:rsid w:val="00200670"/>
    <w:rsid w:val="002008B8"/>
    <w:rsid w:val="002008BD"/>
    <w:rsid w:val="002009F6"/>
    <w:rsid w:val="00200A01"/>
    <w:rsid w:val="00200A0C"/>
    <w:rsid w:val="00200A20"/>
    <w:rsid w:val="00200AEC"/>
    <w:rsid w:val="00200B1F"/>
    <w:rsid w:val="00200BDA"/>
    <w:rsid w:val="00200C1D"/>
    <w:rsid w:val="00200EA9"/>
    <w:rsid w:val="00200F17"/>
    <w:rsid w:val="00200F70"/>
    <w:rsid w:val="0020103F"/>
    <w:rsid w:val="002010F6"/>
    <w:rsid w:val="00201347"/>
    <w:rsid w:val="002013F9"/>
    <w:rsid w:val="0020142E"/>
    <w:rsid w:val="00201461"/>
    <w:rsid w:val="002014B8"/>
    <w:rsid w:val="00201588"/>
    <w:rsid w:val="00201754"/>
    <w:rsid w:val="00201850"/>
    <w:rsid w:val="00201A16"/>
    <w:rsid w:val="00201A80"/>
    <w:rsid w:val="00201CE6"/>
    <w:rsid w:val="00201DAD"/>
    <w:rsid w:val="00201F45"/>
    <w:rsid w:val="00201F8E"/>
    <w:rsid w:val="00201FC1"/>
    <w:rsid w:val="0020227E"/>
    <w:rsid w:val="00202524"/>
    <w:rsid w:val="00202568"/>
    <w:rsid w:val="0020263B"/>
    <w:rsid w:val="002026AB"/>
    <w:rsid w:val="0020281A"/>
    <w:rsid w:val="00202834"/>
    <w:rsid w:val="00202C1E"/>
    <w:rsid w:val="00202C70"/>
    <w:rsid w:val="00202C88"/>
    <w:rsid w:val="00202D54"/>
    <w:rsid w:val="00202EA4"/>
    <w:rsid w:val="00202EBF"/>
    <w:rsid w:val="00202F6C"/>
    <w:rsid w:val="00203040"/>
    <w:rsid w:val="00203064"/>
    <w:rsid w:val="0020309C"/>
    <w:rsid w:val="00203132"/>
    <w:rsid w:val="0020323B"/>
    <w:rsid w:val="002035A5"/>
    <w:rsid w:val="002036F4"/>
    <w:rsid w:val="00203A3A"/>
    <w:rsid w:val="00203C6F"/>
    <w:rsid w:val="00203D21"/>
    <w:rsid w:val="00203E6E"/>
    <w:rsid w:val="00203EE9"/>
    <w:rsid w:val="00203F10"/>
    <w:rsid w:val="002040CC"/>
    <w:rsid w:val="00204209"/>
    <w:rsid w:val="0020447A"/>
    <w:rsid w:val="0020456A"/>
    <w:rsid w:val="00204663"/>
    <w:rsid w:val="002046DB"/>
    <w:rsid w:val="00204738"/>
    <w:rsid w:val="00204785"/>
    <w:rsid w:val="0020481B"/>
    <w:rsid w:val="002048AF"/>
    <w:rsid w:val="00204917"/>
    <w:rsid w:val="0020494C"/>
    <w:rsid w:val="0020497A"/>
    <w:rsid w:val="00204A85"/>
    <w:rsid w:val="00204B7E"/>
    <w:rsid w:val="00204BD0"/>
    <w:rsid w:val="00204C04"/>
    <w:rsid w:val="00204D41"/>
    <w:rsid w:val="00204DAF"/>
    <w:rsid w:val="00204EF3"/>
    <w:rsid w:val="00205095"/>
    <w:rsid w:val="0020532B"/>
    <w:rsid w:val="00205388"/>
    <w:rsid w:val="00205553"/>
    <w:rsid w:val="002055B8"/>
    <w:rsid w:val="002056B5"/>
    <w:rsid w:val="002056B6"/>
    <w:rsid w:val="002056F3"/>
    <w:rsid w:val="002057B9"/>
    <w:rsid w:val="002059AF"/>
    <w:rsid w:val="002059F6"/>
    <w:rsid w:val="00205CA8"/>
    <w:rsid w:val="00205D08"/>
    <w:rsid w:val="00205F21"/>
    <w:rsid w:val="0020609D"/>
    <w:rsid w:val="002060E3"/>
    <w:rsid w:val="00206471"/>
    <w:rsid w:val="002064B3"/>
    <w:rsid w:val="0020680F"/>
    <w:rsid w:val="00206900"/>
    <w:rsid w:val="0020697D"/>
    <w:rsid w:val="00206A74"/>
    <w:rsid w:val="00206B9F"/>
    <w:rsid w:val="00206CBB"/>
    <w:rsid w:val="00206CFF"/>
    <w:rsid w:val="00206E98"/>
    <w:rsid w:val="00206F8F"/>
    <w:rsid w:val="00207403"/>
    <w:rsid w:val="0020742F"/>
    <w:rsid w:val="0020744F"/>
    <w:rsid w:val="00207539"/>
    <w:rsid w:val="0020753A"/>
    <w:rsid w:val="002076E1"/>
    <w:rsid w:val="00207CA7"/>
    <w:rsid w:val="00207DDC"/>
    <w:rsid w:val="00207FF7"/>
    <w:rsid w:val="0021001B"/>
    <w:rsid w:val="00210072"/>
    <w:rsid w:val="00210141"/>
    <w:rsid w:val="00210176"/>
    <w:rsid w:val="0021029A"/>
    <w:rsid w:val="002103B7"/>
    <w:rsid w:val="00210429"/>
    <w:rsid w:val="002104D3"/>
    <w:rsid w:val="0021057E"/>
    <w:rsid w:val="002105FF"/>
    <w:rsid w:val="002106F8"/>
    <w:rsid w:val="00210753"/>
    <w:rsid w:val="002107C4"/>
    <w:rsid w:val="002108BA"/>
    <w:rsid w:val="00210A0E"/>
    <w:rsid w:val="00210BC3"/>
    <w:rsid w:val="00210BED"/>
    <w:rsid w:val="00210C90"/>
    <w:rsid w:val="00210FD4"/>
    <w:rsid w:val="00211206"/>
    <w:rsid w:val="002112C1"/>
    <w:rsid w:val="00211307"/>
    <w:rsid w:val="002113E5"/>
    <w:rsid w:val="00211414"/>
    <w:rsid w:val="0021144A"/>
    <w:rsid w:val="002114BA"/>
    <w:rsid w:val="00211521"/>
    <w:rsid w:val="002115CB"/>
    <w:rsid w:val="00211604"/>
    <w:rsid w:val="002116B5"/>
    <w:rsid w:val="00211885"/>
    <w:rsid w:val="0021198A"/>
    <w:rsid w:val="00211B1B"/>
    <w:rsid w:val="00211B87"/>
    <w:rsid w:val="00211BDA"/>
    <w:rsid w:val="00211C79"/>
    <w:rsid w:val="00211CD5"/>
    <w:rsid w:val="00211EE7"/>
    <w:rsid w:val="00211EEB"/>
    <w:rsid w:val="00211FFC"/>
    <w:rsid w:val="0021208C"/>
    <w:rsid w:val="00212261"/>
    <w:rsid w:val="00212382"/>
    <w:rsid w:val="00212392"/>
    <w:rsid w:val="002127C7"/>
    <w:rsid w:val="00212827"/>
    <w:rsid w:val="00212871"/>
    <w:rsid w:val="00212900"/>
    <w:rsid w:val="0021292B"/>
    <w:rsid w:val="00212A88"/>
    <w:rsid w:val="00212A8B"/>
    <w:rsid w:val="00212BAA"/>
    <w:rsid w:val="00212BBE"/>
    <w:rsid w:val="00212BE9"/>
    <w:rsid w:val="00212C56"/>
    <w:rsid w:val="00212CF7"/>
    <w:rsid w:val="00212D6B"/>
    <w:rsid w:val="00212E6E"/>
    <w:rsid w:val="00212F41"/>
    <w:rsid w:val="00213022"/>
    <w:rsid w:val="002130A6"/>
    <w:rsid w:val="002130A9"/>
    <w:rsid w:val="00213343"/>
    <w:rsid w:val="0021338C"/>
    <w:rsid w:val="0021352A"/>
    <w:rsid w:val="00213547"/>
    <w:rsid w:val="0021399A"/>
    <w:rsid w:val="00213CD7"/>
    <w:rsid w:val="00214001"/>
    <w:rsid w:val="002141C5"/>
    <w:rsid w:val="00214215"/>
    <w:rsid w:val="002143F7"/>
    <w:rsid w:val="00214577"/>
    <w:rsid w:val="002145F8"/>
    <w:rsid w:val="0021473C"/>
    <w:rsid w:val="0021485D"/>
    <w:rsid w:val="00214979"/>
    <w:rsid w:val="002149F2"/>
    <w:rsid w:val="00214AB2"/>
    <w:rsid w:val="00214B2F"/>
    <w:rsid w:val="00214F23"/>
    <w:rsid w:val="00214F71"/>
    <w:rsid w:val="00214FD6"/>
    <w:rsid w:val="00215146"/>
    <w:rsid w:val="002151EB"/>
    <w:rsid w:val="00215270"/>
    <w:rsid w:val="00215430"/>
    <w:rsid w:val="0021544B"/>
    <w:rsid w:val="00215569"/>
    <w:rsid w:val="0021557D"/>
    <w:rsid w:val="00215690"/>
    <w:rsid w:val="0021575A"/>
    <w:rsid w:val="00215766"/>
    <w:rsid w:val="00215895"/>
    <w:rsid w:val="002159D1"/>
    <w:rsid w:val="002159FE"/>
    <w:rsid w:val="00215AFB"/>
    <w:rsid w:val="00215F40"/>
    <w:rsid w:val="002160BF"/>
    <w:rsid w:val="002162B6"/>
    <w:rsid w:val="0021633B"/>
    <w:rsid w:val="002164BB"/>
    <w:rsid w:val="00216513"/>
    <w:rsid w:val="002165F7"/>
    <w:rsid w:val="002166DE"/>
    <w:rsid w:val="0021676F"/>
    <w:rsid w:val="002167EE"/>
    <w:rsid w:val="00216815"/>
    <w:rsid w:val="00216838"/>
    <w:rsid w:val="00216880"/>
    <w:rsid w:val="00216890"/>
    <w:rsid w:val="00216B5D"/>
    <w:rsid w:val="00216C1A"/>
    <w:rsid w:val="00216C7D"/>
    <w:rsid w:val="00217157"/>
    <w:rsid w:val="00217341"/>
    <w:rsid w:val="002176D5"/>
    <w:rsid w:val="00217889"/>
    <w:rsid w:val="00217892"/>
    <w:rsid w:val="00217A5F"/>
    <w:rsid w:val="00217A7D"/>
    <w:rsid w:val="00217C53"/>
    <w:rsid w:val="00217E2E"/>
    <w:rsid w:val="0022009C"/>
    <w:rsid w:val="00220265"/>
    <w:rsid w:val="0022035A"/>
    <w:rsid w:val="0022056B"/>
    <w:rsid w:val="00220828"/>
    <w:rsid w:val="002208DB"/>
    <w:rsid w:val="00220933"/>
    <w:rsid w:val="002209F0"/>
    <w:rsid w:val="00220A17"/>
    <w:rsid w:val="00220AE1"/>
    <w:rsid w:val="00220B08"/>
    <w:rsid w:val="00220B2B"/>
    <w:rsid w:val="00220B5B"/>
    <w:rsid w:val="00220C43"/>
    <w:rsid w:val="00220D5E"/>
    <w:rsid w:val="00220DC9"/>
    <w:rsid w:val="00220E0E"/>
    <w:rsid w:val="00220F3A"/>
    <w:rsid w:val="00220F68"/>
    <w:rsid w:val="00221010"/>
    <w:rsid w:val="00221097"/>
    <w:rsid w:val="00221136"/>
    <w:rsid w:val="002211EF"/>
    <w:rsid w:val="00221284"/>
    <w:rsid w:val="002213C7"/>
    <w:rsid w:val="00221571"/>
    <w:rsid w:val="0022158C"/>
    <w:rsid w:val="002216B8"/>
    <w:rsid w:val="0022171B"/>
    <w:rsid w:val="00221958"/>
    <w:rsid w:val="00221A7C"/>
    <w:rsid w:val="00221D8F"/>
    <w:rsid w:val="00221F48"/>
    <w:rsid w:val="002222FA"/>
    <w:rsid w:val="00222346"/>
    <w:rsid w:val="002223C8"/>
    <w:rsid w:val="00222712"/>
    <w:rsid w:val="0022276C"/>
    <w:rsid w:val="002227B2"/>
    <w:rsid w:val="0022280F"/>
    <w:rsid w:val="002229E8"/>
    <w:rsid w:val="00222A52"/>
    <w:rsid w:val="00222B41"/>
    <w:rsid w:val="00222BC6"/>
    <w:rsid w:val="00222C28"/>
    <w:rsid w:val="00222C98"/>
    <w:rsid w:val="00222ED1"/>
    <w:rsid w:val="00223035"/>
    <w:rsid w:val="00223169"/>
    <w:rsid w:val="002231BA"/>
    <w:rsid w:val="002234A8"/>
    <w:rsid w:val="002235BF"/>
    <w:rsid w:val="002235EB"/>
    <w:rsid w:val="0022364F"/>
    <w:rsid w:val="002237EC"/>
    <w:rsid w:val="0022387A"/>
    <w:rsid w:val="00223B26"/>
    <w:rsid w:val="00223BF7"/>
    <w:rsid w:val="00223BFB"/>
    <w:rsid w:val="00223C02"/>
    <w:rsid w:val="00223D0F"/>
    <w:rsid w:val="00223DB7"/>
    <w:rsid w:val="00223E4B"/>
    <w:rsid w:val="00223F1E"/>
    <w:rsid w:val="00223F89"/>
    <w:rsid w:val="00224018"/>
    <w:rsid w:val="002240EB"/>
    <w:rsid w:val="00224120"/>
    <w:rsid w:val="00224135"/>
    <w:rsid w:val="002241E4"/>
    <w:rsid w:val="0022423C"/>
    <w:rsid w:val="00224246"/>
    <w:rsid w:val="002242DE"/>
    <w:rsid w:val="00224638"/>
    <w:rsid w:val="002246A0"/>
    <w:rsid w:val="0022481D"/>
    <w:rsid w:val="002248B8"/>
    <w:rsid w:val="00224A51"/>
    <w:rsid w:val="00224BD4"/>
    <w:rsid w:val="00224C4B"/>
    <w:rsid w:val="00224D39"/>
    <w:rsid w:val="00225143"/>
    <w:rsid w:val="0022517E"/>
    <w:rsid w:val="00225218"/>
    <w:rsid w:val="0022526B"/>
    <w:rsid w:val="00225534"/>
    <w:rsid w:val="00225562"/>
    <w:rsid w:val="002257EB"/>
    <w:rsid w:val="002258F9"/>
    <w:rsid w:val="00225931"/>
    <w:rsid w:val="002259E9"/>
    <w:rsid w:val="00225A7F"/>
    <w:rsid w:val="00225C22"/>
    <w:rsid w:val="00225CFD"/>
    <w:rsid w:val="00225DC6"/>
    <w:rsid w:val="00225DEB"/>
    <w:rsid w:val="00225E37"/>
    <w:rsid w:val="00225E3B"/>
    <w:rsid w:val="00225F09"/>
    <w:rsid w:val="00226160"/>
    <w:rsid w:val="002261AE"/>
    <w:rsid w:val="002262C7"/>
    <w:rsid w:val="0022639D"/>
    <w:rsid w:val="0022646A"/>
    <w:rsid w:val="002264D2"/>
    <w:rsid w:val="0022675B"/>
    <w:rsid w:val="00226784"/>
    <w:rsid w:val="00226861"/>
    <w:rsid w:val="00226923"/>
    <w:rsid w:val="00226E22"/>
    <w:rsid w:val="00226F1F"/>
    <w:rsid w:val="00226F91"/>
    <w:rsid w:val="00226FC8"/>
    <w:rsid w:val="00226FF1"/>
    <w:rsid w:val="00227033"/>
    <w:rsid w:val="0022708F"/>
    <w:rsid w:val="00227166"/>
    <w:rsid w:val="0022718D"/>
    <w:rsid w:val="002271A9"/>
    <w:rsid w:val="002272DB"/>
    <w:rsid w:val="0022734F"/>
    <w:rsid w:val="00227368"/>
    <w:rsid w:val="002276F4"/>
    <w:rsid w:val="00227ADA"/>
    <w:rsid w:val="00227B06"/>
    <w:rsid w:val="00227B15"/>
    <w:rsid w:val="00227DEA"/>
    <w:rsid w:val="00227FDC"/>
    <w:rsid w:val="002304A8"/>
    <w:rsid w:val="002304A9"/>
    <w:rsid w:val="00230694"/>
    <w:rsid w:val="002308BC"/>
    <w:rsid w:val="002308D3"/>
    <w:rsid w:val="0023097A"/>
    <w:rsid w:val="0023098E"/>
    <w:rsid w:val="00230A17"/>
    <w:rsid w:val="00230A1A"/>
    <w:rsid w:val="00230B71"/>
    <w:rsid w:val="00230B7C"/>
    <w:rsid w:val="00230BE3"/>
    <w:rsid w:val="00230DA0"/>
    <w:rsid w:val="00230DBF"/>
    <w:rsid w:val="00230DCD"/>
    <w:rsid w:val="00230E30"/>
    <w:rsid w:val="00230F27"/>
    <w:rsid w:val="00230F46"/>
    <w:rsid w:val="00231155"/>
    <w:rsid w:val="0023118C"/>
    <w:rsid w:val="002314D7"/>
    <w:rsid w:val="0023158D"/>
    <w:rsid w:val="0023168B"/>
    <w:rsid w:val="00231843"/>
    <w:rsid w:val="00231989"/>
    <w:rsid w:val="002319B7"/>
    <w:rsid w:val="002319CA"/>
    <w:rsid w:val="002319E1"/>
    <w:rsid w:val="00231AF2"/>
    <w:rsid w:val="00231C25"/>
    <w:rsid w:val="00231D0C"/>
    <w:rsid w:val="00232106"/>
    <w:rsid w:val="002322B0"/>
    <w:rsid w:val="002322E0"/>
    <w:rsid w:val="002322F3"/>
    <w:rsid w:val="0023230E"/>
    <w:rsid w:val="002323DB"/>
    <w:rsid w:val="0023244E"/>
    <w:rsid w:val="00232800"/>
    <w:rsid w:val="002328A5"/>
    <w:rsid w:val="0023298D"/>
    <w:rsid w:val="002329AC"/>
    <w:rsid w:val="00232B37"/>
    <w:rsid w:val="00232CD8"/>
    <w:rsid w:val="00232D5C"/>
    <w:rsid w:val="00232F65"/>
    <w:rsid w:val="002333D4"/>
    <w:rsid w:val="00233644"/>
    <w:rsid w:val="002336D9"/>
    <w:rsid w:val="00233B67"/>
    <w:rsid w:val="00233C08"/>
    <w:rsid w:val="00233C0A"/>
    <w:rsid w:val="00233FA7"/>
    <w:rsid w:val="00233FDF"/>
    <w:rsid w:val="00234123"/>
    <w:rsid w:val="0023416F"/>
    <w:rsid w:val="00234203"/>
    <w:rsid w:val="00234745"/>
    <w:rsid w:val="00234803"/>
    <w:rsid w:val="00234918"/>
    <w:rsid w:val="0023493C"/>
    <w:rsid w:val="002349A2"/>
    <w:rsid w:val="002349E1"/>
    <w:rsid w:val="00234A4A"/>
    <w:rsid w:val="00234AB2"/>
    <w:rsid w:val="00234DBE"/>
    <w:rsid w:val="00234FC3"/>
    <w:rsid w:val="0023503D"/>
    <w:rsid w:val="002351A9"/>
    <w:rsid w:val="002351B6"/>
    <w:rsid w:val="002351D9"/>
    <w:rsid w:val="002351F0"/>
    <w:rsid w:val="00235265"/>
    <w:rsid w:val="00235349"/>
    <w:rsid w:val="00235378"/>
    <w:rsid w:val="00235435"/>
    <w:rsid w:val="0023543D"/>
    <w:rsid w:val="00235489"/>
    <w:rsid w:val="0023552B"/>
    <w:rsid w:val="002356D0"/>
    <w:rsid w:val="002356D2"/>
    <w:rsid w:val="00235754"/>
    <w:rsid w:val="00235892"/>
    <w:rsid w:val="0023591D"/>
    <w:rsid w:val="0023598C"/>
    <w:rsid w:val="00235D9D"/>
    <w:rsid w:val="00235E46"/>
    <w:rsid w:val="002362C5"/>
    <w:rsid w:val="00236479"/>
    <w:rsid w:val="00236581"/>
    <w:rsid w:val="00236618"/>
    <w:rsid w:val="00236779"/>
    <w:rsid w:val="002367FE"/>
    <w:rsid w:val="00236840"/>
    <w:rsid w:val="0023694F"/>
    <w:rsid w:val="002369AA"/>
    <w:rsid w:val="00236D4C"/>
    <w:rsid w:val="00236E75"/>
    <w:rsid w:val="00236FD0"/>
    <w:rsid w:val="002370F4"/>
    <w:rsid w:val="0023718A"/>
    <w:rsid w:val="00237277"/>
    <w:rsid w:val="002373A8"/>
    <w:rsid w:val="00237487"/>
    <w:rsid w:val="002375DA"/>
    <w:rsid w:val="002376EB"/>
    <w:rsid w:val="0023796F"/>
    <w:rsid w:val="00237A8E"/>
    <w:rsid w:val="00237B61"/>
    <w:rsid w:val="00237B77"/>
    <w:rsid w:val="00240018"/>
    <w:rsid w:val="00240235"/>
    <w:rsid w:val="0024044C"/>
    <w:rsid w:val="002404CE"/>
    <w:rsid w:val="002404FD"/>
    <w:rsid w:val="0024059E"/>
    <w:rsid w:val="00240786"/>
    <w:rsid w:val="002407F7"/>
    <w:rsid w:val="00240982"/>
    <w:rsid w:val="00240A93"/>
    <w:rsid w:val="00240BD1"/>
    <w:rsid w:val="00240E65"/>
    <w:rsid w:val="00240E75"/>
    <w:rsid w:val="00240F1C"/>
    <w:rsid w:val="00240F38"/>
    <w:rsid w:val="0024100A"/>
    <w:rsid w:val="00241098"/>
    <w:rsid w:val="002412BD"/>
    <w:rsid w:val="002412CC"/>
    <w:rsid w:val="002412E3"/>
    <w:rsid w:val="00241489"/>
    <w:rsid w:val="0024173C"/>
    <w:rsid w:val="00241A4A"/>
    <w:rsid w:val="00241A51"/>
    <w:rsid w:val="00241C24"/>
    <w:rsid w:val="00241D61"/>
    <w:rsid w:val="00241D92"/>
    <w:rsid w:val="00241E8C"/>
    <w:rsid w:val="00241EB3"/>
    <w:rsid w:val="00241F1C"/>
    <w:rsid w:val="00242138"/>
    <w:rsid w:val="00242365"/>
    <w:rsid w:val="0024273C"/>
    <w:rsid w:val="00242920"/>
    <w:rsid w:val="00242AEE"/>
    <w:rsid w:val="00242C1D"/>
    <w:rsid w:val="00242D38"/>
    <w:rsid w:val="00242DC9"/>
    <w:rsid w:val="00242E4A"/>
    <w:rsid w:val="00242FD4"/>
    <w:rsid w:val="002430CE"/>
    <w:rsid w:val="00243338"/>
    <w:rsid w:val="00243351"/>
    <w:rsid w:val="00243672"/>
    <w:rsid w:val="002439A4"/>
    <w:rsid w:val="00243A92"/>
    <w:rsid w:val="00243AA5"/>
    <w:rsid w:val="00243AE9"/>
    <w:rsid w:val="00243BBC"/>
    <w:rsid w:val="00243BF2"/>
    <w:rsid w:val="00243D9D"/>
    <w:rsid w:val="00243DD0"/>
    <w:rsid w:val="00243E8A"/>
    <w:rsid w:val="00243F1C"/>
    <w:rsid w:val="00243F2D"/>
    <w:rsid w:val="002440D2"/>
    <w:rsid w:val="00244217"/>
    <w:rsid w:val="002442C7"/>
    <w:rsid w:val="0024442F"/>
    <w:rsid w:val="0024443C"/>
    <w:rsid w:val="00244473"/>
    <w:rsid w:val="0024462B"/>
    <w:rsid w:val="0024464E"/>
    <w:rsid w:val="0024467C"/>
    <w:rsid w:val="00244748"/>
    <w:rsid w:val="002447F6"/>
    <w:rsid w:val="00244B09"/>
    <w:rsid w:val="00244B0B"/>
    <w:rsid w:val="00244D91"/>
    <w:rsid w:val="00244D99"/>
    <w:rsid w:val="00244E95"/>
    <w:rsid w:val="0024521C"/>
    <w:rsid w:val="00245359"/>
    <w:rsid w:val="0024566F"/>
    <w:rsid w:val="00245756"/>
    <w:rsid w:val="002459EE"/>
    <w:rsid w:val="00245B06"/>
    <w:rsid w:val="00245CA8"/>
    <w:rsid w:val="00245E0C"/>
    <w:rsid w:val="00246175"/>
    <w:rsid w:val="00246233"/>
    <w:rsid w:val="00246261"/>
    <w:rsid w:val="00246368"/>
    <w:rsid w:val="00246531"/>
    <w:rsid w:val="002465D3"/>
    <w:rsid w:val="0024667D"/>
    <w:rsid w:val="00246AD9"/>
    <w:rsid w:val="00246AFB"/>
    <w:rsid w:val="00247052"/>
    <w:rsid w:val="0024712B"/>
    <w:rsid w:val="002471BA"/>
    <w:rsid w:val="0024723D"/>
    <w:rsid w:val="00247294"/>
    <w:rsid w:val="00247325"/>
    <w:rsid w:val="002474AE"/>
    <w:rsid w:val="002474B4"/>
    <w:rsid w:val="002474E9"/>
    <w:rsid w:val="0024750A"/>
    <w:rsid w:val="002475DD"/>
    <w:rsid w:val="002475EE"/>
    <w:rsid w:val="002476BC"/>
    <w:rsid w:val="002476CF"/>
    <w:rsid w:val="00247B20"/>
    <w:rsid w:val="00247DF9"/>
    <w:rsid w:val="00247DFF"/>
    <w:rsid w:val="00250060"/>
    <w:rsid w:val="0025011B"/>
    <w:rsid w:val="00250225"/>
    <w:rsid w:val="002504B3"/>
    <w:rsid w:val="002504F7"/>
    <w:rsid w:val="00250560"/>
    <w:rsid w:val="0025068A"/>
    <w:rsid w:val="002507BA"/>
    <w:rsid w:val="002507C0"/>
    <w:rsid w:val="0025085E"/>
    <w:rsid w:val="0025089F"/>
    <w:rsid w:val="002508B5"/>
    <w:rsid w:val="0025095F"/>
    <w:rsid w:val="00250991"/>
    <w:rsid w:val="002509FA"/>
    <w:rsid w:val="00250A02"/>
    <w:rsid w:val="00250A6A"/>
    <w:rsid w:val="00250ACF"/>
    <w:rsid w:val="00250C05"/>
    <w:rsid w:val="00250C87"/>
    <w:rsid w:val="00250CA1"/>
    <w:rsid w:val="00250CE3"/>
    <w:rsid w:val="00250DFE"/>
    <w:rsid w:val="00250E56"/>
    <w:rsid w:val="00250F16"/>
    <w:rsid w:val="00251187"/>
    <w:rsid w:val="002512FC"/>
    <w:rsid w:val="00251732"/>
    <w:rsid w:val="00251908"/>
    <w:rsid w:val="00251927"/>
    <w:rsid w:val="00251A32"/>
    <w:rsid w:val="00251D45"/>
    <w:rsid w:val="00251D94"/>
    <w:rsid w:val="00251D9E"/>
    <w:rsid w:val="00251E11"/>
    <w:rsid w:val="00251E7E"/>
    <w:rsid w:val="00251F7A"/>
    <w:rsid w:val="002520E4"/>
    <w:rsid w:val="00252163"/>
    <w:rsid w:val="00252385"/>
    <w:rsid w:val="002523DC"/>
    <w:rsid w:val="0025244C"/>
    <w:rsid w:val="00252529"/>
    <w:rsid w:val="002525D2"/>
    <w:rsid w:val="002525EA"/>
    <w:rsid w:val="002526B3"/>
    <w:rsid w:val="002527D7"/>
    <w:rsid w:val="0025284E"/>
    <w:rsid w:val="00252851"/>
    <w:rsid w:val="002528BD"/>
    <w:rsid w:val="002529DD"/>
    <w:rsid w:val="00252B95"/>
    <w:rsid w:val="00252BA1"/>
    <w:rsid w:val="00252BC1"/>
    <w:rsid w:val="00252C71"/>
    <w:rsid w:val="00252D41"/>
    <w:rsid w:val="00252DFE"/>
    <w:rsid w:val="00252E29"/>
    <w:rsid w:val="00252E57"/>
    <w:rsid w:val="00252F2B"/>
    <w:rsid w:val="00253000"/>
    <w:rsid w:val="002534C2"/>
    <w:rsid w:val="002535E6"/>
    <w:rsid w:val="002535FA"/>
    <w:rsid w:val="00253735"/>
    <w:rsid w:val="002538F7"/>
    <w:rsid w:val="00253907"/>
    <w:rsid w:val="00253921"/>
    <w:rsid w:val="00253956"/>
    <w:rsid w:val="00253A62"/>
    <w:rsid w:val="00253C18"/>
    <w:rsid w:val="00253C48"/>
    <w:rsid w:val="00253E60"/>
    <w:rsid w:val="00253EAF"/>
    <w:rsid w:val="00253EC2"/>
    <w:rsid w:val="00254071"/>
    <w:rsid w:val="0025412F"/>
    <w:rsid w:val="002543C6"/>
    <w:rsid w:val="0025445A"/>
    <w:rsid w:val="0025452C"/>
    <w:rsid w:val="00254579"/>
    <w:rsid w:val="002545EF"/>
    <w:rsid w:val="0025467D"/>
    <w:rsid w:val="00254835"/>
    <w:rsid w:val="0025485E"/>
    <w:rsid w:val="00254BE9"/>
    <w:rsid w:val="00254C15"/>
    <w:rsid w:val="00254E42"/>
    <w:rsid w:val="00254F6A"/>
    <w:rsid w:val="00254FB1"/>
    <w:rsid w:val="00254FDD"/>
    <w:rsid w:val="002551D9"/>
    <w:rsid w:val="002553AD"/>
    <w:rsid w:val="00255569"/>
    <w:rsid w:val="0025559D"/>
    <w:rsid w:val="002555E8"/>
    <w:rsid w:val="0025578A"/>
    <w:rsid w:val="002557B6"/>
    <w:rsid w:val="0025583E"/>
    <w:rsid w:val="0025589A"/>
    <w:rsid w:val="002558C6"/>
    <w:rsid w:val="002558FB"/>
    <w:rsid w:val="00255A36"/>
    <w:rsid w:val="00255C66"/>
    <w:rsid w:val="00255D23"/>
    <w:rsid w:val="00255F82"/>
    <w:rsid w:val="00256255"/>
    <w:rsid w:val="00256288"/>
    <w:rsid w:val="0025646B"/>
    <w:rsid w:val="00256562"/>
    <w:rsid w:val="0025658C"/>
    <w:rsid w:val="00256617"/>
    <w:rsid w:val="0025688B"/>
    <w:rsid w:val="00256935"/>
    <w:rsid w:val="002569E7"/>
    <w:rsid w:val="00256A3E"/>
    <w:rsid w:val="00256ABB"/>
    <w:rsid w:val="00256AE6"/>
    <w:rsid w:val="00256DA2"/>
    <w:rsid w:val="00256F2A"/>
    <w:rsid w:val="00256F3B"/>
    <w:rsid w:val="00256F66"/>
    <w:rsid w:val="0025724D"/>
    <w:rsid w:val="002572D8"/>
    <w:rsid w:val="002573D7"/>
    <w:rsid w:val="002574FB"/>
    <w:rsid w:val="002575E9"/>
    <w:rsid w:val="0025784D"/>
    <w:rsid w:val="00257A18"/>
    <w:rsid w:val="00257A4F"/>
    <w:rsid w:val="00257ACB"/>
    <w:rsid w:val="00257E0D"/>
    <w:rsid w:val="00257E92"/>
    <w:rsid w:val="00257EA2"/>
    <w:rsid w:val="00257ED2"/>
    <w:rsid w:val="00257ED3"/>
    <w:rsid w:val="00257F5F"/>
    <w:rsid w:val="0026016C"/>
    <w:rsid w:val="002602E8"/>
    <w:rsid w:val="00260401"/>
    <w:rsid w:val="00260757"/>
    <w:rsid w:val="00260888"/>
    <w:rsid w:val="0026093C"/>
    <w:rsid w:val="00260959"/>
    <w:rsid w:val="00260A55"/>
    <w:rsid w:val="00260A56"/>
    <w:rsid w:val="00260A75"/>
    <w:rsid w:val="00260BD1"/>
    <w:rsid w:val="00260CC8"/>
    <w:rsid w:val="00260DA7"/>
    <w:rsid w:val="00260E5B"/>
    <w:rsid w:val="00260ECE"/>
    <w:rsid w:val="00260EE2"/>
    <w:rsid w:val="0026107D"/>
    <w:rsid w:val="002611FD"/>
    <w:rsid w:val="002612BC"/>
    <w:rsid w:val="00261452"/>
    <w:rsid w:val="0026145E"/>
    <w:rsid w:val="0026150A"/>
    <w:rsid w:val="002616C9"/>
    <w:rsid w:val="00261914"/>
    <w:rsid w:val="002619A3"/>
    <w:rsid w:val="00261A10"/>
    <w:rsid w:val="00261DD1"/>
    <w:rsid w:val="002620D9"/>
    <w:rsid w:val="0026218A"/>
    <w:rsid w:val="0026227A"/>
    <w:rsid w:val="002622C8"/>
    <w:rsid w:val="002623CC"/>
    <w:rsid w:val="00262439"/>
    <w:rsid w:val="0026244A"/>
    <w:rsid w:val="00262543"/>
    <w:rsid w:val="0026260D"/>
    <w:rsid w:val="00262670"/>
    <w:rsid w:val="0026278E"/>
    <w:rsid w:val="00262892"/>
    <w:rsid w:val="002629EC"/>
    <w:rsid w:val="002629FE"/>
    <w:rsid w:val="00262A68"/>
    <w:rsid w:val="00262B27"/>
    <w:rsid w:val="00262B79"/>
    <w:rsid w:val="00262EBA"/>
    <w:rsid w:val="00262F30"/>
    <w:rsid w:val="00262F92"/>
    <w:rsid w:val="00262FA5"/>
    <w:rsid w:val="002630E5"/>
    <w:rsid w:val="00263122"/>
    <w:rsid w:val="002631CD"/>
    <w:rsid w:val="002633BE"/>
    <w:rsid w:val="002633F9"/>
    <w:rsid w:val="0026375E"/>
    <w:rsid w:val="00263791"/>
    <w:rsid w:val="00263829"/>
    <w:rsid w:val="00263863"/>
    <w:rsid w:val="0026389C"/>
    <w:rsid w:val="002638ED"/>
    <w:rsid w:val="00263A70"/>
    <w:rsid w:val="00263B3D"/>
    <w:rsid w:val="00263E27"/>
    <w:rsid w:val="00263E41"/>
    <w:rsid w:val="00263F05"/>
    <w:rsid w:val="00264237"/>
    <w:rsid w:val="0026429E"/>
    <w:rsid w:val="00264315"/>
    <w:rsid w:val="00264406"/>
    <w:rsid w:val="002646C7"/>
    <w:rsid w:val="0026476F"/>
    <w:rsid w:val="002647A5"/>
    <w:rsid w:val="00264859"/>
    <w:rsid w:val="002649D5"/>
    <w:rsid w:val="00264A25"/>
    <w:rsid w:val="00264D5D"/>
    <w:rsid w:val="00264E9E"/>
    <w:rsid w:val="00264ECC"/>
    <w:rsid w:val="00264ED9"/>
    <w:rsid w:val="00264FC8"/>
    <w:rsid w:val="0026500C"/>
    <w:rsid w:val="002650D0"/>
    <w:rsid w:val="0026518E"/>
    <w:rsid w:val="00265327"/>
    <w:rsid w:val="0026534E"/>
    <w:rsid w:val="00265414"/>
    <w:rsid w:val="002654D0"/>
    <w:rsid w:val="002655E5"/>
    <w:rsid w:val="0026574B"/>
    <w:rsid w:val="002658A1"/>
    <w:rsid w:val="00265EEE"/>
    <w:rsid w:val="00265F0E"/>
    <w:rsid w:val="0026616C"/>
    <w:rsid w:val="0026618F"/>
    <w:rsid w:val="00266199"/>
    <w:rsid w:val="0026627D"/>
    <w:rsid w:val="0026629D"/>
    <w:rsid w:val="00266559"/>
    <w:rsid w:val="00266777"/>
    <w:rsid w:val="00266BA4"/>
    <w:rsid w:val="00266C21"/>
    <w:rsid w:val="00266C3F"/>
    <w:rsid w:val="00266D55"/>
    <w:rsid w:val="00266E14"/>
    <w:rsid w:val="00267064"/>
    <w:rsid w:val="00267127"/>
    <w:rsid w:val="002671E9"/>
    <w:rsid w:val="0026720E"/>
    <w:rsid w:val="0026737F"/>
    <w:rsid w:val="00267515"/>
    <w:rsid w:val="002676AC"/>
    <w:rsid w:val="0026777E"/>
    <w:rsid w:val="002677B7"/>
    <w:rsid w:val="00267A46"/>
    <w:rsid w:val="00267C17"/>
    <w:rsid w:val="00267C75"/>
    <w:rsid w:val="00267E3E"/>
    <w:rsid w:val="00267E5A"/>
    <w:rsid w:val="00267EA8"/>
    <w:rsid w:val="00267FD3"/>
    <w:rsid w:val="002701B4"/>
    <w:rsid w:val="002702C2"/>
    <w:rsid w:val="0027044D"/>
    <w:rsid w:val="002705EB"/>
    <w:rsid w:val="002707A5"/>
    <w:rsid w:val="00270870"/>
    <w:rsid w:val="00270901"/>
    <w:rsid w:val="00270AF7"/>
    <w:rsid w:val="00270B4F"/>
    <w:rsid w:val="00270C83"/>
    <w:rsid w:val="00270D80"/>
    <w:rsid w:val="00270F14"/>
    <w:rsid w:val="00270F24"/>
    <w:rsid w:val="00270F45"/>
    <w:rsid w:val="00270F8B"/>
    <w:rsid w:val="00271024"/>
    <w:rsid w:val="00271037"/>
    <w:rsid w:val="00271128"/>
    <w:rsid w:val="0027116E"/>
    <w:rsid w:val="002711AA"/>
    <w:rsid w:val="00271274"/>
    <w:rsid w:val="00271376"/>
    <w:rsid w:val="002713FB"/>
    <w:rsid w:val="002714D1"/>
    <w:rsid w:val="002715CE"/>
    <w:rsid w:val="002715E7"/>
    <w:rsid w:val="002716F7"/>
    <w:rsid w:val="002719F2"/>
    <w:rsid w:val="00271AC9"/>
    <w:rsid w:val="00271B6A"/>
    <w:rsid w:val="00271D51"/>
    <w:rsid w:val="00271D9E"/>
    <w:rsid w:val="00271E92"/>
    <w:rsid w:val="002725FA"/>
    <w:rsid w:val="00272894"/>
    <w:rsid w:val="002728F0"/>
    <w:rsid w:val="002729B9"/>
    <w:rsid w:val="00272B6B"/>
    <w:rsid w:val="00272B7D"/>
    <w:rsid w:val="00272BD6"/>
    <w:rsid w:val="00272CC8"/>
    <w:rsid w:val="00272CF0"/>
    <w:rsid w:val="0027307B"/>
    <w:rsid w:val="002730B7"/>
    <w:rsid w:val="002732B6"/>
    <w:rsid w:val="0027350E"/>
    <w:rsid w:val="00273550"/>
    <w:rsid w:val="00273775"/>
    <w:rsid w:val="00273905"/>
    <w:rsid w:val="00273A12"/>
    <w:rsid w:val="00273B15"/>
    <w:rsid w:val="00273C0D"/>
    <w:rsid w:val="00273CE4"/>
    <w:rsid w:val="00273D29"/>
    <w:rsid w:val="00273DDF"/>
    <w:rsid w:val="00273F14"/>
    <w:rsid w:val="00274847"/>
    <w:rsid w:val="0027484B"/>
    <w:rsid w:val="00274950"/>
    <w:rsid w:val="00274A2B"/>
    <w:rsid w:val="00274ACE"/>
    <w:rsid w:val="00274B19"/>
    <w:rsid w:val="00274B34"/>
    <w:rsid w:val="00274BAD"/>
    <w:rsid w:val="00274CFF"/>
    <w:rsid w:val="00274F9F"/>
    <w:rsid w:val="002751EB"/>
    <w:rsid w:val="00275403"/>
    <w:rsid w:val="00275587"/>
    <w:rsid w:val="0027562E"/>
    <w:rsid w:val="0027566E"/>
    <w:rsid w:val="00275732"/>
    <w:rsid w:val="00275749"/>
    <w:rsid w:val="002757DB"/>
    <w:rsid w:val="002757E5"/>
    <w:rsid w:val="00275814"/>
    <w:rsid w:val="00275978"/>
    <w:rsid w:val="00275B05"/>
    <w:rsid w:val="00275B07"/>
    <w:rsid w:val="00275BF9"/>
    <w:rsid w:val="00275BFA"/>
    <w:rsid w:val="00275C5D"/>
    <w:rsid w:val="00275E88"/>
    <w:rsid w:val="00275F52"/>
    <w:rsid w:val="00275F72"/>
    <w:rsid w:val="00275FB7"/>
    <w:rsid w:val="00276047"/>
    <w:rsid w:val="0027604C"/>
    <w:rsid w:val="002760A5"/>
    <w:rsid w:val="0027610F"/>
    <w:rsid w:val="00276119"/>
    <w:rsid w:val="00276131"/>
    <w:rsid w:val="0027615E"/>
    <w:rsid w:val="00276184"/>
    <w:rsid w:val="0027621E"/>
    <w:rsid w:val="002764DE"/>
    <w:rsid w:val="00276505"/>
    <w:rsid w:val="0027653E"/>
    <w:rsid w:val="0027663D"/>
    <w:rsid w:val="002766F3"/>
    <w:rsid w:val="00276769"/>
    <w:rsid w:val="002768DD"/>
    <w:rsid w:val="0027692A"/>
    <w:rsid w:val="00276AA7"/>
    <w:rsid w:val="00276BE0"/>
    <w:rsid w:val="00276C20"/>
    <w:rsid w:val="00276CF5"/>
    <w:rsid w:val="00276D30"/>
    <w:rsid w:val="00276DC8"/>
    <w:rsid w:val="00276E19"/>
    <w:rsid w:val="00276E80"/>
    <w:rsid w:val="00276F00"/>
    <w:rsid w:val="00276FF5"/>
    <w:rsid w:val="00277367"/>
    <w:rsid w:val="00277451"/>
    <w:rsid w:val="0027748C"/>
    <w:rsid w:val="002774D9"/>
    <w:rsid w:val="0027756E"/>
    <w:rsid w:val="00277573"/>
    <w:rsid w:val="0027760F"/>
    <w:rsid w:val="00277634"/>
    <w:rsid w:val="00277742"/>
    <w:rsid w:val="002777B9"/>
    <w:rsid w:val="002778DD"/>
    <w:rsid w:val="00277977"/>
    <w:rsid w:val="00277B3A"/>
    <w:rsid w:val="00277DBC"/>
    <w:rsid w:val="00277E21"/>
    <w:rsid w:val="00277F22"/>
    <w:rsid w:val="00280134"/>
    <w:rsid w:val="0028025C"/>
    <w:rsid w:val="002802E5"/>
    <w:rsid w:val="00280404"/>
    <w:rsid w:val="00280451"/>
    <w:rsid w:val="002804F1"/>
    <w:rsid w:val="00280536"/>
    <w:rsid w:val="002806F2"/>
    <w:rsid w:val="00280741"/>
    <w:rsid w:val="00280863"/>
    <w:rsid w:val="00280986"/>
    <w:rsid w:val="00280A56"/>
    <w:rsid w:val="00280B05"/>
    <w:rsid w:val="00280DE5"/>
    <w:rsid w:val="00280E4F"/>
    <w:rsid w:val="00280F3D"/>
    <w:rsid w:val="002810AE"/>
    <w:rsid w:val="00281212"/>
    <w:rsid w:val="002813E8"/>
    <w:rsid w:val="002813F1"/>
    <w:rsid w:val="0028142B"/>
    <w:rsid w:val="00281632"/>
    <w:rsid w:val="002816D8"/>
    <w:rsid w:val="00281AF1"/>
    <w:rsid w:val="00281AF6"/>
    <w:rsid w:val="00281CC8"/>
    <w:rsid w:val="00281D00"/>
    <w:rsid w:val="00282022"/>
    <w:rsid w:val="0028210D"/>
    <w:rsid w:val="00282143"/>
    <w:rsid w:val="0028218C"/>
    <w:rsid w:val="00282288"/>
    <w:rsid w:val="0028228E"/>
    <w:rsid w:val="00282465"/>
    <w:rsid w:val="00282620"/>
    <w:rsid w:val="0028265D"/>
    <w:rsid w:val="00282727"/>
    <w:rsid w:val="00282869"/>
    <w:rsid w:val="00282895"/>
    <w:rsid w:val="00282930"/>
    <w:rsid w:val="0028298F"/>
    <w:rsid w:val="00282A35"/>
    <w:rsid w:val="00282AC4"/>
    <w:rsid w:val="00282C37"/>
    <w:rsid w:val="00282DA7"/>
    <w:rsid w:val="00282E61"/>
    <w:rsid w:val="00282F71"/>
    <w:rsid w:val="00282F90"/>
    <w:rsid w:val="002830E7"/>
    <w:rsid w:val="00283106"/>
    <w:rsid w:val="002832F1"/>
    <w:rsid w:val="00283322"/>
    <w:rsid w:val="0028338A"/>
    <w:rsid w:val="002834AB"/>
    <w:rsid w:val="00283587"/>
    <w:rsid w:val="00283820"/>
    <w:rsid w:val="002839B3"/>
    <w:rsid w:val="00283A6B"/>
    <w:rsid w:val="00283B7B"/>
    <w:rsid w:val="00283C21"/>
    <w:rsid w:val="00283C29"/>
    <w:rsid w:val="00283D59"/>
    <w:rsid w:val="00283DB1"/>
    <w:rsid w:val="002840F7"/>
    <w:rsid w:val="00284259"/>
    <w:rsid w:val="0028428E"/>
    <w:rsid w:val="002843C9"/>
    <w:rsid w:val="00284457"/>
    <w:rsid w:val="002846EA"/>
    <w:rsid w:val="00284714"/>
    <w:rsid w:val="00284738"/>
    <w:rsid w:val="0028478E"/>
    <w:rsid w:val="002847A9"/>
    <w:rsid w:val="00284812"/>
    <w:rsid w:val="002848C2"/>
    <w:rsid w:val="002848FF"/>
    <w:rsid w:val="00284954"/>
    <w:rsid w:val="00284BA5"/>
    <w:rsid w:val="00284C54"/>
    <w:rsid w:val="00284D6F"/>
    <w:rsid w:val="00284D74"/>
    <w:rsid w:val="00284DCF"/>
    <w:rsid w:val="00284E96"/>
    <w:rsid w:val="00285133"/>
    <w:rsid w:val="002852A1"/>
    <w:rsid w:val="00285444"/>
    <w:rsid w:val="00285465"/>
    <w:rsid w:val="0028550B"/>
    <w:rsid w:val="00285649"/>
    <w:rsid w:val="00285819"/>
    <w:rsid w:val="00285859"/>
    <w:rsid w:val="0028596D"/>
    <w:rsid w:val="00285A57"/>
    <w:rsid w:val="00285B25"/>
    <w:rsid w:val="00285BB4"/>
    <w:rsid w:val="00285E06"/>
    <w:rsid w:val="00285F4B"/>
    <w:rsid w:val="00286033"/>
    <w:rsid w:val="002862CC"/>
    <w:rsid w:val="0028636F"/>
    <w:rsid w:val="002863DF"/>
    <w:rsid w:val="00286496"/>
    <w:rsid w:val="00286664"/>
    <w:rsid w:val="00286686"/>
    <w:rsid w:val="00286723"/>
    <w:rsid w:val="002869D3"/>
    <w:rsid w:val="00286A07"/>
    <w:rsid w:val="00286AFB"/>
    <w:rsid w:val="002870E2"/>
    <w:rsid w:val="0028719F"/>
    <w:rsid w:val="002872A1"/>
    <w:rsid w:val="00287337"/>
    <w:rsid w:val="002873BB"/>
    <w:rsid w:val="0028762B"/>
    <w:rsid w:val="00287738"/>
    <w:rsid w:val="002878A3"/>
    <w:rsid w:val="002878AE"/>
    <w:rsid w:val="00287965"/>
    <w:rsid w:val="00287A9B"/>
    <w:rsid w:val="00287B14"/>
    <w:rsid w:val="00287B21"/>
    <w:rsid w:val="00287BEB"/>
    <w:rsid w:val="00287EA0"/>
    <w:rsid w:val="00287F9A"/>
    <w:rsid w:val="00290181"/>
    <w:rsid w:val="00290250"/>
    <w:rsid w:val="0029029C"/>
    <w:rsid w:val="0029029E"/>
    <w:rsid w:val="00290438"/>
    <w:rsid w:val="00290738"/>
    <w:rsid w:val="0029083A"/>
    <w:rsid w:val="002908A8"/>
    <w:rsid w:val="002909CF"/>
    <w:rsid w:val="00290A2E"/>
    <w:rsid w:val="00290A44"/>
    <w:rsid w:val="00290BF3"/>
    <w:rsid w:val="00290EF2"/>
    <w:rsid w:val="002911A7"/>
    <w:rsid w:val="002911FF"/>
    <w:rsid w:val="00291215"/>
    <w:rsid w:val="00291261"/>
    <w:rsid w:val="0029127D"/>
    <w:rsid w:val="002912B7"/>
    <w:rsid w:val="002913C0"/>
    <w:rsid w:val="0029152E"/>
    <w:rsid w:val="00291850"/>
    <w:rsid w:val="0029195C"/>
    <w:rsid w:val="00291A19"/>
    <w:rsid w:val="00291A9D"/>
    <w:rsid w:val="00291CD0"/>
    <w:rsid w:val="00291D9A"/>
    <w:rsid w:val="00291E49"/>
    <w:rsid w:val="00291EB0"/>
    <w:rsid w:val="00291EF4"/>
    <w:rsid w:val="00291FD1"/>
    <w:rsid w:val="0029200D"/>
    <w:rsid w:val="0029207D"/>
    <w:rsid w:val="002923FE"/>
    <w:rsid w:val="00292574"/>
    <w:rsid w:val="00292654"/>
    <w:rsid w:val="00292655"/>
    <w:rsid w:val="002926B4"/>
    <w:rsid w:val="002927E2"/>
    <w:rsid w:val="0029280C"/>
    <w:rsid w:val="00292813"/>
    <w:rsid w:val="00292873"/>
    <w:rsid w:val="002928C4"/>
    <w:rsid w:val="002929A4"/>
    <w:rsid w:val="00292C7E"/>
    <w:rsid w:val="00292CD2"/>
    <w:rsid w:val="00292D0D"/>
    <w:rsid w:val="00292D15"/>
    <w:rsid w:val="00292F0C"/>
    <w:rsid w:val="00293002"/>
    <w:rsid w:val="00293124"/>
    <w:rsid w:val="0029319D"/>
    <w:rsid w:val="002938E5"/>
    <w:rsid w:val="00293961"/>
    <w:rsid w:val="00293B0D"/>
    <w:rsid w:val="00293B6E"/>
    <w:rsid w:val="00293CC2"/>
    <w:rsid w:val="00293D73"/>
    <w:rsid w:val="00293D7F"/>
    <w:rsid w:val="00293D8F"/>
    <w:rsid w:val="00293E1C"/>
    <w:rsid w:val="00293EE1"/>
    <w:rsid w:val="0029422F"/>
    <w:rsid w:val="0029426E"/>
    <w:rsid w:val="002942D4"/>
    <w:rsid w:val="0029434D"/>
    <w:rsid w:val="002943CC"/>
    <w:rsid w:val="0029464C"/>
    <w:rsid w:val="0029471D"/>
    <w:rsid w:val="0029473A"/>
    <w:rsid w:val="00294890"/>
    <w:rsid w:val="00294927"/>
    <w:rsid w:val="00294A06"/>
    <w:rsid w:val="00294AA5"/>
    <w:rsid w:val="00294ABE"/>
    <w:rsid w:val="00294AE8"/>
    <w:rsid w:val="00294EC9"/>
    <w:rsid w:val="00294F52"/>
    <w:rsid w:val="00295082"/>
    <w:rsid w:val="00295083"/>
    <w:rsid w:val="00295084"/>
    <w:rsid w:val="0029514A"/>
    <w:rsid w:val="002952B2"/>
    <w:rsid w:val="002953B0"/>
    <w:rsid w:val="00295555"/>
    <w:rsid w:val="002955D0"/>
    <w:rsid w:val="002956AB"/>
    <w:rsid w:val="0029571C"/>
    <w:rsid w:val="0029585A"/>
    <w:rsid w:val="0029585D"/>
    <w:rsid w:val="002958DB"/>
    <w:rsid w:val="00295962"/>
    <w:rsid w:val="00295DA2"/>
    <w:rsid w:val="00295EFB"/>
    <w:rsid w:val="002961F3"/>
    <w:rsid w:val="002961F7"/>
    <w:rsid w:val="00296273"/>
    <w:rsid w:val="002962A9"/>
    <w:rsid w:val="002962D8"/>
    <w:rsid w:val="00296335"/>
    <w:rsid w:val="0029635A"/>
    <w:rsid w:val="002963D6"/>
    <w:rsid w:val="00296444"/>
    <w:rsid w:val="00296618"/>
    <w:rsid w:val="0029662B"/>
    <w:rsid w:val="00296684"/>
    <w:rsid w:val="00296747"/>
    <w:rsid w:val="00296780"/>
    <w:rsid w:val="00296873"/>
    <w:rsid w:val="00296989"/>
    <w:rsid w:val="002969F0"/>
    <w:rsid w:val="00296A55"/>
    <w:rsid w:val="00296B0E"/>
    <w:rsid w:val="00296B29"/>
    <w:rsid w:val="00296B5A"/>
    <w:rsid w:val="00296B81"/>
    <w:rsid w:val="00296C36"/>
    <w:rsid w:val="00296CD8"/>
    <w:rsid w:val="00296E21"/>
    <w:rsid w:val="00296E31"/>
    <w:rsid w:val="00296EB8"/>
    <w:rsid w:val="00296F56"/>
    <w:rsid w:val="00296F90"/>
    <w:rsid w:val="00297022"/>
    <w:rsid w:val="002970B6"/>
    <w:rsid w:val="0029717A"/>
    <w:rsid w:val="0029728E"/>
    <w:rsid w:val="00297310"/>
    <w:rsid w:val="002973E2"/>
    <w:rsid w:val="0029783F"/>
    <w:rsid w:val="00297ADF"/>
    <w:rsid w:val="00297BC6"/>
    <w:rsid w:val="00297CA9"/>
    <w:rsid w:val="00297D52"/>
    <w:rsid w:val="00297D6E"/>
    <w:rsid w:val="00297D84"/>
    <w:rsid w:val="00297FC5"/>
    <w:rsid w:val="002A00D2"/>
    <w:rsid w:val="002A0158"/>
    <w:rsid w:val="002A01CD"/>
    <w:rsid w:val="002A02AE"/>
    <w:rsid w:val="002A0493"/>
    <w:rsid w:val="002A0519"/>
    <w:rsid w:val="002A06E4"/>
    <w:rsid w:val="002A07C6"/>
    <w:rsid w:val="002A07F3"/>
    <w:rsid w:val="002A0942"/>
    <w:rsid w:val="002A0B70"/>
    <w:rsid w:val="002A1182"/>
    <w:rsid w:val="002A11E8"/>
    <w:rsid w:val="002A1213"/>
    <w:rsid w:val="002A1322"/>
    <w:rsid w:val="002A136F"/>
    <w:rsid w:val="002A1451"/>
    <w:rsid w:val="002A145E"/>
    <w:rsid w:val="002A15EC"/>
    <w:rsid w:val="002A163D"/>
    <w:rsid w:val="002A165E"/>
    <w:rsid w:val="002A1ABD"/>
    <w:rsid w:val="002A1B9A"/>
    <w:rsid w:val="002A209E"/>
    <w:rsid w:val="002A222C"/>
    <w:rsid w:val="002A22C2"/>
    <w:rsid w:val="002A23B8"/>
    <w:rsid w:val="002A23EA"/>
    <w:rsid w:val="002A244A"/>
    <w:rsid w:val="002A248C"/>
    <w:rsid w:val="002A2543"/>
    <w:rsid w:val="002A259B"/>
    <w:rsid w:val="002A2C9A"/>
    <w:rsid w:val="002A2D8B"/>
    <w:rsid w:val="002A3206"/>
    <w:rsid w:val="002A324C"/>
    <w:rsid w:val="002A327A"/>
    <w:rsid w:val="002A3681"/>
    <w:rsid w:val="002A388B"/>
    <w:rsid w:val="002A38BA"/>
    <w:rsid w:val="002A38D1"/>
    <w:rsid w:val="002A3A5A"/>
    <w:rsid w:val="002A3A65"/>
    <w:rsid w:val="002A3B76"/>
    <w:rsid w:val="002A3C26"/>
    <w:rsid w:val="002A3C6F"/>
    <w:rsid w:val="002A3CCE"/>
    <w:rsid w:val="002A3EE7"/>
    <w:rsid w:val="002A40C4"/>
    <w:rsid w:val="002A4179"/>
    <w:rsid w:val="002A418A"/>
    <w:rsid w:val="002A4312"/>
    <w:rsid w:val="002A43B1"/>
    <w:rsid w:val="002A4458"/>
    <w:rsid w:val="002A447B"/>
    <w:rsid w:val="002A4501"/>
    <w:rsid w:val="002A4737"/>
    <w:rsid w:val="002A4770"/>
    <w:rsid w:val="002A4812"/>
    <w:rsid w:val="002A481C"/>
    <w:rsid w:val="002A48F7"/>
    <w:rsid w:val="002A4912"/>
    <w:rsid w:val="002A49E7"/>
    <w:rsid w:val="002A4A33"/>
    <w:rsid w:val="002A4B70"/>
    <w:rsid w:val="002A4DDE"/>
    <w:rsid w:val="002A4E11"/>
    <w:rsid w:val="002A4E5B"/>
    <w:rsid w:val="002A5220"/>
    <w:rsid w:val="002A529C"/>
    <w:rsid w:val="002A5324"/>
    <w:rsid w:val="002A535B"/>
    <w:rsid w:val="002A5368"/>
    <w:rsid w:val="002A550F"/>
    <w:rsid w:val="002A55BC"/>
    <w:rsid w:val="002A574C"/>
    <w:rsid w:val="002A59AA"/>
    <w:rsid w:val="002A5C5B"/>
    <w:rsid w:val="002A602B"/>
    <w:rsid w:val="002A6053"/>
    <w:rsid w:val="002A60B3"/>
    <w:rsid w:val="002A6136"/>
    <w:rsid w:val="002A6223"/>
    <w:rsid w:val="002A62A0"/>
    <w:rsid w:val="002A62E1"/>
    <w:rsid w:val="002A6343"/>
    <w:rsid w:val="002A6398"/>
    <w:rsid w:val="002A6467"/>
    <w:rsid w:val="002A64B1"/>
    <w:rsid w:val="002A64F0"/>
    <w:rsid w:val="002A65FB"/>
    <w:rsid w:val="002A673C"/>
    <w:rsid w:val="002A6762"/>
    <w:rsid w:val="002A67F4"/>
    <w:rsid w:val="002A6A00"/>
    <w:rsid w:val="002A6A39"/>
    <w:rsid w:val="002A6AC7"/>
    <w:rsid w:val="002A6D54"/>
    <w:rsid w:val="002A6D8F"/>
    <w:rsid w:val="002A6E8C"/>
    <w:rsid w:val="002A6F52"/>
    <w:rsid w:val="002A6F81"/>
    <w:rsid w:val="002A6F96"/>
    <w:rsid w:val="002A700B"/>
    <w:rsid w:val="002A70BE"/>
    <w:rsid w:val="002A7192"/>
    <w:rsid w:val="002A7232"/>
    <w:rsid w:val="002A7295"/>
    <w:rsid w:val="002A7334"/>
    <w:rsid w:val="002A755C"/>
    <w:rsid w:val="002A7A6B"/>
    <w:rsid w:val="002A7BD9"/>
    <w:rsid w:val="002A7C36"/>
    <w:rsid w:val="002A7DD7"/>
    <w:rsid w:val="002A7E95"/>
    <w:rsid w:val="002A7EE0"/>
    <w:rsid w:val="002AEE72"/>
    <w:rsid w:val="002B0110"/>
    <w:rsid w:val="002B015D"/>
    <w:rsid w:val="002B02DE"/>
    <w:rsid w:val="002B034F"/>
    <w:rsid w:val="002B037F"/>
    <w:rsid w:val="002B04BE"/>
    <w:rsid w:val="002B065A"/>
    <w:rsid w:val="002B078E"/>
    <w:rsid w:val="002B093B"/>
    <w:rsid w:val="002B09FE"/>
    <w:rsid w:val="002B0C83"/>
    <w:rsid w:val="002B0E30"/>
    <w:rsid w:val="002B1384"/>
    <w:rsid w:val="002B1463"/>
    <w:rsid w:val="002B14D1"/>
    <w:rsid w:val="002B15D1"/>
    <w:rsid w:val="002B16BC"/>
    <w:rsid w:val="002B17F7"/>
    <w:rsid w:val="002B1A0B"/>
    <w:rsid w:val="002B1A67"/>
    <w:rsid w:val="002B1A6D"/>
    <w:rsid w:val="002B1B6D"/>
    <w:rsid w:val="002B1C5D"/>
    <w:rsid w:val="002B1DA6"/>
    <w:rsid w:val="002B1DC1"/>
    <w:rsid w:val="002B1EBA"/>
    <w:rsid w:val="002B2237"/>
    <w:rsid w:val="002B226B"/>
    <w:rsid w:val="002B2295"/>
    <w:rsid w:val="002B2316"/>
    <w:rsid w:val="002B249E"/>
    <w:rsid w:val="002B25B1"/>
    <w:rsid w:val="002B283C"/>
    <w:rsid w:val="002B286A"/>
    <w:rsid w:val="002B29A3"/>
    <w:rsid w:val="002B29FA"/>
    <w:rsid w:val="002B2A61"/>
    <w:rsid w:val="002B2E11"/>
    <w:rsid w:val="002B2E90"/>
    <w:rsid w:val="002B2F29"/>
    <w:rsid w:val="002B2FB5"/>
    <w:rsid w:val="002B2FF9"/>
    <w:rsid w:val="002B3200"/>
    <w:rsid w:val="002B32D2"/>
    <w:rsid w:val="002B33C1"/>
    <w:rsid w:val="002B398C"/>
    <w:rsid w:val="002B3994"/>
    <w:rsid w:val="002B39D7"/>
    <w:rsid w:val="002B3A01"/>
    <w:rsid w:val="002B3A7E"/>
    <w:rsid w:val="002B3CB7"/>
    <w:rsid w:val="002B3F13"/>
    <w:rsid w:val="002B3F45"/>
    <w:rsid w:val="002B402A"/>
    <w:rsid w:val="002B403E"/>
    <w:rsid w:val="002B4056"/>
    <w:rsid w:val="002B4353"/>
    <w:rsid w:val="002B43D0"/>
    <w:rsid w:val="002B461A"/>
    <w:rsid w:val="002B465E"/>
    <w:rsid w:val="002B47CC"/>
    <w:rsid w:val="002B4849"/>
    <w:rsid w:val="002B4FA2"/>
    <w:rsid w:val="002B5202"/>
    <w:rsid w:val="002B5242"/>
    <w:rsid w:val="002B525D"/>
    <w:rsid w:val="002B538F"/>
    <w:rsid w:val="002B5589"/>
    <w:rsid w:val="002B58C7"/>
    <w:rsid w:val="002B58D1"/>
    <w:rsid w:val="002B5A3D"/>
    <w:rsid w:val="002B5ACD"/>
    <w:rsid w:val="002B5BF8"/>
    <w:rsid w:val="002B5C67"/>
    <w:rsid w:val="002B5D35"/>
    <w:rsid w:val="002B5EA7"/>
    <w:rsid w:val="002B5F42"/>
    <w:rsid w:val="002B6298"/>
    <w:rsid w:val="002B6364"/>
    <w:rsid w:val="002B636F"/>
    <w:rsid w:val="002B6514"/>
    <w:rsid w:val="002B65B6"/>
    <w:rsid w:val="002B684C"/>
    <w:rsid w:val="002B6C42"/>
    <w:rsid w:val="002B6D50"/>
    <w:rsid w:val="002B6D96"/>
    <w:rsid w:val="002B6E2B"/>
    <w:rsid w:val="002B6ECA"/>
    <w:rsid w:val="002B6FA2"/>
    <w:rsid w:val="002B716A"/>
    <w:rsid w:val="002B72D4"/>
    <w:rsid w:val="002B7476"/>
    <w:rsid w:val="002B773F"/>
    <w:rsid w:val="002B7884"/>
    <w:rsid w:val="002B7C8A"/>
    <w:rsid w:val="002B7D4E"/>
    <w:rsid w:val="002B7F7A"/>
    <w:rsid w:val="002C0018"/>
    <w:rsid w:val="002C0060"/>
    <w:rsid w:val="002C017E"/>
    <w:rsid w:val="002C018E"/>
    <w:rsid w:val="002C0193"/>
    <w:rsid w:val="002C0449"/>
    <w:rsid w:val="002C0515"/>
    <w:rsid w:val="002C05BE"/>
    <w:rsid w:val="002C05E8"/>
    <w:rsid w:val="002C0689"/>
    <w:rsid w:val="002C07B1"/>
    <w:rsid w:val="002C0824"/>
    <w:rsid w:val="002C0864"/>
    <w:rsid w:val="002C0A10"/>
    <w:rsid w:val="002C0B3D"/>
    <w:rsid w:val="002C0D0F"/>
    <w:rsid w:val="002C0DA0"/>
    <w:rsid w:val="002C0EBC"/>
    <w:rsid w:val="002C1019"/>
    <w:rsid w:val="002C121E"/>
    <w:rsid w:val="002C1355"/>
    <w:rsid w:val="002C13E7"/>
    <w:rsid w:val="002C14DA"/>
    <w:rsid w:val="002C14E2"/>
    <w:rsid w:val="002C1643"/>
    <w:rsid w:val="002C1644"/>
    <w:rsid w:val="002C16A5"/>
    <w:rsid w:val="002C16E1"/>
    <w:rsid w:val="002C178A"/>
    <w:rsid w:val="002C1B3F"/>
    <w:rsid w:val="002C1B8E"/>
    <w:rsid w:val="002C1BD0"/>
    <w:rsid w:val="002C1DE2"/>
    <w:rsid w:val="002C1E68"/>
    <w:rsid w:val="002C1FBA"/>
    <w:rsid w:val="002C2053"/>
    <w:rsid w:val="002C20EB"/>
    <w:rsid w:val="002C214E"/>
    <w:rsid w:val="002C23FF"/>
    <w:rsid w:val="002C2583"/>
    <w:rsid w:val="002C25B3"/>
    <w:rsid w:val="002C2602"/>
    <w:rsid w:val="002C2657"/>
    <w:rsid w:val="002C279A"/>
    <w:rsid w:val="002C29ED"/>
    <w:rsid w:val="002C2DCC"/>
    <w:rsid w:val="002C2DF2"/>
    <w:rsid w:val="002C2E3E"/>
    <w:rsid w:val="002C2F24"/>
    <w:rsid w:val="002C31B9"/>
    <w:rsid w:val="002C3226"/>
    <w:rsid w:val="002C3283"/>
    <w:rsid w:val="002C32E5"/>
    <w:rsid w:val="002C3390"/>
    <w:rsid w:val="002C340E"/>
    <w:rsid w:val="002C3426"/>
    <w:rsid w:val="002C35BB"/>
    <w:rsid w:val="002C3823"/>
    <w:rsid w:val="002C3893"/>
    <w:rsid w:val="002C391A"/>
    <w:rsid w:val="002C397B"/>
    <w:rsid w:val="002C3FED"/>
    <w:rsid w:val="002C405A"/>
    <w:rsid w:val="002C4148"/>
    <w:rsid w:val="002C4225"/>
    <w:rsid w:val="002C4323"/>
    <w:rsid w:val="002C4416"/>
    <w:rsid w:val="002C4518"/>
    <w:rsid w:val="002C4554"/>
    <w:rsid w:val="002C4673"/>
    <w:rsid w:val="002C47B2"/>
    <w:rsid w:val="002C47B4"/>
    <w:rsid w:val="002C47E9"/>
    <w:rsid w:val="002C4A31"/>
    <w:rsid w:val="002C4B47"/>
    <w:rsid w:val="002C4B62"/>
    <w:rsid w:val="002C4CB4"/>
    <w:rsid w:val="002C4F7A"/>
    <w:rsid w:val="002C4FA7"/>
    <w:rsid w:val="002C50A3"/>
    <w:rsid w:val="002C516A"/>
    <w:rsid w:val="002C528C"/>
    <w:rsid w:val="002C5290"/>
    <w:rsid w:val="002C54A3"/>
    <w:rsid w:val="002C54EA"/>
    <w:rsid w:val="002C5597"/>
    <w:rsid w:val="002C5736"/>
    <w:rsid w:val="002C57F7"/>
    <w:rsid w:val="002C5934"/>
    <w:rsid w:val="002C59D5"/>
    <w:rsid w:val="002C5A24"/>
    <w:rsid w:val="002C5B3F"/>
    <w:rsid w:val="002C5C3E"/>
    <w:rsid w:val="002C5CB4"/>
    <w:rsid w:val="002C5CEA"/>
    <w:rsid w:val="002C6028"/>
    <w:rsid w:val="002C6162"/>
    <w:rsid w:val="002C6194"/>
    <w:rsid w:val="002C62DE"/>
    <w:rsid w:val="002C63AD"/>
    <w:rsid w:val="002C655E"/>
    <w:rsid w:val="002C6769"/>
    <w:rsid w:val="002C6796"/>
    <w:rsid w:val="002C6864"/>
    <w:rsid w:val="002C6BAB"/>
    <w:rsid w:val="002C7079"/>
    <w:rsid w:val="002C720C"/>
    <w:rsid w:val="002C7600"/>
    <w:rsid w:val="002C7691"/>
    <w:rsid w:val="002C77A4"/>
    <w:rsid w:val="002C78C8"/>
    <w:rsid w:val="002C7988"/>
    <w:rsid w:val="002C7A5F"/>
    <w:rsid w:val="002C7C85"/>
    <w:rsid w:val="002C7E21"/>
    <w:rsid w:val="002C7E89"/>
    <w:rsid w:val="002C7E91"/>
    <w:rsid w:val="002C7E9D"/>
    <w:rsid w:val="002C7EBF"/>
    <w:rsid w:val="002C7F90"/>
    <w:rsid w:val="002D0139"/>
    <w:rsid w:val="002D04E4"/>
    <w:rsid w:val="002D06D3"/>
    <w:rsid w:val="002D0898"/>
    <w:rsid w:val="002D08E2"/>
    <w:rsid w:val="002D0B54"/>
    <w:rsid w:val="002D0C9A"/>
    <w:rsid w:val="002D0CB5"/>
    <w:rsid w:val="002D0D45"/>
    <w:rsid w:val="002D0EDD"/>
    <w:rsid w:val="002D0F0A"/>
    <w:rsid w:val="002D11DC"/>
    <w:rsid w:val="002D1252"/>
    <w:rsid w:val="002D1269"/>
    <w:rsid w:val="002D1288"/>
    <w:rsid w:val="002D134E"/>
    <w:rsid w:val="002D136A"/>
    <w:rsid w:val="002D13AF"/>
    <w:rsid w:val="002D13C0"/>
    <w:rsid w:val="002D15BC"/>
    <w:rsid w:val="002D1642"/>
    <w:rsid w:val="002D179D"/>
    <w:rsid w:val="002D17B9"/>
    <w:rsid w:val="002D1834"/>
    <w:rsid w:val="002D1BC9"/>
    <w:rsid w:val="002D1C09"/>
    <w:rsid w:val="002D1D6D"/>
    <w:rsid w:val="002D210A"/>
    <w:rsid w:val="002D23C6"/>
    <w:rsid w:val="002D249B"/>
    <w:rsid w:val="002D2540"/>
    <w:rsid w:val="002D259C"/>
    <w:rsid w:val="002D2960"/>
    <w:rsid w:val="002D2A11"/>
    <w:rsid w:val="002D2C75"/>
    <w:rsid w:val="002D2CCA"/>
    <w:rsid w:val="002D2CD0"/>
    <w:rsid w:val="002D2CD7"/>
    <w:rsid w:val="002D2E0E"/>
    <w:rsid w:val="002D2F3F"/>
    <w:rsid w:val="002D2F66"/>
    <w:rsid w:val="002D2FEC"/>
    <w:rsid w:val="002D30AC"/>
    <w:rsid w:val="002D3112"/>
    <w:rsid w:val="002D3120"/>
    <w:rsid w:val="002D3135"/>
    <w:rsid w:val="002D3145"/>
    <w:rsid w:val="002D325B"/>
    <w:rsid w:val="002D353E"/>
    <w:rsid w:val="002D376B"/>
    <w:rsid w:val="002D37FA"/>
    <w:rsid w:val="002D38B5"/>
    <w:rsid w:val="002D397B"/>
    <w:rsid w:val="002D3A31"/>
    <w:rsid w:val="002D3B3C"/>
    <w:rsid w:val="002D3C4E"/>
    <w:rsid w:val="002D3DD0"/>
    <w:rsid w:val="002D3E72"/>
    <w:rsid w:val="002D3F6E"/>
    <w:rsid w:val="002D42CD"/>
    <w:rsid w:val="002D43E4"/>
    <w:rsid w:val="002D443B"/>
    <w:rsid w:val="002D45D2"/>
    <w:rsid w:val="002D46FE"/>
    <w:rsid w:val="002D48CA"/>
    <w:rsid w:val="002D4909"/>
    <w:rsid w:val="002D4A5A"/>
    <w:rsid w:val="002D4B1D"/>
    <w:rsid w:val="002D4B67"/>
    <w:rsid w:val="002D4BE5"/>
    <w:rsid w:val="002D4BF5"/>
    <w:rsid w:val="002D4C7A"/>
    <w:rsid w:val="002D4D80"/>
    <w:rsid w:val="002D4DC2"/>
    <w:rsid w:val="002D4E5A"/>
    <w:rsid w:val="002D4E85"/>
    <w:rsid w:val="002D4F72"/>
    <w:rsid w:val="002D4F89"/>
    <w:rsid w:val="002D4FCE"/>
    <w:rsid w:val="002D533F"/>
    <w:rsid w:val="002D5410"/>
    <w:rsid w:val="002D5634"/>
    <w:rsid w:val="002D57AC"/>
    <w:rsid w:val="002D5845"/>
    <w:rsid w:val="002D589A"/>
    <w:rsid w:val="002D59D4"/>
    <w:rsid w:val="002D5ADC"/>
    <w:rsid w:val="002D5B7A"/>
    <w:rsid w:val="002D5BB4"/>
    <w:rsid w:val="002D5C7C"/>
    <w:rsid w:val="002D5D4E"/>
    <w:rsid w:val="002D5E12"/>
    <w:rsid w:val="002D5E9C"/>
    <w:rsid w:val="002D5ED1"/>
    <w:rsid w:val="002D5F9A"/>
    <w:rsid w:val="002D6429"/>
    <w:rsid w:val="002D665F"/>
    <w:rsid w:val="002D6769"/>
    <w:rsid w:val="002D6879"/>
    <w:rsid w:val="002D68DF"/>
    <w:rsid w:val="002D6AE9"/>
    <w:rsid w:val="002D6B44"/>
    <w:rsid w:val="002D6C92"/>
    <w:rsid w:val="002D6D49"/>
    <w:rsid w:val="002D6D68"/>
    <w:rsid w:val="002D6E31"/>
    <w:rsid w:val="002D6E71"/>
    <w:rsid w:val="002D701B"/>
    <w:rsid w:val="002D7117"/>
    <w:rsid w:val="002D7222"/>
    <w:rsid w:val="002D7237"/>
    <w:rsid w:val="002D7314"/>
    <w:rsid w:val="002D7428"/>
    <w:rsid w:val="002D7443"/>
    <w:rsid w:val="002D744A"/>
    <w:rsid w:val="002D744F"/>
    <w:rsid w:val="002D768C"/>
    <w:rsid w:val="002D76A9"/>
    <w:rsid w:val="002D7830"/>
    <w:rsid w:val="002D789A"/>
    <w:rsid w:val="002D78BA"/>
    <w:rsid w:val="002D7A3A"/>
    <w:rsid w:val="002D7AB0"/>
    <w:rsid w:val="002D7B8E"/>
    <w:rsid w:val="002D7C2C"/>
    <w:rsid w:val="002D7CF0"/>
    <w:rsid w:val="002D7F72"/>
    <w:rsid w:val="002D7F91"/>
    <w:rsid w:val="002D7FAD"/>
    <w:rsid w:val="002D7FC8"/>
    <w:rsid w:val="002E032E"/>
    <w:rsid w:val="002E03CD"/>
    <w:rsid w:val="002E0453"/>
    <w:rsid w:val="002E05FD"/>
    <w:rsid w:val="002E0741"/>
    <w:rsid w:val="002E0873"/>
    <w:rsid w:val="002E09A5"/>
    <w:rsid w:val="002E0ABC"/>
    <w:rsid w:val="002E0BEF"/>
    <w:rsid w:val="002E0C04"/>
    <w:rsid w:val="002E0E3F"/>
    <w:rsid w:val="002E0E63"/>
    <w:rsid w:val="002E0F35"/>
    <w:rsid w:val="002E0FB6"/>
    <w:rsid w:val="002E0FE6"/>
    <w:rsid w:val="002E1305"/>
    <w:rsid w:val="002E154C"/>
    <w:rsid w:val="002E15AC"/>
    <w:rsid w:val="002E17B8"/>
    <w:rsid w:val="002E19B7"/>
    <w:rsid w:val="002E1B20"/>
    <w:rsid w:val="002E1C13"/>
    <w:rsid w:val="002E1C5C"/>
    <w:rsid w:val="002E1C82"/>
    <w:rsid w:val="002E1E37"/>
    <w:rsid w:val="002E204E"/>
    <w:rsid w:val="002E2127"/>
    <w:rsid w:val="002E218B"/>
    <w:rsid w:val="002E22E6"/>
    <w:rsid w:val="002E26C7"/>
    <w:rsid w:val="002E2712"/>
    <w:rsid w:val="002E2961"/>
    <w:rsid w:val="002E296F"/>
    <w:rsid w:val="002E2A59"/>
    <w:rsid w:val="002E2BFD"/>
    <w:rsid w:val="002E2D36"/>
    <w:rsid w:val="002E2FE5"/>
    <w:rsid w:val="002E3078"/>
    <w:rsid w:val="002E30E6"/>
    <w:rsid w:val="002E315D"/>
    <w:rsid w:val="002E31EF"/>
    <w:rsid w:val="002E321E"/>
    <w:rsid w:val="002E32A0"/>
    <w:rsid w:val="002E32E0"/>
    <w:rsid w:val="002E333E"/>
    <w:rsid w:val="002E33D4"/>
    <w:rsid w:val="002E3441"/>
    <w:rsid w:val="002E3454"/>
    <w:rsid w:val="002E348D"/>
    <w:rsid w:val="002E3703"/>
    <w:rsid w:val="002E3869"/>
    <w:rsid w:val="002E392E"/>
    <w:rsid w:val="002E394C"/>
    <w:rsid w:val="002E39AE"/>
    <w:rsid w:val="002E3A94"/>
    <w:rsid w:val="002E3C0D"/>
    <w:rsid w:val="002E3C3E"/>
    <w:rsid w:val="002E3CCA"/>
    <w:rsid w:val="002E3D53"/>
    <w:rsid w:val="002E3E43"/>
    <w:rsid w:val="002E3F03"/>
    <w:rsid w:val="002E3FF5"/>
    <w:rsid w:val="002E4111"/>
    <w:rsid w:val="002E4128"/>
    <w:rsid w:val="002E453C"/>
    <w:rsid w:val="002E4546"/>
    <w:rsid w:val="002E46D3"/>
    <w:rsid w:val="002E46F3"/>
    <w:rsid w:val="002E473D"/>
    <w:rsid w:val="002E477D"/>
    <w:rsid w:val="002E47C5"/>
    <w:rsid w:val="002E491A"/>
    <w:rsid w:val="002E4AA0"/>
    <w:rsid w:val="002E4BDD"/>
    <w:rsid w:val="002E4C16"/>
    <w:rsid w:val="002E4C2F"/>
    <w:rsid w:val="002E4C3A"/>
    <w:rsid w:val="002E52F5"/>
    <w:rsid w:val="002E54DE"/>
    <w:rsid w:val="002E55E9"/>
    <w:rsid w:val="002E57AA"/>
    <w:rsid w:val="002E5820"/>
    <w:rsid w:val="002E5973"/>
    <w:rsid w:val="002E5A85"/>
    <w:rsid w:val="002E5A9A"/>
    <w:rsid w:val="002E5B94"/>
    <w:rsid w:val="002E5E03"/>
    <w:rsid w:val="002E5ECA"/>
    <w:rsid w:val="002E5F12"/>
    <w:rsid w:val="002E600A"/>
    <w:rsid w:val="002E601B"/>
    <w:rsid w:val="002E61AC"/>
    <w:rsid w:val="002E6385"/>
    <w:rsid w:val="002E6393"/>
    <w:rsid w:val="002E6410"/>
    <w:rsid w:val="002E645F"/>
    <w:rsid w:val="002E6627"/>
    <w:rsid w:val="002E66F5"/>
    <w:rsid w:val="002E676D"/>
    <w:rsid w:val="002E6998"/>
    <w:rsid w:val="002E6B85"/>
    <w:rsid w:val="002E6D40"/>
    <w:rsid w:val="002E6D60"/>
    <w:rsid w:val="002E6DB3"/>
    <w:rsid w:val="002E6DCA"/>
    <w:rsid w:val="002E6E10"/>
    <w:rsid w:val="002E6E1E"/>
    <w:rsid w:val="002E6F43"/>
    <w:rsid w:val="002E72A5"/>
    <w:rsid w:val="002E7357"/>
    <w:rsid w:val="002E767A"/>
    <w:rsid w:val="002E7734"/>
    <w:rsid w:val="002E77BD"/>
    <w:rsid w:val="002E7803"/>
    <w:rsid w:val="002E7833"/>
    <w:rsid w:val="002E78C3"/>
    <w:rsid w:val="002E799E"/>
    <w:rsid w:val="002E7A26"/>
    <w:rsid w:val="002E7AAD"/>
    <w:rsid w:val="002E7ADD"/>
    <w:rsid w:val="002E7B2A"/>
    <w:rsid w:val="002E7C97"/>
    <w:rsid w:val="002E7CBB"/>
    <w:rsid w:val="002E7D3D"/>
    <w:rsid w:val="002E7DDF"/>
    <w:rsid w:val="002E7EDF"/>
    <w:rsid w:val="002E7FE5"/>
    <w:rsid w:val="002EB2FB"/>
    <w:rsid w:val="002F00E6"/>
    <w:rsid w:val="002F01C3"/>
    <w:rsid w:val="002F02AF"/>
    <w:rsid w:val="002F03DF"/>
    <w:rsid w:val="002F0511"/>
    <w:rsid w:val="002F05D9"/>
    <w:rsid w:val="002F08A1"/>
    <w:rsid w:val="002F09EA"/>
    <w:rsid w:val="002F0A1C"/>
    <w:rsid w:val="002F0B4B"/>
    <w:rsid w:val="002F0C69"/>
    <w:rsid w:val="002F0C86"/>
    <w:rsid w:val="002F0D82"/>
    <w:rsid w:val="002F0E0F"/>
    <w:rsid w:val="002F0F01"/>
    <w:rsid w:val="002F0F0A"/>
    <w:rsid w:val="002F104D"/>
    <w:rsid w:val="002F1079"/>
    <w:rsid w:val="002F112E"/>
    <w:rsid w:val="002F13CA"/>
    <w:rsid w:val="002F13EF"/>
    <w:rsid w:val="002F147B"/>
    <w:rsid w:val="002F1533"/>
    <w:rsid w:val="002F15C1"/>
    <w:rsid w:val="002F15C5"/>
    <w:rsid w:val="002F1643"/>
    <w:rsid w:val="002F1728"/>
    <w:rsid w:val="002F1729"/>
    <w:rsid w:val="002F17B6"/>
    <w:rsid w:val="002F17EC"/>
    <w:rsid w:val="002F1832"/>
    <w:rsid w:val="002F193D"/>
    <w:rsid w:val="002F1B67"/>
    <w:rsid w:val="002F1C0A"/>
    <w:rsid w:val="002F1C4A"/>
    <w:rsid w:val="002F1D20"/>
    <w:rsid w:val="002F1F41"/>
    <w:rsid w:val="002F1F97"/>
    <w:rsid w:val="002F21EE"/>
    <w:rsid w:val="002F27F9"/>
    <w:rsid w:val="002F28C0"/>
    <w:rsid w:val="002F2975"/>
    <w:rsid w:val="002F2E49"/>
    <w:rsid w:val="002F2E5B"/>
    <w:rsid w:val="002F2FCC"/>
    <w:rsid w:val="002F2FF2"/>
    <w:rsid w:val="002F3112"/>
    <w:rsid w:val="002F31ED"/>
    <w:rsid w:val="002F333E"/>
    <w:rsid w:val="002F340B"/>
    <w:rsid w:val="002F362D"/>
    <w:rsid w:val="002F372B"/>
    <w:rsid w:val="002F377E"/>
    <w:rsid w:val="002F38C2"/>
    <w:rsid w:val="002F38CB"/>
    <w:rsid w:val="002F3A84"/>
    <w:rsid w:val="002F3BD0"/>
    <w:rsid w:val="002F3D6D"/>
    <w:rsid w:val="002F3ECF"/>
    <w:rsid w:val="002F400E"/>
    <w:rsid w:val="002F4175"/>
    <w:rsid w:val="002F4272"/>
    <w:rsid w:val="002F427E"/>
    <w:rsid w:val="002F4361"/>
    <w:rsid w:val="002F43C7"/>
    <w:rsid w:val="002F4405"/>
    <w:rsid w:val="002F44E6"/>
    <w:rsid w:val="002F466D"/>
    <w:rsid w:val="002F4678"/>
    <w:rsid w:val="002F4708"/>
    <w:rsid w:val="002F47F0"/>
    <w:rsid w:val="002F480E"/>
    <w:rsid w:val="002F4856"/>
    <w:rsid w:val="002F489F"/>
    <w:rsid w:val="002F49D2"/>
    <w:rsid w:val="002F4D89"/>
    <w:rsid w:val="002F4E9D"/>
    <w:rsid w:val="002F4FD7"/>
    <w:rsid w:val="002F5198"/>
    <w:rsid w:val="002F522F"/>
    <w:rsid w:val="002F5400"/>
    <w:rsid w:val="002F556C"/>
    <w:rsid w:val="002F55F0"/>
    <w:rsid w:val="002F5612"/>
    <w:rsid w:val="002F5653"/>
    <w:rsid w:val="002F579C"/>
    <w:rsid w:val="002F57BA"/>
    <w:rsid w:val="002F5912"/>
    <w:rsid w:val="002F599C"/>
    <w:rsid w:val="002F5A68"/>
    <w:rsid w:val="002F5C8A"/>
    <w:rsid w:val="002F5DFD"/>
    <w:rsid w:val="002F5E88"/>
    <w:rsid w:val="002F6044"/>
    <w:rsid w:val="002F67D5"/>
    <w:rsid w:val="002F685D"/>
    <w:rsid w:val="002F69AD"/>
    <w:rsid w:val="002F6E73"/>
    <w:rsid w:val="002F6FB6"/>
    <w:rsid w:val="002F71B6"/>
    <w:rsid w:val="002F71FE"/>
    <w:rsid w:val="002F72E9"/>
    <w:rsid w:val="002F73F1"/>
    <w:rsid w:val="002F7951"/>
    <w:rsid w:val="002F7A46"/>
    <w:rsid w:val="002F7B55"/>
    <w:rsid w:val="002F7C2A"/>
    <w:rsid w:val="002F7C4B"/>
    <w:rsid w:val="002F7CF7"/>
    <w:rsid w:val="00300401"/>
    <w:rsid w:val="0030063C"/>
    <w:rsid w:val="003007FB"/>
    <w:rsid w:val="0030095E"/>
    <w:rsid w:val="00300AC4"/>
    <w:rsid w:val="00300C47"/>
    <w:rsid w:val="00301102"/>
    <w:rsid w:val="00301377"/>
    <w:rsid w:val="0030150B"/>
    <w:rsid w:val="003015F9"/>
    <w:rsid w:val="003017CD"/>
    <w:rsid w:val="0030183F"/>
    <w:rsid w:val="003018E1"/>
    <w:rsid w:val="00301936"/>
    <w:rsid w:val="00302063"/>
    <w:rsid w:val="003020F4"/>
    <w:rsid w:val="003022D1"/>
    <w:rsid w:val="003027C2"/>
    <w:rsid w:val="003028D8"/>
    <w:rsid w:val="00302A81"/>
    <w:rsid w:val="00302B31"/>
    <w:rsid w:val="00302C3A"/>
    <w:rsid w:val="00302CB0"/>
    <w:rsid w:val="00302CB7"/>
    <w:rsid w:val="00302D55"/>
    <w:rsid w:val="00302EDD"/>
    <w:rsid w:val="00302FC3"/>
    <w:rsid w:val="00302FE7"/>
    <w:rsid w:val="00302FFD"/>
    <w:rsid w:val="0030307B"/>
    <w:rsid w:val="003030AD"/>
    <w:rsid w:val="003030AF"/>
    <w:rsid w:val="0030313E"/>
    <w:rsid w:val="0030314E"/>
    <w:rsid w:val="00303315"/>
    <w:rsid w:val="0030351D"/>
    <w:rsid w:val="0030356A"/>
    <w:rsid w:val="003036E8"/>
    <w:rsid w:val="00303C3D"/>
    <w:rsid w:val="00303C5D"/>
    <w:rsid w:val="00303D9E"/>
    <w:rsid w:val="00303F1D"/>
    <w:rsid w:val="00304114"/>
    <w:rsid w:val="00304172"/>
    <w:rsid w:val="00304194"/>
    <w:rsid w:val="003041F4"/>
    <w:rsid w:val="003043E7"/>
    <w:rsid w:val="003045DD"/>
    <w:rsid w:val="00304605"/>
    <w:rsid w:val="0030488A"/>
    <w:rsid w:val="003048A6"/>
    <w:rsid w:val="00304955"/>
    <w:rsid w:val="00304966"/>
    <w:rsid w:val="00304998"/>
    <w:rsid w:val="00304A85"/>
    <w:rsid w:val="00304B3B"/>
    <w:rsid w:val="00304DD8"/>
    <w:rsid w:val="00304F66"/>
    <w:rsid w:val="00304FB2"/>
    <w:rsid w:val="00304FF3"/>
    <w:rsid w:val="00305013"/>
    <w:rsid w:val="00305056"/>
    <w:rsid w:val="00305271"/>
    <w:rsid w:val="00305275"/>
    <w:rsid w:val="00305569"/>
    <w:rsid w:val="00305594"/>
    <w:rsid w:val="0030578E"/>
    <w:rsid w:val="0030579A"/>
    <w:rsid w:val="003057BB"/>
    <w:rsid w:val="003057DD"/>
    <w:rsid w:val="0030594A"/>
    <w:rsid w:val="00305A65"/>
    <w:rsid w:val="00305B89"/>
    <w:rsid w:val="00305BAA"/>
    <w:rsid w:val="00305F09"/>
    <w:rsid w:val="00305F97"/>
    <w:rsid w:val="00305F9A"/>
    <w:rsid w:val="0030603A"/>
    <w:rsid w:val="00306307"/>
    <w:rsid w:val="003063DE"/>
    <w:rsid w:val="0030646F"/>
    <w:rsid w:val="00306482"/>
    <w:rsid w:val="003064E0"/>
    <w:rsid w:val="003067E8"/>
    <w:rsid w:val="0030682C"/>
    <w:rsid w:val="00306C7B"/>
    <w:rsid w:val="00306C9B"/>
    <w:rsid w:val="00306D5F"/>
    <w:rsid w:val="00306E83"/>
    <w:rsid w:val="00306EA0"/>
    <w:rsid w:val="00306F0B"/>
    <w:rsid w:val="00306F77"/>
    <w:rsid w:val="00307335"/>
    <w:rsid w:val="0030778F"/>
    <w:rsid w:val="003077D2"/>
    <w:rsid w:val="0030792C"/>
    <w:rsid w:val="00307966"/>
    <w:rsid w:val="003079AF"/>
    <w:rsid w:val="00307A55"/>
    <w:rsid w:val="00307A92"/>
    <w:rsid w:val="00307AA1"/>
    <w:rsid w:val="00307AC9"/>
    <w:rsid w:val="00307B17"/>
    <w:rsid w:val="00307CB8"/>
    <w:rsid w:val="00307CBA"/>
    <w:rsid w:val="00307E82"/>
    <w:rsid w:val="00307EF7"/>
    <w:rsid w:val="00307F44"/>
    <w:rsid w:val="00307F8B"/>
    <w:rsid w:val="0030E158"/>
    <w:rsid w:val="0031014D"/>
    <w:rsid w:val="003101AF"/>
    <w:rsid w:val="0031034D"/>
    <w:rsid w:val="003103C9"/>
    <w:rsid w:val="00310527"/>
    <w:rsid w:val="0031062C"/>
    <w:rsid w:val="00310664"/>
    <w:rsid w:val="003106B4"/>
    <w:rsid w:val="00310854"/>
    <w:rsid w:val="00310AA2"/>
    <w:rsid w:val="00310ACA"/>
    <w:rsid w:val="00310C13"/>
    <w:rsid w:val="00310CAB"/>
    <w:rsid w:val="00310D2F"/>
    <w:rsid w:val="00310D82"/>
    <w:rsid w:val="00310FA8"/>
    <w:rsid w:val="003110A5"/>
    <w:rsid w:val="003110A9"/>
    <w:rsid w:val="003111D6"/>
    <w:rsid w:val="00311675"/>
    <w:rsid w:val="0031195B"/>
    <w:rsid w:val="00311972"/>
    <w:rsid w:val="00311B12"/>
    <w:rsid w:val="00311B6B"/>
    <w:rsid w:val="00311DB1"/>
    <w:rsid w:val="00311EA3"/>
    <w:rsid w:val="00311F17"/>
    <w:rsid w:val="00311F35"/>
    <w:rsid w:val="003120EC"/>
    <w:rsid w:val="00312518"/>
    <w:rsid w:val="00312540"/>
    <w:rsid w:val="003127CE"/>
    <w:rsid w:val="00312888"/>
    <w:rsid w:val="00312928"/>
    <w:rsid w:val="00312CCA"/>
    <w:rsid w:val="00312D2D"/>
    <w:rsid w:val="00313098"/>
    <w:rsid w:val="0031315D"/>
    <w:rsid w:val="003133B2"/>
    <w:rsid w:val="0031347B"/>
    <w:rsid w:val="003135CA"/>
    <w:rsid w:val="0031360A"/>
    <w:rsid w:val="00313644"/>
    <w:rsid w:val="0031365E"/>
    <w:rsid w:val="00313773"/>
    <w:rsid w:val="003138BB"/>
    <w:rsid w:val="00313944"/>
    <w:rsid w:val="00313A15"/>
    <w:rsid w:val="00313AE9"/>
    <w:rsid w:val="00313B58"/>
    <w:rsid w:val="00313C2C"/>
    <w:rsid w:val="00313C93"/>
    <w:rsid w:val="00313E1C"/>
    <w:rsid w:val="00314033"/>
    <w:rsid w:val="00314190"/>
    <w:rsid w:val="00314257"/>
    <w:rsid w:val="003144DE"/>
    <w:rsid w:val="0031450F"/>
    <w:rsid w:val="003145B1"/>
    <w:rsid w:val="00314693"/>
    <w:rsid w:val="003146C6"/>
    <w:rsid w:val="00314832"/>
    <w:rsid w:val="00314932"/>
    <w:rsid w:val="0031493C"/>
    <w:rsid w:val="00314B3D"/>
    <w:rsid w:val="00314CEB"/>
    <w:rsid w:val="00314CF1"/>
    <w:rsid w:val="00314DA1"/>
    <w:rsid w:val="00314DF8"/>
    <w:rsid w:val="00314E9E"/>
    <w:rsid w:val="00314F8A"/>
    <w:rsid w:val="00315093"/>
    <w:rsid w:val="00315158"/>
    <w:rsid w:val="003152BB"/>
    <w:rsid w:val="00315468"/>
    <w:rsid w:val="003156B1"/>
    <w:rsid w:val="003157D1"/>
    <w:rsid w:val="00315848"/>
    <w:rsid w:val="00315924"/>
    <w:rsid w:val="00315B17"/>
    <w:rsid w:val="00315C18"/>
    <w:rsid w:val="00315CC4"/>
    <w:rsid w:val="00315D6F"/>
    <w:rsid w:val="00315D8C"/>
    <w:rsid w:val="00315E9D"/>
    <w:rsid w:val="00315EB5"/>
    <w:rsid w:val="00315F31"/>
    <w:rsid w:val="00315F35"/>
    <w:rsid w:val="00315FA2"/>
    <w:rsid w:val="00316233"/>
    <w:rsid w:val="00316254"/>
    <w:rsid w:val="00316886"/>
    <w:rsid w:val="00316A34"/>
    <w:rsid w:val="00316AB7"/>
    <w:rsid w:val="00316C2E"/>
    <w:rsid w:val="00316CE9"/>
    <w:rsid w:val="00316D47"/>
    <w:rsid w:val="00316F6A"/>
    <w:rsid w:val="003170C0"/>
    <w:rsid w:val="00317103"/>
    <w:rsid w:val="003171ED"/>
    <w:rsid w:val="0031721F"/>
    <w:rsid w:val="003173CE"/>
    <w:rsid w:val="0031760B"/>
    <w:rsid w:val="00317700"/>
    <w:rsid w:val="00317895"/>
    <w:rsid w:val="003178E6"/>
    <w:rsid w:val="0031799B"/>
    <w:rsid w:val="00317AE1"/>
    <w:rsid w:val="00317B24"/>
    <w:rsid w:val="00317BD5"/>
    <w:rsid w:val="00317D9D"/>
    <w:rsid w:val="00317E62"/>
    <w:rsid w:val="00317EA9"/>
    <w:rsid w:val="00317FF0"/>
    <w:rsid w:val="0032006A"/>
    <w:rsid w:val="003200BD"/>
    <w:rsid w:val="0032027B"/>
    <w:rsid w:val="003203B1"/>
    <w:rsid w:val="00320587"/>
    <w:rsid w:val="003209F1"/>
    <w:rsid w:val="00320A3C"/>
    <w:rsid w:val="00320AAC"/>
    <w:rsid w:val="00320ACE"/>
    <w:rsid w:val="00320BBD"/>
    <w:rsid w:val="00320BF0"/>
    <w:rsid w:val="00320C2B"/>
    <w:rsid w:val="00320D97"/>
    <w:rsid w:val="00320DE1"/>
    <w:rsid w:val="00320E0E"/>
    <w:rsid w:val="00320E40"/>
    <w:rsid w:val="00320EE0"/>
    <w:rsid w:val="00320F1B"/>
    <w:rsid w:val="003211C7"/>
    <w:rsid w:val="00321243"/>
    <w:rsid w:val="00321305"/>
    <w:rsid w:val="00321345"/>
    <w:rsid w:val="003214A5"/>
    <w:rsid w:val="003214B4"/>
    <w:rsid w:val="003214DF"/>
    <w:rsid w:val="0032154D"/>
    <w:rsid w:val="003215A0"/>
    <w:rsid w:val="003215F3"/>
    <w:rsid w:val="00321858"/>
    <w:rsid w:val="00321933"/>
    <w:rsid w:val="00321D0A"/>
    <w:rsid w:val="00321D53"/>
    <w:rsid w:val="00322030"/>
    <w:rsid w:val="00322038"/>
    <w:rsid w:val="003220DA"/>
    <w:rsid w:val="00322226"/>
    <w:rsid w:val="00322291"/>
    <w:rsid w:val="003222EF"/>
    <w:rsid w:val="00322306"/>
    <w:rsid w:val="003224C8"/>
    <w:rsid w:val="0032250A"/>
    <w:rsid w:val="0032253D"/>
    <w:rsid w:val="00322555"/>
    <w:rsid w:val="0032261F"/>
    <w:rsid w:val="003228EE"/>
    <w:rsid w:val="0032296B"/>
    <w:rsid w:val="003229BB"/>
    <w:rsid w:val="00322A2B"/>
    <w:rsid w:val="00322B99"/>
    <w:rsid w:val="00322C96"/>
    <w:rsid w:val="00322D29"/>
    <w:rsid w:val="00322D43"/>
    <w:rsid w:val="00322D7B"/>
    <w:rsid w:val="00322E91"/>
    <w:rsid w:val="00322FE2"/>
    <w:rsid w:val="003230AA"/>
    <w:rsid w:val="003231B1"/>
    <w:rsid w:val="0032321E"/>
    <w:rsid w:val="003233DB"/>
    <w:rsid w:val="003234A2"/>
    <w:rsid w:val="003235A2"/>
    <w:rsid w:val="00323641"/>
    <w:rsid w:val="00323669"/>
    <w:rsid w:val="00323686"/>
    <w:rsid w:val="003238EF"/>
    <w:rsid w:val="003239E3"/>
    <w:rsid w:val="00323B01"/>
    <w:rsid w:val="00323BC1"/>
    <w:rsid w:val="00323D1C"/>
    <w:rsid w:val="00323E02"/>
    <w:rsid w:val="00323E1C"/>
    <w:rsid w:val="00323EA2"/>
    <w:rsid w:val="00324035"/>
    <w:rsid w:val="003241C3"/>
    <w:rsid w:val="003241F1"/>
    <w:rsid w:val="003244B3"/>
    <w:rsid w:val="003246EC"/>
    <w:rsid w:val="0032470F"/>
    <w:rsid w:val="00324811"/>
    <w:rsid w:val="00324812"/>
    <w:rsid w:val="0032490F"/>
    <w:rsid w:val="0032491E"/>
    <w:rsid w:val="00324968"/>
    <w:rsid w:val="003249BA"/>
    <w:rsid w:val="00324A52"/>
    <w:rsid w:val="00324A5B"/>
    <w:rsid w:val="00324B08"/>
    <w:rsid w:val="00324B91"/>
    <w:rsid w:val="00324BAF"/>
    <w:rsid w:val="00324EAA"/>
    <w:rsid w:val="00324EDF"/>
    <w:rsid w:val="00324F48"/>
    <w:rsid w:val="00324F97"/>
    <w:rsid w:val="003250AF"/>
    <w:rsid w:val="0032511C"/>
    <w:rsid w:val="003251B0"/>
    <w:rsid w:val="003251DA"/>
    <w:rsid w:val="00325220"/>
    <w:rsid w:val="0032527C"/>
    <w:rsid w:val="0032545D"/>
    <w:rsid w:val="00325486"/>
    <w:rsid w:val="00325495"/>
    <w:rsid w:val="00325574"/>
    <w:rsid w:val="003256EC"/>
    <w:rsid w:val="0032573D"/>
    <w:rsid w:val="00325ADB"/>
    <w:rsid w:val="00325BF1"/>
    <w:rsid w:val="00325CCE"/>
    <w:rsid w:val="00325FA3"/>
    <w:rsid w:val="00326106"/>
    <w:rsid w:val="00326172"/>
    <w:rsid w:val="003261E3"/>
    <w:rsid w:val="00326319"/>
    <w:rsid w:val="0032631E"/>
    <w:rsid w:val="0032635A"/>
    <w:rsid w:val="003263F6"/>
    <w:rsid w:val="0032641A"/>
    <w:rsid w:val="0032659B"/>
    <w:rsid w:val="0032668D"/>
    <w:rsid w:val="003266D5"/>
    <w:rsid w:val="00326AA6"/>
    <w:rsid w:val="00326D94"/>
    <w:rsid w:val="00326E30"/>
    <w:rsid w:val="00326E9E"/>
    <w:rsid w:val="00326EBD"/>
    <w:rsid w:val="00326EEC"/>
    <w:rsid w:val="00326F72"/>
    <w:rsid w:val="00327323"/>
    <w:rsid w:val="0032736E"/>
    <w:rsid w:val="00327373"/>
    <w:rsid w:val="00327397"/>
    <w:rsid w:val="00327404"/>
    <w:rsid w:val="00327467"/>
    <w:rsid w:val="003276D8"/>
    <w:rsid w:val="003277F7"/>
    <w:rsid w:val="00327997"/>
    <w:rsid w:val="003279CB"/>
    <w:rsid w:val="00327BA1"/>
    <w:rsid w:val="00327BD1"/>
    <w:rsid w:val="00327C06"/>
    <w:rsid w:val="00327C46"/>
    <w:rsid w:val="00327E14"/>
    <w:rsid w:val="00327EE0"/>
    <w:rsid w:val="00327FCE"/>
    <w:rsid w:val="00327FFD"/>
    <w:rsid w:val="0032EEE6"/>
    <w:rsid w:val="00330012"/>
    <w:rsid w:val="0033011E"/>
    <w:rsid w:val="003301EE"/>
    <w:rsid w:val="00330307"/>
    <w:rsid w:val="003303F5"/>
    <w:rsid w:val="00330422"/>
    <w:rsid w:val="00330452"/>
    <w:rsid w:val="0033075B"/>
    <w:rsid w:val="0033081C"/>
    <w:rsid w:val="003308D7"/>
    <w:rsid w:val="00330952"/>
    <w:rsid w:val="0033098F"/>
    <w:rsid w:val="003309A6"/>
    <w:rsid w:val="003309B7"/>
    <w:rsid w:val="00330A17"/>
    <w:rsid w:val="00330B13"/>
    <w:rsid w:val="00330B34"/>
    <w:rsid w:val="00330B63"/>
    <w:rsid w:val="00330B86"/>
    <w:rsid w:val="00330BAD"/>
    <w:rsid w:val="00330E13"/>
    <w:rsid w:val="00330EB7"/>
    <w:rsid w:val="003312C0"/>
    <w:rsid w:val="003312CF"/>
    <w:rsid w:val="00331345"/>
    <w:rsid w:val="0033154C"/>
    <w:rsid w:val="003315BB"/>
    <w:rsid w:val="0033164B"/>
    <w:rsid w:val="0033169D"/>
    <w:rsid w:val="003317A7"/>
    <w:rsid w:val="00331946"/>
    <w:rsid w:val="00331B5D"/>
    <w:rsid w:val="00331C89"/>
    <w:rsid w:val="00331D45"/>
    <w:rsid w:val="00331D62"/>
    <w:rsid w:val="00331D81"/>
    <w:rsid w:val="00331D9D"/>
    <w:rsid w:val="00331E3D"/>
    <w:rsid w:val="00331E94"/>
    <w:rsid w:val="00331F12"/>
    <w:rsid w:val="00331F19"/>
    <w:rsid w:val="00332065"/>
    <w:rsid w:val="00332232"/>
    <w:rsid w:val="00332305"/>
    <w:rsid w:val="00332320"/>
    <w:rsid w:val="00332399"/>
    <w:rsid w:val="003323E2"/>
    <w:rsid w:val="003325F3"/>
    <w:rsid w:val="00332DD7"/>
    <w:rsid w:val="00333179"/>
    <w:rsid w:val="00333251"/>
    <w:rsid w:val="00333393"/>
    <w:rsid w:val="0033355A"/>
    <w:rsid w:val="0033355C"/>
    <w:rsid w:val="003335C1"/>
    <w:rsid w:val="0033363C"/>
    <w:rsid w:val="0033365A"/>
    <w:rsid w:val="00333759"/>
    <w:rsid w:val="003339C6"/>
    <w:rsid w:val="00333A74"/>
    <w:rsid w:val="00333B76"/>
    <w:rsid w:val="00333C3E"/>
    <w:rsid w:val="00333C6C"/>
    <w:rsid w:val="00333FCE"/>
    <w:rsid w:val="00334001"/>
    <w:rsid w:val="00334196"/>
    <w:rsid w:val="00334207"/>
    <w:rsid w:val="00334223"/>
    <w:rsid w:val="003342CF"/>
    <w:rsid w:val="003344DE"/>
    <w:rsid w:val="003346A7"/>
    <w:rsid w:val="00334748"/>
    <w:rsid w:val="003347BB"/>
    <w:rsid w:val="00334809"/>
    <w:rsid w:val="00334839"/>
    <w:rsid w:val="00334902"/>
    <w:rsid w:val="003349DB"/>
    <w:rsid w:val="00334A77"/>
    <w:rsid w:val="00334B9B"/>
    <w:rsid w:val="00334EA1"/>
    <w:rsid w:val="00334F3C"/>
    <w:rsid w:val="0033503A"/>
    <w:rsid w:val="00335109"/>
    <w:rsid w:val="003351BA"/>
    <w:rsid w:val="00335247"/>
    <w:rsid w:val="0033537B"/>
    <w:rsid w:val="003353B6"/>
    <w:rsid w:val="003354DC"/>
    <w:rsid w:val="00335504"/>
    <w:rsid w:val="00335654"/>
    <w:rsid w:val="00335738"/>
    <w:rsid w:val="00335B83"/>
    <w:rsid w:val="00335DEF"/>
    <w:rsid w:val="00335E0B"/>
    <w:rsid w:val="00335EF9"/>
    <w:rsid w:val="00335FF7"/>
    <w:rsid w:val="0033622E"/>
    <w:rsid w:val="003363AF"/>
    <w:rsid w:val="003363DE"/>
    <w:rsid w:val="003364C0"/>
    <w:rsid w:val="00336591"/>
    <w:rsid w:val="0033665C"/>
    <w:rsid w:val="00336743"/>
    <w:rsid w:val="00336B3F"/>
    <w:rsid w:val="00336E26"/>
    <w:rsid w:val="00336EFA"/>
    <w:rsid w:val="003370EC"/>
    <w:rsid w:val="003371C0"/>
    <w:rsid w:val="00337785"/>
    <w:rsid w:val="00337999"/>
    <w:rsid w:val="00337AC8"/>
    <w:rsid w:val="00337B0D"/>
    <w:rsid w:val="00337BA4"/>
    <w:rsid w:val="00337F4C"/>
    <w:rsid w:val="00337F61"/>
    <w:rsid w:val="00337F79"/>
    <w:rsid w:val="00340338"/>
    <w:rsid w:val="003403B4"/>
    <w:rsid w:val="00340453"/>
    <w:rsid w:val="00340788"/>
    <w:rsid w:val="0034085F"/>
    <w:rsid w:val="003409D9"/>
    <w:rsid w:val="00340A05"/>
    <w:rsid w:val="00340ACF"/>
    <w:rsid w:val="00340D1C"/>
    <w:rsid w:val="00340D66"/>
    <w:rsid w:val="00340D75"/>
    <w:rsid w:val="00340DA3"/>
    <w:rsid w:val="00340DB0"/>
    <w:rsid w:val="00340DB2"/>
    <w:rsid w:val="00340DE6"/>
    <w:rsid w:val="00340E39"/>
    <w:rsid w:val="00340E52"/>
    <w:rsid w:val="00340F4E"/>
    <w:rsid w:val="00340F4F"/>
    <w:rsid w:val="00341012"/>
    <w:rsid w:val="00341191"/>
    <w:rsid w:val="00341296"/>
    <w:rsid w:val="003413DD"/>
    <w:rsid w:val="00341464"/>
    <w:rsid w:val="00341467"/>
    <w:rsid w:val="0034169C"/>
    <w:rsid w:val="00341737"/>
    <w:rsid w:val="003417ED"/>
    <w:rsid w:val="0034194F"/>
    <w:rsid w:val="00341A41"/>
    <w:rsid w:val="00341DFD"/>
    <w:rsid w:val="00341FE5"/>
    <w:rsid w:val="0034201E"/>
    <w:rsid w:val="00342075"/>
    <w:rsid w:val="003420C6"/>
    <w:rsid w:val="0034217D"/>
    <w:rsid w:val="00342261"/>
    <w:rsid w:val="0034228B"/>
    <w:rsid w:val="003422AE"/>
    <w:rsid w:val="00342378"/>
    <w:rsid w:val="0034245E"/>
    <w:rsid w:val="00342533"/>
    <w:rsid w:val="00342566"/>
    <w:rsid w:val="00342696"/>
    <w:rsid w:val="00342880"/>
    <w:rsid w:val="003429D4"/>
    <w:rsid w:val="00342A2E"/>
    <w:rsid w:val="00342BAC"/>
    <w:rsid w:val="00342CBD"/>
    <w:rsid w:val="00342D81"/>
    <w:rsid w:val="00342E9E"/>
    <w:rsid w:val="00342F8B"/>
    <w:rsid w:val="00342FED"/>
    <w:rsid w:val="00342FFB"/>
    <w:rsid w:val="0034312B"/>
    <w:rsid w:val="00343304"/>
    <w:rsid w:val="00343653"/>
    <w:rsid w:val="0034365E"/>
    <w:rsid w:val="00343873"/>
    <w:rsid w:val="00343912"/>
    <w:rsid w:val="003439C7"/>
    <w:rsid w:val="00343A1B"/>
    <w:rsid w:val="00343A26"/>
    <w:rsid w:val="00343ACB"/>
    <w:rsid w:val="00343BEA"/>
    <w:rsid w:val="00343C78"/>
    <w:rsid w:val="00343D55"/>
    <w:rsid w:val="00343FBD"/>
    <w:rsid w:val="00343FD5"/>
    <w:rsid w:val="0034416A"/>
    <w:rsid w:val="00344313"/>
    <w:rsid w:val="0034433C"/>
    <w:rsid w:val="00344374"/>
    <w:rsid w:val="003444E7"/>
    <w:rsid w:val="00344619"/>
    <w:rsid w:val="00344924"/>
    <w:rsid w:val="00344B96"/>
    <w:rsid w:val="00344C6F"/>
    <w:rsid w:val="00344CC1"/>
    <w:rsid w:val="00344E13"/>
    <w:rsid w:val="00344F7A"/>
    <w:rsid w:val="00344F7B"/>
    <w:rsid w:val="0034509C"/>
    <w:rsid w:val="0034514C"/>
    <w:rsid w:val="003452C1"/>
    <w:rsid w:val="003452D4"/>
    <w:rsid w:val="00345387"/>
    <w:rsid w:val="0034543F"/>
    <w:rsid w:val="003455C0"/>
    <w:rsid w:val="003455E0"/>
    <w:rsid w:val="00345958"/>
    <w:rsid w:val="00345A13"/>
    <w:rsid w:val="00345ACD"/>
    <w:rsid w:val="00345AE5"/>
    <w:rsid w:val="00345B7E"/>
    <w:rsid w:val="00345C87"/>
    <w:rsid w:val="00345ED2"/>
    <w:rsid w:val="00345F5B"/>
    <w:rsid w:val="00345FCE"/>
    <w:rsid w:val="0034613A"/>
    <w:rsid w:val="003462A4"/>
    <w:rsid w:val="00346581"/>
    <w:rsid w:val="00346660"/>
    <w:rsid w:val="003466C7"/>
    <w:rsid w:val="0034679C"/>
    <w:rsid w:val="003468C1"/>
    <w:rsid w:val="003469E1"/>
    <w:rsid w:val="00346C1D"/>
    <w:rsid w:val="00346CBB"/>
    <w:rsid w:val="00347332"/>
    <w:rsid w:val="0034750C"/>
    <w:rsid w:val="003478EF"/>
    <w:rsid w:val="003479DF"/>
    <w:rsid w:val="00347BD4"/>
    <w:rsid w:val="00347BF8"/>
    <w:rsid w:val="00347DE3"/>
    <w:rsid w:val="00347E74"/>
    <w:rsid w:val="00347FC7"/>
    <w:rsid w:val="003501D7"/>
    <w:rsid w:val="00350266"/>
    <w:rsid w:val="003503D0"/>
    <w:rsid w:val="003503FC"/>
    <w:rsid w:val="003504AA"/>
    <w:rsid w:val="00350578"/>
    <w:rsid w:val="00350732"/>
    <w:rsid w:val="0035075C"/>
    <w:rsid w:val="00350774"/>
    <w:rsid w:val="003507A0"/>
    <w:rsid w:val="00350BA8"/>
    <w:rsid w:val="00350C12"/>
    <w:rsid w:val="00350C60"/>
    <w:rsid w:val="00350CA3"/>
    <w:rsid w:val="00350D35"/>
    <w:rsid w:val="00350EB6"/>
    <w:rsid w:val="00350EBC"/>
    <w:rsid w:val="0035116C"/>
    <w:rsid w:val="003512AB"/>
    <w:rsid w:val="003514FE"/>
    <w:rsid w:val="003515A2"/>
    <w:rsid w:val="00351655"/>
    <w:rsid w:val="003516BA"/>
    <w:rsid w:val="003516D4"/>
    <w:rsid w:val="003518E3"/>
    <w:rsid w:val="00351903"/>
    <w:rsid w:val="00351A53"/>
    <w:rsid w:val="00351B69"/>
    <w:rsid w:val="00351F3F"/>
    <w:rsid w:val="003520D9"/>
    <w:rsid w:val="00352184"/>
    <w:rsid w:val="003522D2"/>
    <w:rsid w:val="0035236D"/>
    <w:rsid w:val="003523F0"/>
    <w:rsid w:val="00352434"/>
    <w:rsid w:val="0035252E"/>
    <w:rsid w:val="003525E4"/>
    <w:rsid w:val="003525F9"/>
    <w:rsid w:val="00352729"/>
    <w:rsid w:val="003528DB"/>
    <w:rsid w:val="0035298A"/>
    <w:rsid w:val="00352AEF"/>
    <w:rsid w:val="00352C35"/>
    <w:rsid w:val="00352C53"/>
    <w:rsid w:val="00352DB9"/>
    <w:rsid w:val="00352ECC"/>
    <w:rsid w:val="00352EFE"/>
    <w:rsid w:val="003532D5"/>
    <w:rsid w:val="00353329"/>
    <w:rsid w:val="00353352"/>
    <w:rsid w:val="0035386A"/>
    <w:rsid w:val="003538C0"/>
    <w:rsid w:val="00353961"/>
    <w:rsid w:val="003539F8"/>
    <w:rsid w:val="00353A4F"/>
    <w:rsid w:val="00353D5E"/>
    <w:rsid w:val="003540B0"/>
    <w:rsid w:val="00354355"/>
    <w:rsid w:val="003543AB"/>
    <w:rsid w:val="00354414"/>
    <w:rsid w:val="00354567"/>
    <w:rsid w:val="003545D6"/>
    <w:rsid w:val="0035467C"/>
    <w:rsid w:val="003547F2"/>
    <w:rsid w:val="00354809"/>
    <w:rsid w:val="00354843"/>
    <w:rsid w:val="00354B33"/>
    <w:rsid w:val="00354B4A"/>
    <w:rsid w:val="00354D6A"/>
    <w:rsid w:val="00354DE8"/>
    <w:rsid w:val="00354EA0"/>
    <w:rsid w:val="00354F7F"/>
    <w:rsid w:val="00355158"/>
    <w:rsid w:val="003551B3"/>
    <w:rsid w:val="0035545F"/>
    <w:rsid w:val="0035551D"/>
    <w:rsid w:val="0035575A"/>
    <w:rsid w:val="003558EB"/>
    <w:rsid w:val="00355926"/>
    <w:rsid w:val="00355A03"/>
    <w:rsid w:val="00355FBF"/>
    <w:rsid w:val="00356091"/>
    <w:rsid w:val="00356242"/>
    <w:rsid w:val="003562B0"/>
    <w:rsid w:val="00356317"/>
    <w:rsid w:val="003563A6"/>
    <w:rsid w:val="00356466"/>
    <w:rsid w:val="003564F9"/>
    <w:rsid w:val="00356655"/>
    <w:rsid w:val="003566F4"/>
    <w:rsid w:val="00356710"/>
    <w:rsid w:val="00356CFB"/>
    <w:rsid w:val="00356D43"/>
    <w:rsid w:val="00356D92"/>
    <w:rsid w:val="00356DD4"/>
    <w:rsid w:val="00356E48"/>
    <w:rsid w:val="00356ED6"/>
    <w:rsid w:val="00356F6D"/>
    <w:rsid w:val="003570D4"/>
    <w:rsid w:val="0035717D"/>
    <w:rsid w:val="003573A1"/>
    <w:rsid w:val="0035748D"/>
    <w:rsid w:val="003576BC"/>
    <w:rsid w:val="00357728"/>
    <w:rsid w:val="003578AA"/>
    <w:rsid w:val="00357D74"/>
    <w:rsid w:val="00357EE8"/>
    <w:rsid w:val="00357FD1"/>
    <w:rsid w:val="00360095"/>
    <w:rsid w:val="003600BA"/>
    <w:rsid w:val="003600BC"/>
    <w:rsid w:val="00360476"/>
    <w:rsid w:val="0036076E"/>
    <w:rsid w:val="003607F2"/>
    <w:rsid w:val="0036082D"/>
    <w:rsid w:val="003608D2"/>
    <w:rsid w:val="003608E5"/>
    <w:rsid w:val="003608FA"/>
    <w:rsid w:val="00360996"/>
    <w:rsid w:val="00360C89"/>
    <w:rsid w:val="00360E5D"/>
    <w:rsid w:val="00360EB1"/>
    <w:rsid w:val="00360F43"/>
    <w:rsid w:val="00360F75"/>
    <w:rsid w:val="0036106A"/>
    <w:rsid w:val="003612F4"/>
    <w:rsid w:val="00361357"/>
    <w:rsid w:val="0036188A"/>
    <w:rsid w:val="003618B3"/>
    <w:rsid w:val="003618DB"/>
    <w:rsid w:val="00361A81"/>
    <w:rsid w:val="00361BA6"/>
    <w:rsid w:val="00361BDE"/>
    <w:rsid w:val="0036228A"/>
    <w:rsid w:val="0036246D"/>
    <w:rsid w:val="00362716"/>
    <w:rsid w:val="00362855"/>
    <w:rsid w:val="00362869"/>
    <w:rsid w:val="003628B0"/>
    <w:rsid w:val="003628B4"/>
    <w:rsid w:val="00362DCB"/>
    <w:rsid w:val="00362E4A"/>
    <w:rsid w:val="00362E59"/>
    <w:rsid w:val="00362E79"/>
    <w:rsid w:val="00362FAD"/>
    <w:rsid w:val="00362FDC"/>
    <w:rsid w:val="00363159"/>
    <w:rsid w:val="00363318"/>
    <w:rsid w:val="00363321"/>
    <w:rsid w:val="003633C6"/>
    <w:rsid w:val="003633D8"/>
    <w:rsid w:val="0036345E"/>
    <w:rsid w:val="003634E6"/>
    <w:rsid w:val="003635F3"/>
    <w:rsid w:val="00363685"/>
    <w:rsid w:val="003639B2"/>
    <w:rsid w:val="00363A5F"/>
    <w:rsid w:val="00363C3E"/>
    <w:rsid w:val="00363E99"/>
    <w:rsid w:val="00363EC5"/>
    <w:rsid w:val="00363FEF"/>
    <w:rsid w:val="0036411C"/>
    <w:rsid w:val="0036428A"/>
    <w:rsid w:val="003645E8"/>
    <w:rsid w:val="0036466B"/>
    <w:rsid w:val="003646DF"/>
    <w:rsid w:val="00364BCA"/>
    <w:rsid w:val="00364CA2"/>
    <w:rsid w:val="00364CB9"/>
    <w:rsid w:val="00364DB1"/>
    <w:rsid w:val="00364ED0"/>
    <w:rsid w:val="00364ED3"/>
    <w:rsid w:val="0036514A"/>
    <w:rsid w:val="003652AE"/>
    <w:rsid w:val="003654D5"/>
    <w:rsid w:val="00365590"/>
    <w:rsid w:val="0036560D"/>
    <w:rsid w:val="0036565B"/>
    <w:rsid w:val="003656D2"/>
    <w:rsid w:val="00365834"/>
    <w:rsid w:val="00365CF6"/>
    <w:rsid w:val="00365F49"/>
    <w:rsid w:val="00366075"/>
    <w:rsid w:val="003660EF"/>
    <w:rsid w:val="003660FE"/>
    <w:rsid w:val="003661E0"/>
    <w:rsid w:val="003662BC"/>
    <w:rsid w:val="003664D3"/>
    <w:rsid w:val="0036655B"/>
    <w:rsid w:val="0036666A"/>
    <w:rsid w:val="003669F7"/>
    <w:rsid w:val="00366A2D"/>
    <w:rsid w:val="00366A87"/>
    <w:rsid w:val="00366AAB"/>
    <w:rsid w:val="00366B16"/>
    <w:rsid w:val="00366B32"/>
    <w:rsid w:val="00366CC5"/>
    <w:rsid w:val="00366E31"/>
    <w:rsid w:val="00366EBF"/>
    <w:rsid w:val="00367194"/>
    <w:rsid w:val="00367196"/>
    <w:rsid w:val="003671AF"/>
    <w:rsid w:val="0036727E"/>
    <w:rsid w:val="0036736A"/>
    <w:rsid w:val="003676C7"/>
    <w:rsid w:val="003676F1"/>
    <w:rsid w:val="0036793D"/>
    <w:rsid w:val="00367A37"/>
    <w:rsid w:val="00367AE5"/>
    <w:rsid w:val="00367C56"/>
    <w:rsid w:val="00367DF7"/>
    <w:rsid w:val="00367E89"/>
    <w:rsid w:val="00367FA7"/>
    <w:rsid w:val="0036C4F6"/>
    <w:rsid w:val="0037027E"/>
    <w:rsid w:val="00370333"/>
    <w:rsid w:val="0037051E"/>
    <w:rsid w:val="0037054F"/>
    <w:rsid w:val="003705FF"/>
    <w:rsid w:val="00370663"/>
    <w:rsid w:val="0037096F"/>
    <w:rsid w:val="003709A3"/>
    <w:rsid w:val="00370ABE"/>
    <w:rsid w:val="00370D66"/>
    <w:rsid w:val="00370D9D"/>
    <w:rsid w:val="00370F66"/>
    <w:rsid w:val="00370FA1"/>
    <w:rsid w:val="00371041"/>
    <w:rsid w:val="00371185"/>
    <w:rsid w:val="003711E8"/>
    <w:rsid w:val="00371233"/>
    <w:rsid w:val="00371301"/>
    <w:rsid w:val="0037130F"/>
    <w:rsid w:val="00371372"/>
    <w:rsid w:val="00371457"/>
    <w:rsid w:val="00371524"/>
    <w:rsid w:val="003715A3"/>
    <w:rsid w:val="0037192C"/>
    <w:rsid w:val="0037199A"/>
    <w:rsid w:val="00371B63"/>
    <w:rsid w:val="00371BE9"/>
    <w:rsid w:val="00371D0E"/>
    <w:rsid w:val="00371D3E"/>
    <w:rsid w:val="00371D97"/>
    <w:rsid w:val="00371E40"/>
    <w:rsid w:val="00371FD2"/>
    <w:rsid w:val="00371FFC"/>
    <w:rsid w:val="003720E3"/>
    <w:rsid w:val="003720FE"/>
    <w:rsid w:val="0037224C"/>
    <w:rsid w:val="003722D2"/>
    <w:rsid w:val="0037238E"/>
    <w:rsid w:val="003723E6"/>
    <w:rsid w:val="0037249E"/>
    <w:rsid w:val="00372647"/>
    <w:rsid w:val="0037268E"/>
    <w:rsid w:val="00372690"/>
    <w:rsid w:val="003726EA"/>
    <w:rsid w:val="00372810"/>
    <w:rsid w:val="00372884"/>
    <w:rsid w:val="00372A48"/>
    <w:rsid w:val="00372BB0"/>
    <w:rsid w:val="00372CAA"/>
    <w:rsid w:val="00372D9C"/>
    <w:rsid w:val="00372E49"/>
    <w:rsid w:val="00372F74"/>
    <w:rsid w:val="00373031"/>
    <w:rsid w:val="003731EE"/>
    <w:rsid w:val="00373407"/>
    <w:rsid w:val="00373544"/>
    <w:rsid w:val="00373547"/>
    <w:rsid w:val="00373665"/>
    <w:rsid w:val="00373918"/>
    <w:rsid w:val="003739A2"/>
    <w:rsid w:val="00373C88"/>
    <w:rsid w:val="00373DA2"/>
    <w:rsid w:val="00373E6D"/>
    <w:rsid w:val="00373EA6"/>
    <w:rsid w:val="0037409B"/>
    <w:rsid w:val="00374189"/>
    <w:rsid w:val="0037418A"/>
    <w:rsid w:val="0037419A"/>
    <w:rsid w:val="00374530"/>
    <w:rsid w:val="00374773"/>
    <w:rsid w:val="003747B8"/>
    <w:rsid w:val="00374905"/>
    <w:rsid w:val="00374A31"/>
    <w:rsid w:val="00374B2F"/>
    <w:rsid w:val="00374B3F"/>
    <w:rsid w:val="00374C1A"/>
    <w:rsid w:val="00374D20"/>
    <w:rsid w:val="00374E58"/>
    <w:rsid w:val="00374F14"/>
    <w:rsid w:val="00374F4A"/>
    <w:rsid w:val="00375092"/>
    <w:rsid w:val="003751B2"/>
    <w:rsid w:val="003751E5"/>
    <w:rsid w:val="00375321"/>
    <w:rsid w:val="00375350"/>
    <w:rsid w:val="0037541B"/>
    <w:rsid w:val="0037557E"/>
    <w:rsid w:val="0037569A"/>
    <w:rsid w:val="003758AC"/>
    <w:rsid w:val="00375917"/>
    <w:rsid w:val="00375A75"/>
    <w:rsid w:val="00375B7B"/>
    <w:rsid w:val="00375C29"/>
    <w:rsid w:val="00375C70"/>
    <w:rsid w:val="00375CC0"/>
    <w:rsid w:val="00375CFE"/>
    <w:rsid w:val="00375DF4"/>
    <w:rsid w:val="00375E0D"/>
    <w:rsid w:val="00375F88"/>
    <w:rsid w:val="003760F8"/>
    <w:rsid w:val="003761AB"/>
    <w:rsid w:val="00376212"/>
    <w:rsid w:val="003762CD"/>
    <w:rsid w:val="0037637E"/>
    <w:rsid w:val="003763BA"/>
    <w:rsid w:val="0037677B"/>
    <w:rsid w:val="00376820"/>
    <w:rsid w:val="00376880"/>
    <w:rsid w:val="0037694B"/>
    <w:rsid w:val="00376982"/>
    <w:rsid w:val="00376BEA"/>
    <w:rsid w:val="00376CF0"/>
    <w:rsid w:val="00376DC9"/>
    <w:rsid w:val="00376DE7"/>
    <w:rsid w:val="00376EB7"/>
    <w:rsid w:val="00376FE8"/>
    <w:rsid w:val="0037703E"/>
    <w:rsid w:val="00377363"/>
    <w:rsid w:val="00377403"/>
    <w:rsid w:val="00377427"/>
    <w:rsid w:val="003774B7"/>
    <w:rsid w:val="003774E9"/>
    <w:rsid w:val="0037772C"/>
    <w:rsid w:val="00377A99"/>
    <w:rsid w:val="00377B38"/>
    <w:rsid w:val="00377C3C"/>
    <w:rsid w:val="00377D87"/>
    <w:rsid w:val="00377D9F"/>
    <w:rsid w:val="00377E6D"/>
    <w:rsid w:val="00377F9B"/>
    <w:rsid w:val="00380024"/>
    <w:rsid w:val="0038004E"/>
    <w:rsid w:val="003800BE"/>
    <w:rsid w:val="0038014C"/>
    <w:rsid w:val="003801E2"/>
    <w:rsid w:val="0038029A"/>
    <w:rsid w:val="003802CA"/>
    <w:rsid w:val="003803C2"/>
    <w:rsid w:val="00380778"/>
    <w:rsid w:val="00380795"/>
    <w:rsid w:val="0038084C"/>
    <w:rsid w:val="00380859"/>
    <w:rsid w:val="003808CD"/>
    <w:rsid w:val="0038096F"/>
    <w:rsid w:val="00380C2D"/>
    <w:rsid w:val="00380CDD"/>
    <w:rsid w:val="00380E70"/>
    <w:rsid w:val="00380F1C"/>
    <w:rsid w:val="00381012"/>
    <w:rsid w:val="003812B3"/>
    <w:rsid w:val="003814EE"/>
    <w:rsid w:val="003815C5"/>
    <w:rsid w:val="003815D9"/>
    <w:rsid w:val="003815DA"/>
    <w:rsid w:val="003816FB"/>
    <w:rsid w:val="00381866"/>
    <w:rsid w:val="00381AAA"/>
    <w:rsid w:val="00381BB1"/>
    <w:rsid w:val="00381C34"/>
    <w:rsid w:val="00381C3E"/>
    <w:rsid w:val="00381DEA"/>
    <w:rsid w:val="0038200C"/>
    <w:rsid w:val="003820DA"/>
    <w:rsid w:val="00382265"/>
    <w:rsid w:val="0038230B"/>
    <w:rsid w:val="00382328"/>
    <w:rsid w:val="003823EB"/>
    <w:rsid w:val="0038261E"/>
    <w:rsid w:val="00382719"/>
    <w:rsid w:val="00382913"/>
    <w:rsid w:val="00382931"/>
    <w:rsid w:val="00382A25"/>
    <w:rsid w:val="00382F8B"/>
    <w:rsid w:val="00383382"/>
    <w:rsid w:val="003833E6"/>
    <w:rsid w:val="00383626"/>
    <w:rsid w:val="0038368E"/>
    <w:rsid w:val="00383889"/>
    <w:rsid w:val="003838B9"/>
    <w:rsid w:val="003838E6"/>
    <w:rsid w:val="0038395F"/>
    <w:rsid w:val="00383978"/>
    <w:rsid w:val="00383A39"/>
    <w:rsid w:val="00383D35"/>
    <w:rsid w:val="00383D7E"/>
    <w:rsid w:val="00383D8D"/>
    <w:rsid w:val="00383E5A"/>
    <w:rsid w:val="00383E91"/>
    <w:rsid w:val="00383FC0"/>
    <w:rsid w:val="00384050"/>
    <w:rsid w:val="0038409A"/>
    <w:rsid w:val="0038429E"/>
    <w:rsid w:val="00384587"/>
    <w:rsid w:val="003845E9"/>
    <w:rsid w:val="0038461F"/>
    <w:rsid w:val="00384621"/>
    <w:rsid w:val="00384807"/>
    <w:rsid w:val="0038483B"/>
    <w:rsid w:val="003848BF"/>
    <w:rsid w:val="003848E8"/>
    <w:rsid w:val="003849EE"/>
    <w:rsid w:val="00384A31"/>
    <w:rsid w:val="00384A99"/>
    <w:rsid w:val="00384C7C"/>
    <w:rsid w:val="00384FE2"/>
    <w:rsid w:val="0038512D"/>
    <w:rsid w:val="0038539F"/>
    <w:rsid w:val="00385444"/>
    <w:rsid w:val="0038544E"/>
    <w:rsid w:val="00385755"/>
    <w:rsid w:val="0038594B"/>
    <w:rsid w:val="00385AF9"/>
    <w:rsid w:val="00385B32"/>
    <w:rsid w:val="00385D92"/>
    <w:rsid w:val="00385F71"/>
    <w:rsid w:val="0038612E"/>
    <w:rsid w:val="00386174"/>
    <w:rsid w:val="00386284"/>
    <w:rsid w:val="003862D2"/>
    <w:rsid w:val="0038653B"/>
    <w:rsid w:val="0038659D"/>
    <w:rsid w:val="0038668F"/>
    <w:rsid w:val="00386AFC"/>
    <w:rsid w:val="00386B3B"/>
    <w:rsid w:val="00386D67"/>
    <w:rsid w:val="00386F3E"/>
    <w:rsid w:val="00387006"/>
    <w:rsid w:val="0038711B"/>
    <w:rsid w:val="00387283"/>
    <w:rsid w:val="003872F9"/>
    <w:rsid w:val="003874C2"/>
    <w:rsid w:val="003874C9"/>
    <w:rsid w:val="003875D8"/>
    <w:rsid w:val="00387660"/>
    <w:rsid w:val="00387787"/>
    <w:rsid w:val="0038794B"/>
    <w:rsid w:val="0038796C"/>
    <w:rsid w:val="00387C52"/>
    <w:rsid w:val="00387E3D"/>
    <w:rsid w:val="003901A5"/>
    <w:rsid w:val="00390219"/>
    <w:rsid w:val="003902F8"/>
    <w:rsid w:val="003904FF"/>
    <w:rsid w:val="00390577"/>
    <w:rsid w:val="003905FA"/>
    <w:rsid w:val="003907E7"/>
    <w:rsid w:val="003907E8"/>
    <w:rsid w:val="0039090C"/>
    <w:rsid w:val="0039098E"/>
    <w:rsid w:val="003909B4"/>
    <w:rsid w:val="003909C2"/>
    <w:rsid w:val="00390AA4"/>
    <w:rsid w:val="00390B84"/>
    <w:rsid w:val="00390F44"/>
    <w:rsid w:val="00390FBB"/>
    <w:rsid w:val="00390FF3"/>
    <w:rsid w:val="0039111B"/>
    <w:rsid w:val="003911CD"/>
    <w:rsid w:val="00391401"/>
    <w:rsid w:val="00391534"/>
    <w:rsid w:val="0039156E"/>
    <w:rsid w:val="0039166A"/>
    <w:rsid w:val="003916B2"/>
    <w:rsid w:val="003916BF"/>
    <w:rsid w:val="003916D3"/>
    <w:rsid w:val="0039172E"/>
    <w:rsid w:val="0039177E"/>
    <w:rsid w:val="003917E3"/>
    <w:rsid w:val="003918BF"/>
    <w:rsid w:val="0039197A"/>
    <w:rsid w:val="0039198B"/>
    <w:rsid w:val="00391AEF"/>
    <w:rsid w:val="00391B09"/>
    <w:rsid w:val="00391B18"/>
    <w:rsid w:val="00391D72"/>
    <w:rsid w:val="00391E38"/>
    <w:rsid w:val="0039218C"/>
    <w:rsid w:val="003922B0"/>
    <w:rsid w:val="00392302"/>
    <w:rsid w:val="003924B7"/>
    <w:rsid w:val="00392675"/>
    <w:rsid w:val="00392691"/>
    <w:rsid w:val="0039283D"/>
    <w:rsid w:val="00392943"/>
    <w:rsid w:val="00392C4A"/>
    <w:rsid w:val="00392E9A"/>
    <w:rsid w:val="003931FA"/>
    <w:rsid w:val="003933B0"/>
    <w:rsid w:val="00393429"/>
    <w:rsid w:val="003934A3"/>
    <w:rsid w:val="0039358C"/>
    <w:rsid w:val="0039375F"/>
    <w:rsid w:val="003939EB"/>
    <w:rsid w:val="003939F7"/>
    <w:rsid w:val="00393B9E"/>
    <w:rsid w:val="00393E71"/>
    <w:rsid w:val="00393E82"/>
    <w:rsid w:val="00393F3F"/>
    <w:rsid w:val="00393F81"/>
    <w:rsid w:val="00393F8F"/>
    <w:rsid w:val="00393FF4"/>
    <w:rsid w:val="0039403B"/>
    <w:rsid w:val="003943AC"/>
    <w:rsid w:val="00394508"/>
    <w:rsid w:val="00394536"/>
    <w:rsid w:val="00394A41"/>
    <w:rsid w:val="00394D01"/>
    <w:rsid w:val="00394EA0"/>
    <w:rsid w:val="0039503C"/>
    <w:rsid w:val="00395208"/>
    <w:rsid w:val="003954DF"/>
    <w:rsid w:val="003955C6"/>
    <w:rsid w:val="003955D7"/>
    <w:rsid w:val="00395666"/>
    <w:rsid w:val="003956DA"/>
    <w:rsid w:val="003958AE"/>
    <w:rsid w:val="00395967"/>
    <w:rsid w:val="003959DD"/>
    <w:rsid w:val="00395A3A"/>
    <w:rsid w:val="00395B78"/>
    <w:rsid w:val="00395CF0"/>
    <w:rsid w:val="00396023"/>
    <w:rsid w:val="0039605E"/>
    <w:rsid w:val="003960FE"/>
    <w:rsid w:val="0039644A"/>
    <w:rsid w:val="003966C4"/>
    <w:rsid w:val="00396746"/>
    <w:rsid w:val="00396788"/>
    <w:rsid w:val="00396839"/>
    <w:rsid w:val="00396936"/>
    <w:rsid w:val="00396A0F"/>
    <w:rsid w:val="00396A23"/>
    <w:rsid w:val="00396B6B"/>
    <w:rsid w:val="00396C11"/>
    <w:rsid w:val="00396CA3"/>
    <w:rsid w:val="00396D92"/>
    <w:rsid w:val="00396F11"/>
    <w:rsid w:val="003972CB"/>
    <w:rsid w:val="003975CE"/>
    <w:rsid w:val="0039767F"/>
    <w:rsid w:val="003977C9"/>
    <w:rsid w:val="0039784F"/>
    <w:rsid w:val="00397972"/>
    <w:rsid w:val="00397EF9"/>
    <w:rsid w:val="00397EFD"/>
    <w:rsid w:val="00397F9C"/>
    <w:rsid w:val="00397FDE"/>
    <w:rsid w:val="00398D84"/>
    <w:rsid w:val="003A014A"/>
    <w:rsid w:val="003A01DA"/>
    <w:rsid w:val="003A01E8"/>
    <w:rsid w:val="003A02A2"/>
    <w:rsid w:val="003A0404"/>
    <w:rsid w:val="003A0433"/>
    <w:rsid w:val="003A0551"/>
    <w:rsid w:val="003A0857"/>
    <w:rsid w:val="003A0862"/>
    <w:rsid w:val="003A08D6"/>
    <w:rsid w:val="003A0B40"/>
    <w:rsid w:val="003A0D2B"/>
    <w:rsid w:val="003A0E08"/>
    <w:rsid w:val="003A0E9A"/>
    <w:rsid w:val="003A0F36"/>
    <w:rsid w:val="003A0F62"/>
    <w:rsid w:val="003A1182"/>
    <w:rsid w:val="003A1298"/>
    <w:rsid w:val="003A134D"/>
    <w:rsid w:val="003A138A"/>
    <w:rsid w:val="003A160D"/>
    <w:rsid w:val="003A16C3"/>
    <w:rsid w:val="003A16CF"/>
    <w:rsid w:val="003A17CF"/>
    <w:rsid w:val="003A18FB"/>
    <w:rsid w:val="003A1A39"/>
    <w:rsid w:val="003A1BB3"/>
    <w:rsid w:val="003A1C0E"/>
    <w:rsid w:val="003A1E9A"/>
    <w:rsid w:val="003A2096"/>
    <w:rsid w:val="003A2099"/>
    <w:rsid w:val="003A21C4"/>
    <w:rsid w:val="003A25EA"/>
    <w:rsid w:val="003A2649"/>
    <w:rsid w:val="003A28CF"/>
    <w:rsid w:val="003A2908"/>
    <w:rsid w:val="003A290D"/>
    <w:rsid w:val="003A2939"/>
    <w:rsid w:val="003A2A7C"/>
    <w:rsid w:val="003A2BA2"/>
    <w:rsid w:val="003A2DEA"/>
    <w:rsid w:val="003A2E3A"/>
    <w:rsid w:val="003A2FC0"/>
    <w:rsid w:val="003A3021"/>
    <w:rsid w:val="003A30B9"/>
    <w:rsid w:val="003A31EF"/>
    <w:rsid w:val="003A31F2"/>
    <w:rsid w:val="003A3316"/>
    <w:rsid w:val="003A34A7"/>
    <w:rsid w:val="003A3584"/>
    <w:rsid w:val="003A3747"/>
    <w:rsid w:val="003A3773"/>
    <w:rsid w:val="003A37AC"/>
    <w:rsid w:val="003A38D0"/>
    <w:rsid w:val="003A3946"/>
    <w:rsid w:val="003A3D45"/>
    <w:rsid w:val="003A3E83"/>
    <w:rsid w:val="003A4045"/>
    <w:rsid w:val="003A41D4"/>
    <w:rsid w:val="003A45D0"/>
    <w:rsid w:val="003A461C"/>
    <w:rsid w:val="003A46E7"/>
    <w:rsid w:val="003A4811"/>
    <w:rsid w:val="003A4A70"/>
    <w:rsid w:val="003A4AC2"/>
    <w:rsid w:val="003A4B64"/>
    <w:rsid w:val="003A4BCF"/>
    <w:rsid w:val="003A4CDB"/>
    <w:rsid w:val="003A4D2E"/>
    <w:rsid w:val="003A4D7E"/>
    <w:rsid w:val="003A5187"/>
    <w:rsid w:val="003A5491"/>
    <w:rsid w:val="003A560B"/>
    <w:rsid w:val="003A57AA"/>
    <w:rsid w:val="003A5811"/>
    <w:rsid w:val="003A58B9"/>
    <w:rsid w:val="003A5913"/>
    <w:rsid w:val="003A59B0"/>
    <w:rsid w:val="003A5A9B"/>
    <w:rsid w:val="003A5B54"/>
    <w:rsid w:val="003A5CF4"/>
    <w:rsid w:val="003A5E11"/>
    <w:rsid w:val="003A5EA4"/>
    <w:rsid w:val="003A5EEE"/>
    <w:rsid w:val="003A5F39"/>
    <w:rsid w:val="003A6073"/>
    <w:rsid w:val="003A6192"/>
    <w:rsid w:val="003A624D"/>
    <w:rsid w:val="003A6297"/>
    <w:rsid w:val="003A63E5"/>
    <w:rsid w:val="003A6417"/>
    <w:rsid w:val="003A64D6"/>
    <w:rsid w:val="003A6700"/>
    <w:rsid w:val="003A6733"/>
    <w:rsid w:val="003A6842"/>
    <w:rsid w:val="003A691D"/>
    <w:rsid w:val="003A6A13"/>
    <w:rsid w:val="003A6A44"/>
    <w:rsid w:val="003A6ABA"/>
    <w:rsid w:val="003A6B9E"/>
    <w:rsid w:val="003A6C54"/>
    <w:rsid w:val="003A6CA6"/>
    <w:rsid w:val="003A6F51"/>
    <w:rsid w:val="003A741A"/>
    <w:rsid w:val="003A744D"/>
    <w:rsid w:val="003A78AE"/>
    <w:rsid w:val="003A7941"/>
    <w:rsid w:val="003A7956"/>
    <w:rsid w:val="003A7A7F"/>
    <w:rsid w:val="003A7C0B"/>
    <w:rsid w:val="003A7C6A"/>
    <w:rsid w:val="003A7D31"/>
    <w:rsid w:val="003A7E85"/>
    <w:rsid w:val="003B0122"/>
    <w:rsid w:val="003B019C"/>
    <w:rsid w:val="003B02FA"/>
    <w:rsid w:val="003B06B1"/>
    <w:rsid w:val="003B0814"/>
    <w:rsid w:val="003B0E43"/>
    <w:rsid w:val="003B0EDD"/>
    <w:rsid w:val="003B0EED"/>
    <w:rsid w:val="003B0FA0"/>
    <w:rsid w:val="003B1056"/>
    <w:rsid w:val="003B10C2"/>
    <w:rsid w:val="003B120D"/>
    <w:rsid w:val="003B1229"/>
    <w:rsid w:val="003B14B6"/>
    <w:rsid w:val="003B14F1"/>
    <w:rsid w:val="003B15D1"/>
    <w:rsid w:val="003B17C7"/>
    <w:rsid w:val="003B1829"/>
    <w:rsid w:val="003B1834"/>
    <w:rsid w:val="003B191D"/>
    <w:rsid w:val="003B1AD2"/>
    <w:rsid w:val="003B1BCD"/>
    <w:rsid w:val="003B1F76"/>
    <w:rsid w:val="003B1FBF"/>
    <w:rsid w:val="003B1FE3"/>
    <w:rsid w:val="003B2208"/>
    <w:rsid w:val="003B22D3"/>
    <w:rsid w:val="003B23B9"/>
    <w:rsid w:val="003B24DE"/>
    <w:rsid w:val="003B2596"/>
    <w:rsid w:val="003B2612"/>
    <w:rsid w:val="003B261B"/>
    <w:rsid w:val="003B26E6"/>
    <w:rsid w:val="003B27F0"/>
    <w:rsid w:val="003B29B9"/>
    <w:rsid w:val="003B29EC"/>
    <w:rsid w:val="003B2C1B"/>
    <w:rsid w:val="003B2C44"/>
    <w:rsid w:val="003B2CAB"/>
    <w:rsid w:val="003B2F9B"/>
    <w:rsid w:val="003B301B"/>
    <w:rsid w:val="003B3065"/>
    <w:rsid w:val="003B30FA"/>
    <w:rsid w:val="003B311F"/>
    <w:rsid w:val="003B31CF"/>
    <w:rsid w:val="003B3362"/>
    <w:rsid w:val="003B3436"/>
    <w:rsid w:val="003B349E"/>
    <w:rsid w:val="003B35E1"/>
    <w:rsid w:val="003B3A7C"/>
    <w:rsid w:val="003B3D95"/>
    <w:rsid w:val="003B3E50"/>
    <w:rsid w:val="003B3F6D"/>
    <w:rsid w:val="003B3FC6"/>
    <w:rsid w:val="003B4001"/>
    <w:rsid w:val="003B4236"/>
    <w:rsid w:val="003B4292"/>
    <w:rsid w:val="003B4571"/>
    <w:rsid w:val="003B46CB"/>
    <w:rsid w:val="003B477D"/>
    <w:rsid w:val="003B482D"/>
    <w:rsid w:val="003B4ACC"/>
    <w:rsid w:val="003B4AD6"/>
    <w:rsid w:val="003B4AF5"/>
    <w:rsid w:val="003B4B25"/>
    <w:rsid w:val="003B4B35"/>
    <w:rsid w:val="003B4BD4"/>
    <w:rsid w:val="003B4C14"/>
    <w:rsid w:val="003B4C35"/>
    <w:rsid w:val="003B4FFE"/>
    <w:rsid w:val="003B5121"/>
    <w:rsid w:val="003B524A"/>
    <w:rsid w:val="003B5586"/>
    <w:rsid w:val="003B56C1"/>
    <w:rsid w:val="003B5866"/>
    <w:rsid w:val="003B5CF8"/>
    <w:rsid w:val="003B5DDE"/>
    <w:rsid w:val="003B5E11"/>
    <w:rsid w:val="003B5E40"/>
    <w:rsid w:val="003B5F59"/>
    <w:rsid w:val="003B5FB5"/>
    <w:rsid w:val="003B60AA"/>
    <w:rsid w:val="003B60E3"/>
    <w:rsid w:val="003B621D"/>
    <w:rsid w:val="003B62B3"/>
    <w:rsid w:val="003B62C2"/>
    <w:rsid w:val="003B6693"/>
    <w:rsid w:val="003B6722"/>
    <w:rsid w:val="003B6AC4"/>
    <w:rsid w:val="003B6E12"/>
    <w:rsid w:val="003B6E1F"/>
    <w:rsid w:val="003B70FD"/>
    <w:rsid w:val="003B7320"/>
    <w:rsid w:val="003B7414"/>
    <w:rsid w:val="003B756E"/>
    <w:rsid w:val="003B764E"/>
    <w:rsid w:val="003B780E"/>
    <w:rsid w:val="003B78C3"/>
    <w:rsid w:val="003B7948"/>
    <w:rsid w:val="003B7EDE"/>
    <w:rsid w:val="003B7EE4"/>
    <w:rsid w:val="003B7F00"/>
    <w:rsid w:val="003BF46D"/>
    <w:rsid w:val="003C01BE"/>
    <w:rsid w:val="003C039B"/>
    <w:rsid w:val="003C03D3"/>
    <w:rsid w:val="003C0402"/>
    <w:rsid w:val="003C0507"/>
    <w:rsid w:val="003C06A6"/>
    <w:rsid w:val="003C0AE5"/>
    <w:rsid w:val="003C0C6F"/>
    <w:rsid w:val="003C0CA4"/>
    <w:rsid w:val="003C13F8"/>
    <w:rsid w:val="003C1739"/>
    <w:rsid w:val="003C1749"/>
    <w:rsid w:val="003C1773"/>
    <w:rsid w:val="003C18D7"/>
    <w:rsid w:val="003C191C"/>
    <w:rsid w:val="003C1956"/>
    <w:rsid w:val="003C1AEC"/>
    <w:rsid w:val="003C1AF5"/>
    <w:rsid w:val="003C1B62"/>
    <w:rsid w:val="003C200E"/>
    <w:rsid w:val="003C203D"/>
    <w:rsid w:val="003C20F9"/>
    <w:rsid w:val="003C216A"/>
    <w:rsid w:val="003C2268"/>
    <w:rsid w:val="003C23A2"/>
    <w:rsid w:val="003C23E4"/>
    <w:rsid w:val="003C2521"/>
    <w:rsid w:val="003C2605"/>
    <w:rsid w:val="003C28AE"/>
    <w:rsid w:val="003C297B"/>
    <w:rsid w:val="003C2D66"/>
    <w:rsid w:val="003C2E09"/>
    <w:rsid w:val="003C2ED6"/>
    <w:rsid w:val="003C2F07"/>
    <w:rsid w:val="003C32CA"/>
    <w:rsid w:val="003C32E3"/>
    <w:rsid w:val="003C3448"/>
    <w:rsid w:val="003C34C6"/>
    <w:rsid w:val="003C353A"/>
    <w:rsid w:val="003C3564"/>
    <w:rsid w:val="003C376A"/>
    <w:rsid w:val="003C37CA"/>
    <w:rsid w:val="003C37DE"/>
    <w:rsid w:val="003C383A"/>
    <w:rsid w:val="003C39E8"/>
    <w:rsid w:val="003C3C0E"/>
    <w:rsid w:val="003C3CEC"/>
    <w:rsid w:val="003C3E31"/>
    <w:rsid w:val="003C3E6D"/>
    <w:rsid w:val="003C4064"/>
    <w:rsid w:val="003C4111"/>
    <w:rsid w:val="003C4139"/>
    <w:rsid w:val="003C41A0"/>
    <w:rsid w:val="003C4300"/>
    <w:rsid w:val="003C43FE"/>
    <w:rsid w:val="003C44D2"/>
    <w:rsid w:val="003C4623"/>
    <w:rsid w:val="003C46D6"/>
    <w:rsid w:val="003C4762"/>
    <w:rsid w:val="003C4880"/>
    <w:rsid w:val="003C4927"/>
    <w:rsid w:val="003C4950"/>
    <w:rsid w:val="003C4A18"/>
    <w:rsid w:val="003C4BED"/>
    <w:rsid w:val="003C4C76"/>
    <w:rsid w:val="003C4DE7"/>
    <w:rsid w:val="003C4E9C"/>
    <w:rsid w:val="003C4EC3"/>
    <w:rsid w:val="003C4FB4"/>
    <w:rsid w:val="003C5032"/>
    <w:rsid w:val="003C5044"/>
    <w:rsid w:val="003C5260"/>
    <w:rsid w:val="003C526C"/>
    <w:rsid w:val="003C537B"/>
    <w:rsid w:val="003C5439"/>
    <w:rsid w:val="003C555E"/>
    <w:rsid w:val="003C55B2"/>
    <w:rsid w:val="003C55F5"/>
    <w:rsid w:val="003C5612"/>
    <w:rsid w:val="003C59D0"/>
    <w:rsid w:val="003C59FF"/>
    <w:rsid w:val="003C5EC3"/>
    <w:rsid w:val="003C60C3"/>
    <w:rsid w:val="003C6236"/>
    <w:rsid w:val="003C65F2"/>
    <w:rsid w:val="003C6613"/>
    <w:rsid w:val="003C66CC"/>
    <w:rsid w:val="003C6720"/>
    <w:rsid w:val="003C67E5"/>
    <w:rsid w:val="003C6955"/>
    <w:rsid w:val="003C696B"/>
    <w:rsid w:val="003C6B03"/>
    <w:rsid w:val="003C6B1A"/>
    <w:rsid w:val="003C6BBF"/>
    <w:rsid w:val="003C6C90"/>
    <w:rsid w:val="003C6D2C"/>
    <w:rsid w:val="003C6E60"/>
    <w:rsid w:val="003C6FA5"/>
    <w:rsid w:val="003C7211"/>
    <w:rsid w:val="003C73BF"/>
    <w:rsid w:val="003C75CF"/>
    <w:rsid w:val="003C79AD"/>
    <w:rsid w:val="003C7A49"/>
    <w:rsid w:val="003C7B0E"/>
    <w:rsid w:val="003D0066"/>
    <w:rsid w:val="003D006B"/>
    <w:rsid w:val="003D0127"/>
    <w:rsid w:val="003D02B4"/>
    <w:rsid w:val="003D0463"/>
    <w:rsid w:val="003D05C7"/>
    <w:rsid w:val="003D07C5"/>
    <w:rsid w:val="003D08BB"/>
    <w:rsid w:val="003D0981"/>
    <w:rsid w:val="003D0A00"/>
    <w:rsid w:val="003D0B80"/>
    <w:rsid w:val="003D0C48"/>
    <w:rsid w:val="003D0C63"/>
    <w:rsid w:val="003D0DE3"/>
    <w:rsid w:val="003D0E68"/>
    <w:rsid w:val="003D0E88"/>
    <w:rsid w:val="003D1050"/>
    <w:rsid w:val="003D12F9"/>
    <w:rsid w:val="003D13E1"/>
    <w:rsid w:val="003D145D"/>
    <w:rsid w:val="003D164D"/>
    <w:rsid w:val="003D167F"/>
    <w:rsid w:val="003D1AB9"/>
    <w:rsid w:val="003D1D5A"/>
    <w:rsid w:val="003D1E65"/>
    <w:rsid w:val="003D2002"/>
    <w:rsid w:val="003D2038"/>
    <w:rsid w:val="003D217C"/>
    <w:rsid w:val="003D2207"/>
    <w:rsid w:val="003D228D"/>
    <w:rsid w:val="003D2295"/>
    <w:rsid w:val="003D22E7"/>
    <w:rsid w:val="003D23FE"/>
    <w:rsid w:val="003D240B"/>
    <w:rsid w:val="003D242F"/>
    <w:rsid w:val="003D2681"/>
    <w:rsid w:val="003D274A"/>
    <w:rsid w:val="003D27A7"/>
    <w:rsid w:val="003D28BB"/>
    <w:rsid w:val="003D28E1"/>
    <w:rsid w:val="003D2900"/>
    <w:rsid w:val="003D2A44"/>
    <w:rsid w:val="003D2AAB"/>
    <w:rsid w:val="003D2D0B"/>
    <w:rsid w:val="003D2D1A"/>
    <w:rsid w:val="003D2E54"/>
    <w:rsid w:val="003D30A9"/>
    <w:rsid w:val="003D31F2"/>
    <w:rsid w:val="003D322B"/>
    <w:rsid w:val="003D3436"/>
    <w:rsid w:val="003D36A2"/>
    <w:rsid w:val="003D3715"/>
    <w:rsid w:val="003D3716"/>
    <w:rsid w:val="003D3767"/>
    <w:rsid w:val="003D3A94"/>
    <w:rsid w:val="003D3C20"/>
    <w:rsid w:val="003D3C27"/>
    <w:rsid w:val="003D3C58"/>
    <w:rsid w:val="003D3C69"/>
    <w:rsid w:val="003D3F7F"/>
    <w:rsid w:val="003D4087"/>
    <w:rsid w:val="003D40D2"/>
    <w:rsid w:val="003D4228"/>
    <w:rsid w:val="003D42CE"/>
    <w:rsid w:val="003D4310"/>
    <w:rsid w:val="003D4516"/>
    <w:rsid w:val="003D4521"/>
    <w:rsid w:val="003D45FD"/>
    <w:rsid w:val="003D460B"/>
    <w:rsid w:val="003D498E"/>
    <w:rsid w:val="003D49AC"/>
    <w:rsid w:val="003D4A31"/>
    <w:rsid w:val="003D4B3C"/>
    <w:rsid w:val="003D4C58"/>
    <w:rsid w:val="003D4CE8"/>
    <w:rsid w:val="003D4E5F"/>
    <w:rsid w:val="003D4EB3"/>
    <w:rsid w:val="003D4FBA"/>
    <w:rsid w:val="003D500F"/>
    <w:rsid w:val="003D5023"/>
    <w:rsid w:val="003D51CA"/>
    <w:rsid w:val="003D522B"/>
    <w:rsid w:val="003D54E3"/>
    <w:rsid w:val="003D54FB"/>
    <w:rsid w:val="003D552C"/>
    <w:rsid w:val="003D562C"/>
    <w:rsid w:val="003D59D1"/>
    <w:rsid w:val="003D5A2E"/>
    <w:rsid w:val="003D5AC7"/>
    <w:rsid w:val="003D5B2C"/>
    <w:rsid w:val="003D5FB2"/>
    <w:rsid w:val="003D60A1"/>
    <w:rsid w:val="003D6167"/>
    <w:rsid w:val="003D61E8"/>
    <w:rsid w:val="003D6264"/>
    <w:rsid w:val="003D63B0"/>
    <w:rsid w:val="003D63B8"/>
    <w:rsid w:val="003D63C7"/>
    <w:rsid w:val="003D642C"/>
    <w:rsid w:val="003D6F36"/>
    <w:rsid w:val="003D7040"/>
    <w:rsid w:val="003D720B"/>
    <w:rsid w:val="003D74F7"/>
    <w:rsid w:val="003D7685"/>
    <w:rsid w:val="003D776C"/>
    <w:rsid w:val="003D777E"/>
    <w:rsid w:val="003D77B5"/>
    <w:rsid w:val="003D786F"/>
    <w:rsid w:val="003D78F4"/>
    <w:rsid w:val="003D7C96"/>
    <w:rsid w:val="003D7D0F"/>
    <w:rsid w:val="003D7DFF"/>
    <w:rsid w:val="003D7E30"/>
    <w:rsid w:val="003D7E57"/>
    <w:rsid w:val="003D7FB1"/>
    <w:rsid w:val="003E0172"/>
    <w:rsid w:val="003E0275"/>
    <w:rsid w:val="003E0343"/>
    <w:rsid w:val="003E0344"/>
    <w:rsid w:val="003E0634"/>
    <w:rsid w:val="003E07A2"/>
    <w:rsid w:val="003E07C8"/>
    <w:rsid w:val="003E0852"/>
    <w:rsid w:val="003E0AE8"/>
    <w:rsid w:val="003E0C7C"/>
    <w:rsid w:val="003E0C83"/>
    <w:rsid w:val="003E0D9E"/>
    <w:rsid w:val="003E0E3B"/>
    <w:rsid w:val="003E0F08"/>
    <w:rsid w:val="003E1577"/>
    <w:rsid w:val="003E170E"/>
    <w:rsid w:val="003E17E6"/>
    <w:rsid w:val="003E18DE"/>
    <w:rsid w:val="003E19A3"/>
    <w:rsid w:val="003E19E9"/>
    <w:rsid w:val="003E1A0B"/>
    <w:rsid w:val="003E1AC4"/>
    <w:rsid w:val="003E1D54"/>
    <w:rsid w:val="003E1DD8"/>
    <w:rsid w:val="003E1FD9"/>
    <w:rsid w:val="003E25E5"/>
    <w:rsid w:val="003E260F"/>
    <w:rsid w:val="003E2632"/>
    <w:rsid w:val="003E275C"/>
    <w:rsid w:val="003E2AF6"/>
    <w:rsid w:val="003E2B6E"/>
    <w:rsid w:val="003E2BA1"/>
    <w:rsid w:val="003E2CD0"/>
    <w:rsid w:val="003E2D2A"/>
    <w:rsid w:val="003E2D9A"/>
    <w:rsid w:val="003E2DA6"/>
    <w:rsid w:val="003E2E73"/>
    <w:rsid w:val="003E2E96"/>
    <w:rsid w:val="003E3015"/>
    <w:rsid w:val="003E3048"/>
    <w:rsid w:val="003E3188"/>
    <w:rsid w:val="003E33E0"/>
    <w:rsid w:val="003E353D"/>
    <w:rsid w:val="003E38A7"/>
    <w:rsid w:val="003E39E2"/>
    <w:rsid w:val="003E39FF"/>
    <w:rsid w:val="003E3B30"/>
    <w:rsid w:val="003E3B39"/>
    <w:rsid w:val="003E3CB9"/>
    <w:rsid w:val="003E3E27"/>
    <w:rsid w:val="003E3E86"/>
    <w:rsid w:val="003E3EE5"/>
    <w:rsid w:val="003E4175"/>
    <w:rsid w:val="003E419D"/>
    <w:rsid w:val="003E429D"/>
    <w:rsid w:val="003E4500"/>
    <w:rsid w:val="003E459D"/>
    <w:rsid w:val="003E4605"/>
    <w:rsid w:val="003E4789"/>
    <w:rsid w:val="003E47A1"/>
    <w:rsid w:val="003E48CA"/>
    <w:rsid w:val="003E4BC7"/>
    <w:rsid w:val="003E4CB4"/>
    <w:rsid w:val="003E4D6B"/>
    <w:rsid w:val="003E4EC1"/>
    <w:rsid w:val="003E519B"/>
    <w:rsid w:val="003E5229"/>
    <w:rsid w:val="003E5236"/>
    <w:rsid w:val="003E5245"/>
    <w:rsid w:val="003E5251"/>
    <w:rsid w:val="003E52D2"/>
    <w:rsid w:val="003E53C7"/>
    <w:rsid w:val="003E5480"/>
    <w:rsid w:val="003E5509"/>
    <w:rsid w:val="003E562E"/>
    <w:rsid w:val="003E56BB"/>
    <w:rsid w:val="003E56F9"/>
    <w:rsid w:val="003E5772"/>
    <w:rsid w:val="003E5965"/>
    <w:rsid w:val="003E59B3"/>
    <w:rsid w:val="003E59D8"/>
    <w:rsid w:val="003E59F0"/>
    <w:rsid w:val="003E5A13"/>
    <w:rsid w:val="003E5B12"/>
    <w:rsid w:val="003E5BCA"/>
    <w:rsid w:val="003E5C29"/>
    <w:rsid w:val="003E5C54"/>
    <w:rsid w:val="003E5CFA"/>
    <w:rsid w:val="003E5DAC"/>
    <w:rsid w:val="003E5E35"/>
    <w:rsid w:val="003E5E36"/>
    <w:rsid w:val="003E5E93"/>
    <w:rsid w:val="003E5F11"/>
    <w:rsid w:val="003E5FC4"/>
    <w:rsid w:val="003E6072"/>
    <w:rsid w:val="003E60B4"/>
    <w:rsid w:val="003E612A"/>
    <w:rsid w:val="003E61B4"/>
    <w:rsid w:val="003E6400"/>
    <w:rsid w:val="003E647D"/>
    <w:rsid w:val="003E664D"/>
    <w:rsid w:val="003E68DE"/>
    <w:rsid w:val="003E68E7"/>
    <w:rsid w:val="003E6B4E"/>
    <w:rsid w:val="003E6B59"/>
    <w:rsid w:val="003E6CE0"/>
    <w:rsid w:val="003E6D4A"/>
    <w:rsid w:val="003E6EB2"/>
    <w:rsid w:val="003E6FFF"/>
    <w:rsid w:val="003E7105"/>
    <w:rsid w:val="003E715D"/>
    <w:rsid w:val="003E71D7"/>
    <w:rsid w:val="003E7393"/>
    <w:rsid w:val="003E7410"/>
    <w:rsid w:val="003E74C0"/>
    <w:rsid w:val="003E770A"/>
    <w:rsid w:val="003E783F"/>
    <w:rsid w:val="003E785C"/>
    <w:rsid w:val="003E7860"/>
    <w:rsid w:val="003E7871"/>
    <w:rsid w:val="003E788E"/>
    <w:rsid w:val="003E790C"/>
    <w:rsid w:val="003E7B3B"/>
    <w:rsid w:val="003E7BA7"/>
    <w:rsid w:val="003E7C6D"/>
    <w:rsid w:val="003E7D2A"/>
    <w:rsid w:val="003E7E51"/>
    <w:rsid w:val="003F0050"/>
    <w:rsid w:val="003F012D"/>
    <w:rsid w:val="003F0213"/>
    <w:rsid w:val="003F02D2"/>
    <w:rsid w:val="003F0416"/>
    <w:rsid w:val="003F0422"/>
    <w:rsid w:val="003F058C"/>
    <w:rsid w:val="003F05A2"/>
    <w:rsid w:val="003F06FA"/>
    <w:rsid w:val="003F070E"/>
    <w:rsid w:val="003F0837"/>
    <w:rsid w:val="003F0B73"/>
    <w:rsid w:val="003F0BA6"/>
    <w:rsid w:val="003F0CC4"/>
    <w:rsid w:val="003F0DC8"/>
    <w:rsid w:val="003F102C"/>
    <w:rsid w:val="003F122C"/>
    <w:rsid w:val="003F1366"/>
    <w:rsid w:val="003F13A9"/>
    <w:rsid w:val="003F13B8"/>
    <w:rsid w:val="003F179C"/>
    <w:rsid w:val="003F17BB"/>
    <w:rsid w:val="003F18BC"/>
    <w:rsid w:val="003F1C6D"/>
    <w:rsid w:val="003F1CCA"/>
    <w:rsid w:val="003F1E58"/>
    <w:rsid w:val="003F1EAE"/>
    <w:rsid w:val="003F1F94"/>
    <w:rsid w:val="003F2372"/>
    <w:rsid w:val="003F24F9"/>
    <w:rsid w:val="003F25BD"/>
    <w:rsid w:val="003F2893"/>
    <w:rsid w:val="003F290A"/>
    <w:rsid w:val="003F2996"/>
    <w:rsid w:val="003F2AF1"/>
    <w:rsid w:val="003F2B1F"/>
    <w:rsid w:val="003F2BD3"/>
    <w:rsid w:val="003F2D9B"/>
    <w:rsid w:val="003F2DCA"/>
    <w:rsid w:val="003F2FAB"/>
    <w:rsid w:val="003F3131"/>
    <w:rsid w:val="003F3193"/>
    <w:rsid w:val="003F324C"/>
    <w:rsid w:val="003F3758"/>
    <w:rsid w:val="003F3B86"/>
    <w:rsid w:val="003F3C4A"/>
    <w:rsid w:val="003F3E32"/>
    <w:rsid w:val="003F3F00"/>
    <w:rsid w:val="003F3F15"/>
    <w:rsid w:val="003F4020"/>
    <w:rsid w:val="003F4133"/>
    <w:rsid w:val="003F4245"/>
    <w:rsid w:val="003F42F6"/>
    <w:rsid w:val="003F43A0"/>
    <w:rsid w:val="003F4446"/>
    <w:rsid w:val="003F4922"/>
    <w:rsid w:val="003F49DC"/>
    <w:rsid w:val="003F4B23"/>
    <w:rsid w:val="003F4B24"/>
    <w:rsid w:val="003F4BE5"/>
    <w:rsid w:val="003F4C03"/>
    <w:rsid w:val="003F4CB1"/>
    <w:rsid w:val="003F50F6"/>
    <w:rsid w:val="003F54BB"/>
    <w:rsid w:val="003F5517"/>
    <w:rsid w:val="003F5572"/>
    <w:rsid w:val="003F566C"/>
    <w:rsid w:val="003F580E"/>
    <w:rsid w:val="003F58AD"/>
    <w:rsid w:val="003F58D9"/>
    <w:rsid w:val="003F5918"/>
    <w:rsid w:val="003F5927"/>
    <w:rsid w:val="003F59B8"/>
    <w:rsid w:val="003F5C13"/>
    <w:rsid w:val="003F5CF4"/>
    <w:rsid w:val="003F5EB6"/>
    <w:rsid w:val="003F5F4B"/>
    <w:rsid w:val="003F5F7F"/>
    <w:rsid w:val="003F6125"/>
    <w:rsid w:val="003F6508"/>
    <w:rsid w:val="003F651C"/>
    <w:rsid w:val="003F658F"/>
    <w:rsid w:val="003F6685"/>
    <w:rsid w:val="003F6C99"/>
    <w:rsid w:val="003F6E6A"/>
    <w:rsid w:val="003F7021"/>
    <w:rsid w:val="003F70DA"/>
    <w:rsid w:val="003F7199"/>
    <w:rsid w:val="003F72B0"/>
    <w:rsid w:val="003F73DC"/>
    <w:rsid w:val="003F7432"/>
    <w:rsid w:val="003F7620"/>
    <w:rsid w:val="003F76A3"/>
    <w:rsid w:val="003F7728"/>
    <w:rsid w:val="003F7A64"/>
    <w:rsid w:val="003F7ACD"/>
    <w:rsid w:val="003F7B83"/>
    <w:rsid w:val="003F7B86"/>
    <w:rsid w:val="003F7C89"/>
    <w:rsid w:val="003F7DDF"/>
    <w:rsid w:val="003F7EB7"/>
    <w:rsid w:val="003F7EC6"/>
    <w:rsid w:val="00400016"/>
    <w:rsid w:val="004002A6"/>
    <w:rsid w:val="00400303"/>
    <w:rsid w:val="0040037A"/>
    <w:rsid w:val="004003A2"/>
    <w:rsid w:val="00400467"/>
    <w:rsid w:val="00400558"/>
    <w:rsid w:val="0040058E"/>
    <w:rsid w:val="004005B1"/>
    <w:rsid w:val="004006E5"/>
    <w:rsid w:val="004006E7"/>
    <w:rsid w:val="00400881"/>
    <w:rsid w:val="00400A08"/>
    <w:rsid w:val="00400AB0"/>
    <w:rsid w:val="00400B23"/>
    <w:rsid w:val="00400B65"/>
    <w:rsid w:val="00400C67"/>
    <w:rsid w:val="00400D84"/>
    <w:rsid w:val="00400E40"/>
    <w:rsid w:val="004013E0"/>
    <w:rsid w:val="0040155D"/>
    <w:rsid w:val="00401709"/>
    <w:rsid w:val="00401804"/>
    <w:rsid w:val="00401996"/>
    <w:rsid w:val="004019ED"/>
    <w:rsid w:val="00401BDD"/>
    <w:rsid w:val="00401D38"/>
    <w:rsid w:val="00401DCC"/>
    <w:rsid w:val="00401DD5"/>
    <w:rsid w:val="00401E0E"/>
    <w:rsid w:val="00401EEB"/>
    <w:rsid w:val="00402001"/>
    <w:rsid w:val="0040203B"/>
    <w:rsid w:val="0040214F"/>
    <w:rsid w:val="00402155"/>
    <w:rsid w:val="004021EA"/>
    <w:rsid w:val="004026BD"/>
    <w:rsid w:val="004027FF"/>
    <w:rsid w:val="0040281B"/>
    <w:rsid w:val="0040298C"/>
    <w:rsid w:val="004029A7"/>
    <w:rsid w:val="00402A0C"/>
    <w:rsid w:val="00402A64"/>
    <w:rsid w:val="00402FBC"/>
    <w:rsid w:val="0040310C"/>
    <w:rsid w:val="00403157"/>
    <w:rsid w:val="00403321"/>
    <w:rsid w:val="0040357D"/>
    <w:rsid w:val="0040381E"/>
    <w:rsid w:val="004038E7"/>
    <w:rsid w:val="00403949"/>
    <w:rsid w:val="004039E6"/>
    <w:rsid w:val="00403AEA"/>
    <w:rsid w:val="00403BB0"/>
    <w:rsid w:val="0040412F"/>
    <w:rsid w:val="0040413F"/>
    <w:rsid w:val="004041C0"/>
    <w:rsid w:val="0040431A"/>
    <w:rsid w:val="004044E1"/>
    <w:rsid w:val="004045CF"/>
    <w:rsid w:val="004045D1"/>
    <w:rsid w:val="004045EA"/>
    <w:rsid w:val="0040472F"/>
    <w:rsid w:val="00404832"/>
    <w:rsid w:val="00404B1C"/>
    <w:rsid w:val="00404BCD"/>
    <w:rsid w:val="00404BFB"/>
    <w:rsid w:val="00404CB2"/>
    <w:rsid w:val="00404D1F"/>
    <w:rsid w:val="00404D78"/>
    <w:rsid w:val="00404FFE"/>
    <w:rsid w:val="004052F1"/>
    <w:rsid w:val="004052F8"/>
    <w:rsid w:val="004053A9"/>
    <w:rsid w:val="004056D2"/>
    <w:rsid w:val="004057AE"/>
    <w:rsid w:val="00405888"/>
    <w:rsid w:val="004058E5"/>
    <w:rsid w:val="0040591D"/>
    <w:rsid w:val="00405932"/>
    <w:rsid w:val="00405ABC"/>
    <w:rsid w:val="00405B8B"/>
    <w:rsid w:val="00405E8B"/>
    <w:rsid w:val="00405EE4"/>
    <w:rsid w:val="00405FA8"/>
    <w:rsid w:val="004061F6"/>
    <w:rsid w:val="00406208"/>
    <w:rsid w:val="00406209"/>
    <w:rsid w:val="004062D4"/>
    <w:rsid w:val="0040635F"/>
    <w:rsid w:val="00406385"/>
    <w:rsid w:val="004064B3"/>
    <w:rsid w:val="004065CB"/>
    <w:rsid w:val="0040662B"/>
    <w:rsid w:val="00406664"/>
    <w:rsid w:val="004066D9"/>
    <w:rsid w:val="004067C5"/>
    <w:rsid w:val="004067E2"/>
    <w:rsid w:val="004068C3"/>
    <w:rsid w:val="00406B33"/>
    <w:rsid w:val="00406E9A"/>
    <w:rsid w:val="004070D2"/>
    <w:rsid w:val="0040722E"/>
    <w:rsid w:val="004072B4"/>
    <w:rsid w:val="00407335"/>
    <w:rsid w:val="0040733B"/>
    <w:rsid w:val="00407526"/>
    <w:rsid w:val="00407534"/>
    <w:rsid w:val="004076AE"/>
    <w:rsid w:val="004076BE"/>
    <w:rsid w:val="00407A03"/>
    <w:rsid w:val="00407A93"/>
    <w:rsid w:val="00407B88"/>
    <w:rsid w:val="00407BF4"/>
    <w:rsid w:val="00407CE4"/>
    <w:rsid w:val="00407D41"/>
    <w:rsid w:val="00407FA0"/>
    <w:rsid w:val="0041000C"/>
    <w:rsid w:val="004100F8"/>
    <w:rsid w:val="00410170"/>
    <w:rsid w:val="0041021A"/>
    <w:rsid w:val="004103A4"/>
    <w:rsid w:val="00410469"/>
    <w:rsid w:val="004104C4"/>
    <w:rsid w:val="004104D4"/>
    <w:rsid w:val="004106B6"/>
    <w:rsid w:val="0041074D"/>
    <w:rsid w:val="00410956"/>
    <w:rsid w:val="00410A96"/>
    <w:rsid w:val="00410B19"/>
    <w:rsid w:val="00410CB7"/>
    <w:rsid w:val="00410CB9"/>
    <w:rsid w:val="00410D12"/>
    <w:rsid w:val="00410D7E"/>
    <w:rsid w:val="00410DC0"/>
    <w:rsid w:val="00410E01"/>
    <w:rsid w:val="004111D0"/>
    <w:rsid w:val="0041125A"/>
    <w:rsid w:val="004112F3"/>
    <w:rsid w:val="00411322"/>
    <w:rsid w:val="0041142C"/>
    <w:rsid w:val="00411484"/>
    <w:rsid w:val="00411502"/>
    <w:rsid w:val="00411590"/>
    <w:rsid w:val="00411741"/>
    <w:rsid w:val="00411AD2"/>
    <w:rsid w:val="00411BAC"/>
    <w:rsid w:val="00411DCE"/>
    <w:rsid w:val="00411FA4"/>
    <w:rsid w:val="004121BD"/>
    <w:rsid w:val="004124E7"/>
    <w:rsid w:val="004124ED"/>
    <w:rsid w:val="00412577"/>
    <w:rsid w:val="004125F7"/>
    <w:rsid w:val="004126F4"/>
    <w:rsid w:val="004127F1"/>
    <w:rsid w:val="0041287A"/>
    <w:rsid w:val="00412C59"/>
    <w:rsid w:val="00412CBA"/>
    <w:rsid w:val="00412D6C"/>
    <w:rsid w:val="00412F3F"/>
    <w:rsid w:val="00412FA1"/>
    <w:rsid w:val="00412FC7"/>
    <w:rsid w:val="00413056"/>
    <w:rsid w:val="0041328D"/>
    <w:rsid w:val="00413521"/>
    <w:rsid w:val="004136E8"/>
    <w:rsid w:val="00413EBE"/>
    <w:rsid w:val="0041411A"/>
    <w:rsid w:val="00414238"/>
    <w:rsid w:val="004145EC"/>
    <w:rsid w:val="0041466E"/>
    <w:rsid w:val="00414782"/>
    <w:rsid w:val="004148B9"/>
    <w:rsid w:val="004149A5"/>
    <w:rsid w:val="00414A91"/>
    <w:rsid w:val="00414B39"/>
    <w:rsid w:val="00414B85"/>
    <w:rsid w:val="00414BFC"/>
    <w:rsid w:val="00414CE8"/>
    <w:rsid w:val="00414D11"/>
    <w:rsid w:val="00414DF5"/>
    <w:rsid w:val="00414ED9"/>
    <w:rsid w:val="00414F06"/>
    <w:rsid w:val="00414F0E"/>
    <w:rsid w:val="00414F7F"/>
    <w:rsid w:val="00414F86"/>
    <w:rsid w:val="00415162"/>
    <w:rsid w:val="004151DC"/>
    <w:rsid w:val="004152A0"/>
    <w:rsid w:val="00415498"/>
    <w:rsid w:val="00415555"/>
    <w:rsid w:val="00415790"/>
    <w:rsid w:val="004158CA"/>
    <w:rsid w:val="00415935"/>
    <w:rsid w:val="00415B68"/>
    <w:rsid w:val="00415DD1"/>
    <w:rsid w:val="00415E43"/>
    <w:rsid w:val="004160AE"/>
    <w:rsid w:val="004160FA"/>
    <w:rsid w:val="00416240"/>
    <w:rsid w:val="004163F1"/>
    <w:rsid w:val="0041648A"/>
    <w:rsid w:val="004164CB"/>
    <w:rsid w:val="004164FF"/>
    <w:rsid w:val="00416578"/>
    <w:rsid w:val="0041663E"/>
    <w:rsid w:val="00416735"/>
    <w:rsid w:val="004167F4"/>
    <w:rsid w:val="0041697C"/>
    <w:rsid w:val="004169B8"/>
    <w:rsid w:val="00416B43"/>
    <w:rsid w:val="00416BA5"/>
    <w:rsid w:val="00416BE1"/>
    <w:rsid w:val="00416C17"/>
    <w:rsid w:val="00416C58"/>
    <w:rsid w:val="00416CEB"/>
    <w:rsid w:val="00416D91"/>
    <w:rsid w:val="00416DDF"/>
    <w:rsid w:val="00416E52"/>
    <w:rsid w:val="00416F39"/>
    <w:rsid w:val="0041703D"/>
    <w:rsid w:val="0041713E"/>
    <w:rsid w:val="00417163"/>
    <w:rsid w:val="004171B8"/>
    <w:rsid w:val="00417228"/>
    <w:rsid w:val="004172A2"/>
    <w:rsid w:val="0041732B"/>
    <w:rsid w:val="004173C3"/>
    <w:rsid w:val="00417426"/>
    <w:rsid w:val="00417443"/>
    <w:rsid w:val="0041772B"/>
    <w:rsid w:val="0041785D"/>
    <w:rsid w:val="0041794D"/>
    <w:rsid w:val="00417BAC"/>
    <w:rsid w:val="00417C31"/>
    <w:rsid w:val="0041C949"/>
    <w:rsid w:val="00420050"/>
    <w:rsid w:val="00420078"/>
    <w:rsid w:val="00420124"/>
    <w:rsid w:val="0042019C"/>
    <w:rsid w:val="004202FD"/>
    <w:rsid w:val="00420315"/>
    <w:rsid w:val="0042058F"/>
    <w:rsid w:val="00420640"/>
    <w:rsid w:val="004206DF"/>
    <w:rsid w:val="00420977"/>
    <w:rsid w:val="004209F9"/>
    <w:rsid w:val="00420A15"/>
    <w:rsid w:val="00420A83"/>
    <w:rsid w:val="00420B2C"/>
    <w:rsid w:val="00420B3C"/>
    <w:rsid w:val="00420C71"/>
    <w:rsid w:val="00420EC5"/>
    <w:rsid w:val="00420F75"/>
    <w:rsid w:val="00420FEE"/>
    <w:rsid w:val="00421010"/>
    <w:rsid w:val="00421097"/>
    <w:rsid w:val="004211C8"/>
    <w:rsid w:val="0042120A"/>
    <w:rsid w:val="00421492"/>
    <w:rsid w:val="00421507"/>
    <w:rsid w:val="00421555"/>
    <w:rsid w:val="00421778"/>
    <w:rsid w:val="00421867"/>
    <w:rsid w:val="00421894"/>
    <w:rsid w:val="0042197B"/>
    <w:rsid w:val="00421989"/>
    <w:rsid w:val="00421D3F"/>
    <w:rsid w:val="00421F27"/>
    <w:rsid w:val="0042211A"/>
    <w:rsid w:val="004221BF"/>
    <w:rsid w:val="0042232E"/>
    <w:rsid w:val="00422345"/>
    <w:rsid w:val="0042239C"/>
    <w:rsid w:val="00422674"/>
    <w:rsid w:val="00422771"/>
    <w:rsid w:val="00422983"/>
    <w:rsid w:val="0042299C"/>
    <w:rsid w:val="00422BA4"/>
    <w:rsid w:val="00422BCB"/>
    <w:rsid w:val="00422CA0"/>
    <w:rsid w:val="00422DAA"/>
    <w:rsid w:val="00422DE4"/>
    <w:rsid w:val="00422E10"/>
    <w:rsid w:val="00422E19"/>
    <w:rsid w:val="00422EA1"/>
    <w:rsid w:val="00422FDB"/>
    <w:rsid w:val="0042302D"/>
    <w:rsid w:val="0042316E"/>
    <w:rsid w:val="00423284"/>
    <w:rsid w:val="004232BB"/>
    <w:rsid w:val="00423386"/>
    <w:rsid w:val="004233FE"/>
    <w:rsid w:val="004234A3"/>
    <w:rsid w:val="004236D3"/>
    <w:rsid w:val="00423785"/>
    <w:rsid w:val="004237CD"/>
    <w:rsid w:val="004238DB"/>
    <w:rsid w:val="00423988"/>
    <w:rsid w:val="00423B24"/>
    <w:rsid w:val="00423BEA"/>
    <w:rsid w:val="00423C43"/>
    <w:rsid w:val="00423FD0"/>
    <w:rsid w:val="0042423F"/>
    <w:rsid w:val="00424429"/>
    <w:rsid w:val="004246A4"/>
    <w:rsid w:val="004248D8"/>
    <w:rsid w:val="00424938"/>
    <w:rsid w:val="00424AE4"/>
    <w:rsid w:val="00424C48"/>
    <w:rsid w:val="00424C84"/>
    <w:rsid w:val="00424EB6"/>
    <w:rsid w:val="00425148"/>
    <w:rsid w:val="00425167"/>
    <w:rsid w:val="0042531F"/>
    <w:rsid w:val="00425472"/>
    <w:rsid w:val="0042548F"/>
    <w:rsid w:val="004254AA"/>
    <w:rsid w:val="004254CA"/>
    <w:rsid w:val="004254D3"/>
    <w:rsid w:val="00425758"/>
    <w:rsid w:val="00425855"/>
    <w:rsid w:val="0042596C"/>
    <w:rsid w:val="00425A04"/>
    <w:rsid w:val="00425A0C"/>
    <w:rsid w:val="00425B05"/>
    <w:rsid w:val="00425B39"/>
    <w:rsid w:val="00425D99"/>
    <w:rsid w:val="00425F69"/>
    <w:rsid w:val="00426144"/>
    <w:rsid w:val="00426423"/>
    <w:rsid w:val="004264C6"/>
    <w:rsid w:val="004264E7"/>
    <w:rsid w:val="004265F1"/>
    <w:rsid w:val="00426633"/>
    <w:rsid w:val="004266A8"/>
    <w:rsid w:val="00426748"/>
    <w:rsid w:val="00426783"/>
    <w:rsid w:val="004268FF"/>
    <w:rsid w:val="00426A39"/>
    <w:rsid w:val="00426C19"/>
    <w:rsid w:val="00426CA5"/>
    <w:rsid w:val="00426E60"/>
    <w:rsid w:val="004271BC"/>
    <w:rsid w:val="00427216"/>
    <w:rsid w:val="0042747E"/>
    <w:rsid w:val="0042762A"/>
    <w:rsid w:val="00427747"/>
    <w:rsid w:val="00427825"/>
    <w:rsid w:val="00427889"/>
    <w:rsid w:val="004278E1"/>
    <w:rsid w:val="004279A0"/>
    <w:rsid w:val="004279B5"/>
    <w:rsid w:val="00427C84"/>
    <w:rsid w:val="00427D42"/>
    <w:rsid w:val="00427E5D"/>
    <w:rsid w:val="00427FDE"/>
    <w:rsid w:val="004301CD"/>
    <w:rsid w:val="0043022C"/>
    <w:rsid w:val="00430347"/>
    <w:rsid w:val="004303F5"/>
    <w:rsid w:val="0043048D"/>
    <w:rsid w:val="00430523"/>
    <w:rsid w:val="00430902"/>
    <w:rsid w:val="00430ADF"/>
    <w:rsid w:val="00430B12"/>
    <w:rsid w:val="00430BB6"/>
    <w:rsid w:val="00430BC3"/>
    <w:rsid w:val="00430CC5"/>
    <w:rsid w:val="00430DF6"/>
    <w:rsid w:val="00430DFC"/>
    <w:rsid w:val="00430F79"/>
    <w:rsid w:val="00431007"/>
    <w:rsid w:val="0043100D"/>
    <w:rsid w:val="0043111D"/>
    <w:rsid w:val="004315AD"/>
    <w:rsid w:val="004315E9"/>
    <w:rsid w:val="0043164D"/>
    <w:rsid w:val="00431B7C"/>
    <w:rsid w:val="00431C43"/>
    <w:rsid w:val="00431D9A"/>
    <w:rsid w:val="0043203D"/>
    <w:rsid w:val="00432097"/>
    <w:rsid w:val="00432141"/>
    <w:rsid w:val="004322F4"/>
    <w:rsid w:val="00432322"/>
    <w:rsid w:val="00432701"/>
    <w:rsid w:val="004328BD"/>
    <w:rsid w:val="004328D8"/>
    <w:rsid w:val="00432985"/>
    <w:rsid w:val="004329E3"/>
    <w:rsid w:val="00432BAB"/>
    <w:rsid w:val="00432D5B"/>
    <w:rsid w:val="00432E86"/>
    <w:rsid w:val="00432F4C"/>
    <w:rsid w:val="00433091"/>
    <w:rsid w:val="00433120"/>
    <w:rsid w:val="0043315F"/>
    <w:rsid w:val="004331F4"/>
    <w:rsid w:val="004332D2"/>
    <w:rsid w:val="00433313"/>
    <w:rsid w:val="0043337B"/>
    <w:rsid w:val="00433387"/>
    <w:rsid w:val="00433398"/>
    <w:rsid w:val="004333AA"/>
    <w:rsid w:val="004333EA"/>
    <w:rsid w:val="0043344F"/>
    <w:rsid w:val="004334DC"/>
    <w:rsid w:val="004335D7"/>
    <w:rsid w:val="00433729"/>
    <w:rsid w:val="0043373D"/>
    <w:rsid w:val="0043376D"/>
    <w:rsid w:val="004337F7"/>
    <w:rsid w:val="0043390D"/>
    <w:rsid w:val="00433A9D"/>
    <w:rsid w:val="00433B2A"/>
    <w:rsid w:val="00433BDD"/>
    <w:rsid w:val="00433CB8"/>
    <w:rsid w:val="00434063"/>
    <w:rsid w:val="004343AD"/>
    <w:rsid w:val="00434447"/>
    <w:rsid w:val="00434479"/>
    <w:rsid w:val="004344EE"/>
    <w:rsid w:val="0043460E"/>
    <w:rsid w:val="004349CB"/>
    <w:rsid w:val="00434B63"/>
    <w:rsid w:val="00434B6C"/>
    <w:rsid w:val="00434B78"/>
    <w:rsid w:val="00434BAF"/>
    <w:rsid w:val="00434D27"/>
    <w:rsid w:val="00434ED3"/>
    <w:rsid w:val="00434F09"/>
    <w:rsid w:val="00434F54"/>
    <w:rsid w:val="00434F78"/>
    <w:rsid w:val="0043550E"/>
    <w:rsid w:val="004355D5"/>
    <w:rsid w:val="00435681"/>
    <w:rsid w:val="004356F5"/>
    <w:rsid w:val="00435790"/>
    <w:rsid w:val="00435AEA"/>
    <w:rsid w:val="00435BF4"/>
    <w:rsid w:val="00435EC2"/>
    <w:rsid w:val="00435F43"/>
    <w:rsid w:val="00435FB3"/>
    <w:rsid w:val="004360CA"/>
    <w:rsid w:val="00436147"/>
    <w:rsid w:val="004361A1"/>
    <w:rsid w:val="00436284"/>
    <w:rsid w:val="00436344"/>
    <w:rsid w:val="004363F8"/>
    <w:rsid w:val="00436463"/>
    <w:rsid w:val="00436494"/>
    <w:rsid w:val="00436568"/>
    <w:rsid w:val="004365E0"/>
    <w:rsid w:val="00436653"/>
    <w:rsid w:val="00436840"/>
    <w:rsid w:val="00436847"/>
    <w:rsid w:val="00436B5B"/>
    <w:rsid w:val="00436C43"/>
    <w:rsid w:val="00436C79"/>
    <w:rsid w:val="00436E2B"/>
    <w:rsid w:val="00436F3D"/>
    <w:rsid w:val="00436FA8"/>
    <w:rsid w:val="0043717F"/>
    <w:rsid w:val="00437554"/>
    <w:rsid w:val="0043756F"/>
    <w:rsid w:val="004375B9"/>
    <w:rsid w:val="0043765D"/>
    <w:rsid w:val="004376FB"/>
    <w:rsid w:val="00437926"/>
    <w:rsid w:val="004379B6"/>
    <w:rsid w:val="00437A7D"/>
    <w:rsid w:val="00437B0E"/>
    <w:rsid w:val="00437BD3"/>
    <w:rsid w:val="00437DDE"/>
    <w:rsid w:val="00437E14"/>
    <w:rsid w:val="00437E5A"/>
    <w:rsid w:val="00440190"/>
    <w:rsid w:val="0044019A"/>
    <w:rsid w:val="004402A4"/>
    <w:rsid w:val="004402AE"/>
    <w:rsid w:val="004402D7"/>
    <w:rsid w:val="004402E6"/>
    <w:rsid w:val="004404DE"/>
    <w:rsid w:val="00440552"/>
    <w:rsid w:val="004406A8"/>
    <w:rsid w:val="004406C6"/>
    <w:rsid w:val="0044071A"/>
    <w:rsid w:val="0044079A"/>
    <w:rsid w:val="004407C0"/>
    <w:rsid w:val="004408DC"/>
    <w:rsid w:val="004409BD"/>
    <w:rsid w:val="004409E2"/>
    <w:rsid w:val="00440A80"/>
    <w:rsid w:val="00440A96"/>
    <w:rsid w:val="00440AE0"/>
    <w:rsid w:val="00440AFE"/>
    <w:rsid w:val="00440BEC"/>
    <w:rsid w:val="00440DED"/>
    <w:rsid w:val="00440F60"/>
    <w:rsid w:val="00440FBA"/>
    <w:rsid w:val="0044102C"/>
    <w:rsid w:val="0044102D"/>
    <w:rsid w:val="004410BD"/>
    <w:rsid w:val="004411BC"/>
    <w:rsid w:val="004411C9"/>
    <w:rsid w:val="00441235"/>
    <w:rsid w:val="0044136D"/>
    <w:rsid w:val="0044154B"/>
    <w:rsid w:val="00441776"/>
    <w:rsid w:val="00441A5F"/>
    <w:rsid w:val="00441AC8"/>
    <w:rsid w:val="00441ACB"/>
    <w:rsid w:val="00441C29"/>
    <w:rsid w:val="00441ED3"/>
    <w:rsid w:val="00442030"/>
    <w:rsid w:val="00442262"/>
    <w:rsid w:val="0044232E"/>
    <w:rsid w:val="0044251D"/>
    <w:rsid w:val="00442626"/>
    <w:rsid w:val="00442627"/>
    <w:rsid w:val="004426B3"/>
    <w:rsid w:val="004426BE"/>
    <w:rsid w:val="0044274C"/>
    <w:rsid w:val="004427BD"/>
    <w:rsid w:val="0044287E"/>
    <w:rsid w:val="004428F3"/>
    <w:rsid w:val="00442994"/>
    <w:rsid w:val="00442A09"/>
    <w:rsid w:val="00442AAF"/>
    <w:rsid w:val="00442ACC"/>
    <w:rsid w:val="00442BA0"/>
    <w:rsid w:val="00442C7B"/>
    <w:rsid w:val="00442D19"/>
    <w:rsid w:val="00442F1D"/>
    <w:rsid w:val="00442F50"/>
    <w:rsid w:val="0044301E"/>
    <w:rsid w:val="00443043"/>
    <w:rsid w:val="0044339D"/>
    <w:rsid w:val="00443409"/>
    <w:rsid w:val="00443465"/>
    <w:rsid w:val="0044358A"/>
    <w:rsid w:val="004435B2"/>
    <w:rsid w:val="004438B7"/>
    <w:rsid w:val="004439DD"/>
    <w:rsid w:val="00443AC6"/>
    <w:rsid w:val="00443B6F"/>
    <w:rsid w:val="00443E10"/>
    <w:rsid w:val="00443E76"/>
    <w:rsid w:val="00443EBD"/>
    <w:rsid w:val="00444043"/>
    <w:rsid w:val="004441F0"/>
    <w:rsid w:val="00444404"/>
    <w:rsid w:val="00444556"/>
    <w:rsid w:val="004445CA"/>
    <w:rsid w:val="00444766"/>
    <w:rsid w:val="00444822"/>
    <w:rsid w:val="00444945"/>
    <w:rsid w:val="00444BF7"/>
    <w:rsid w:val="00444C7B"/>
    <w:rsid w:val="00444F89"/>
    <w:rsid w:val="00444FCA"/>
    <w:rsid w:val="004450D9"/>
    <w:rsid w:val="004451EA"/>
    <w:rsid w:val="00445367"/>
    <w:rsid w:val="004453B9"/>
    <w:rsid w:val="004453BC"/>
    <w:rsid w:val="004454AC"/>
    <w:rsid w:val="0044562B"/>
    <w:rsid w:val="004456B5"/>
    <w:rsid w:val="00445710"/>
    <w:rsid w:val="004458C0"/>
    <w:rsid w:val="00445922"/>
    <w:rsid w:val="004459C7"/>
    <w:rsid w:val="00445B2A"/>
    <w:rsid w:val="00445B7A"/>
    <w:rsid w:val="00445BDE"/>
    <w:rsid w:val="0044621D"/>
    <w:rsid w:val="0044634B"/>
    <w:rsid w:val="004464F9"/>
    <w:rsid w:val="0044656B"/>
    <w:rsid w:val="00446583"/>
    <w:rsid w:val="004465D7"/>
    <w:rsid w:val="00446763"/>
    <w:rsid w:val="00446767"/>
    <w:rsid w:val="00446783"/>
    <w:rsid w:val="004467B4"/>
    <w:rsid w:val="004468B6"/>
    <w:rsid w:val="004468E2"/>
    <w:rsid w:val="00446A33"/>
    <w:rsid w:val="00446BC6"/>
    <w:rsid w:val="00446BDF"/>
    <w:rsid w:val="00446DD2"/>
    <w:rsid w:val="00447116"/>
    <w:rsid w:val="00447719"/>
    <w:rsid w:val="004477A7"/>
    <w:rsid w:val="00447847"/>
    <w:rsid w:val="00447971"/>
    <w:rsid w:val="0044799A"/>
    <w:rsid w:val="00447A05"/>
    <w:rsid w:val="00447A17"/>
    <w:rsid w:val="00447B6E"/>
    <w:rsid w:val="00447C45"/>
    <w:rsid w:val="00447D4A"/>
    <w:rsid w:val="00447DD9"/>
    <w:rsid w:val="00447DE2"/>
    <w:rsid w:val="00447F3F"/>
    <w:rsid w:val="00447F44"/>
    <w:rsid w:val="00450143"/>
    <w:rsid w:val="004501C1"/>
    <w:rsid w:val="004501E3"/>
    <w:rsid w:val="00450302"/>
    <w:rsid w:val="0045033B"/>
    <w:rsid w:val="004503ED"/>
    <w:rsid w:val="00450409"/>
    <w:rsid w:val="00450431"/>
    <w:rsid w:val="00450454"/>
    <w:rsid w:val="00450522"/>
    <w:rsid w:val="004506CC"/>
    <w:rsid w:val="0045077D"/>
    <w:rsid w:val="004507D0"/>
    <w:rsid w:val="00450911"/>
    <w:rsid w:val="0045092A"/>
    <w:rsid w:val="00450AC5"/>
    <w:rsid w:val="00450ACF"/>
    <w:rsid w:val="00450BBB"/>
    <w:rsid w:val="00450C23"/>
    <w:rsid w:val="00450C53"/>
    <w:rsid w:val="00450C81"/>
    <w:rsid w:val="00450CE8"/>
    <w:rsid w:val="00450D44"/>
    <w:rsid w:val="00450DA2"/>
    <w:rsid w:val="00450E6B"/>
    <w:rsid w:val="0045120B"/>
    <w:rsid w:val="00451417"/>
    <w:rsid w:val="004514BA"/>
    <w:rsid w:val="0045152E"/>
    <w:rsid w:val="00451584"/>
    <w:rsid w:val="004518A4"/>
    <w:rsid w:val="00451956"/>
    <w:rsid w:val="00451A13"/>
    <w:rsid w:val="00451EBD"/>
    <w:rsid w:val="00451EE4"/>
    <w:rsid w:val="00451F86"/>
    <w:rsid w:val="00451FF5"/>
    <w:rsid w:val="00452015"/>
    <w:rsid w:val="004521CA"/>
    <w:rsid w:val="00452246"/>
    <w:rsid w:val="004523CD"/>
    <w:rsid w:val="00452440"/>
    <w:rsid w:val="004524AD"/>
    <w:rsid w:val="004524E7"/>
    <w:rsid w:val="0045277F"/>
    <w:rsid w:val="004529F9"/>
    <w:rsid w:val="00452B08"/>
    <w:rsid w:val="00452B0F"/>
    <w:rsid w:val="00452B44"/>
    <w:rsid w:val="00452CF9"/>
    <w:rsid w:val="00452D26"/>
    <w:rsid w:val="00452D5E"/>
    <w:rsid w:val="00452DA0"/>
    <w:rsid w:val="00452E65"/>
    <w:rsid w:val="00452F40"/>
    <w:rsid w:val="00453060"/>
    <w:rsid w:val="00453095"/>
    <w:rsid w:val="00453102"/>
    <w:rsid w:val="0045316C"/>
    <w:rsid w:val="004531EC"/>
    <w:rsid w:val="00453201"/>
    <w:rsid w:val="00453202"/>
    <w:rsid w:val="00453276"/>
    <w:rsid w:val="004532E4"/>
    <w:rsid w:val="00453314"/>
    <w:rsid w:val="00453502"/>
    <w:rsid w:val="004536C2"/>
    <w:rsid w:val="00453765"/>
    <w:rsid w:val="0045397D"/>
    <w:rsid w:val="00453ABA"/>
    <w:rsid w:val="00453AE4"/>
    <w:rsid w:val="00453E64"/>
    <w:rsid w:val="00453EF5"/>
    <w:rsid w:val="00453F2D"/>
    <w:rsid w:val="00454001"/>
    <w:rsid w:val="00454260"/>
    <w:rsid w:val="004542E5"/>
    <w:rsid w:val="00454346"/>
    <w:rsid w:val="00454369"/>
    <w:rsid w:val="004543C5"/>
    <w:rsid w:val="004543E9"/>
    <w:rsid w:val="004543EB"/>
    <w:rsid w:val="004544D7"/>
    <w:rsid w:val="004545DE"/>
    <w:rsid w:val="004548BC"/>
    <w:rsid w:val="00454909"/>
    <w:rsid w:val="004549FC"/>
    <w:rsid w:val="00454AA8"/>
    <w:rsid w:val="00454B01"/>
    <w:rsid w:val="00454B7F"/>
    <w:rsid w:val="00454B83"/>
    <w:rsid w:val="00454FEE"/>
    <w:rsid w:val="0045501C"/>
    <w:rsid w:val="004550AB"/>
    <w:rsid w:val="004551B5"/>
    <w:rsid w:val="00455260"/>
    <w:rsid w:val="004552D5"/>
    <w:rsid w:val="004553B7"/>
    <w:rsid w:val="00455482"/>
    <w:rsid w:val="0045566B"/>
    <w:rsid w:val="00455CF0"/>
    <w:rsid w:val="00455F96"/>
    <w:rsid w:val="00456137"/>
    <w:rsid w:val="004561A2"/>
    <w:rsid w:val="00456209"/>
    <w:rsid w:val="0045640B"/>
    <w:rsid w:val="004565A6"/>
    <w:rsid w:val="004566F8"/>
    <w:rsid w:val="00456766"/>
    <w:rsid w:val="00456CFA"/>
    <w:rsid w:val="00456F5B"/>
    <w:rsid w:val="00457283"/>
    <w:rsid w:val="004572EC"/>
    <w:rsid w:val="004574B9"/>
    <w:rsid w:val="0045767A"/>
    <w:rsid w:val="00457699"/>
    <w:rsid w:val="00457759"/>
    <w:rsid w:val="0045796E"/>
    <w:rsid w:val="00457A13"/>
    <w:rsid w:val="00457A58"/>
    <w:rsid w:val="00457D87"/>
    <w:rsid w:val="00457D90"/>
    <w:rsid w:val="00457E9C"/>
    <w:rsid w:val="00457FD6"/>
    <w:rsid w:val="00457FF3"/>
    <w:rsid w:val="004600BD"/>
    <w:rsid w:val="004600DF"/>
    <w:rsid w:val="004601A9"/>
    <w:rsid w:val="004602E7"/>
    <w:rsid w:val="0046038C"/>
    <w:rsid w:val="0046040F"/>
    <w:rsid w:val="00460436"/>
    <w:rsid w:val="00460510"/>
    <w:rsid w:val="004605F1"/>
    <w:rsid w:val="00460645"/>
    <w:rsid w:val="0046068D"/>
    <w:rsid w:val="0046069A"/>
    <w:rsid w:val="004607CB"/>
    <w:rsid w:val="00460836"/>
    <w:rsid w:val="004609AF"/>
    <w:rsid w:val="00460A15"/>
    <w:rsid w:val="00460A17"/>
    <w:rsid w:val="00460BD6"/>
    <w:rsid w:val="00460CB8"/>
    <w:rsid w:val="00460FE5"/>
    <w:rsid w:val="004612F6"/>
    <w:rsid w:val="0046143E"/>
    <w:rsid w:val="004617F6"/>
    <w:rsid w:val="004617F7"/>
    <w:rsid w:val="00461855"/>
    <w:rsid w:val="00461949"/>
    <w:rsid w:val="00461B8F"/>
    <w:rsid w:val="00461C4F"/>
    <w:rsid w:val="00461EFE"/>
    <w:rsid w:val="00461F6F"/>
    <w:rsid w:val="00462077"/>
    <w:rsid w:val="00462203"/>
    <w:rsid w:val="004623B1"/>
    <w:rsid w:val="00462411"/>
    <w:rsid w:val="004625E9"/>
    <w:rsid w:val="004625F5"/>
    <w:rsid w:val="00462733"/>
    <w:rsid w:val="00462858"/>
    <w:rsid w:val="00462900"/>
    <w:rsid w:val="00462BC0"/>
    <w:rsid w:val="00462BF2"/>
    <w:rsid w:val="00462C0F"/>
    <w:rsid w:val="00462CEB"/>
    <w:rsid w:val="00462DE0"/>
    <w:rsid w:val="00462E2A"/>
    <w:rsid w:val="0046308D"/>
    <w:rsid w:val="00463533"/>
    <w:rsid w:val="00463622"/>
    <w:rsid w:val="004636D2"/>
    <w:rsid w:val="00463763"/>
    <w:rsid w:val="00463776"/>
    <w:rsid w:val="00463853"/>
    <w:rsid w:val="00463A4C"/>
    <w:rsid w:val="00463A86"/>
    <w:rsid w:val="00463B3A"/>
    <w:rsid w:val="00463C5E"/>
    <w:rsid w:val="00463D5E"/>
    <w:rsid w:val="00463E23"/>
    <w:rsid w:val="004640EC"/>
    <w:rsid w:val="004641CB"/>
    <w:rsid w:val="004646C3"/>
    <w:rsid w:val="0046480C"/>
    <w:rsid w:val="00464830"/>
    <w:rsid w:val="004648E1"/>
    <w:rsid w:val="004649E6"/>
    <w:rsid w:val="00464B95"/>
    <w:rsid w:val="00464BC7"/>
    <w:rsid w:val="00464C8B"/>
    <w:rsid w:val="00464DEF"/>
    <w:rsid w:val="00465242"/>
    <w:rsid w:val="004652AF"/>
    <w:rsid w:val="0046531D"/>
    <w:rsid w:val="0046543F"/>
    <w:rsid w:val="00465682"/>
    <w:rsid w:val="00465695"/>
    <w:rsid w:val="00465730"/>
    <w:rsid w:val="004658B5"/>
    <w:rsid w:val="004658C0"/>
    <w:rsid w:val="00465959"/>
    <w:rsid w:val="00465A46"/>
    <w:rsid w:val="00465C39"/>
    <w:rsid w:val="00465C40"/>
    <w:rsid w:val="00465C7D"/>
    <w:rsid w:val="00465CA7"/>
    <w:rsid w:val="00465CC9"/>
    <w:rsid w:val="00465D91"/>
    <w:rsid w:val="00465DD1"/>
    <w:rsid w:val="00465FF2"/>
    <w:rsid w:val="0046601B"/>
    <w:rsid w:val="00466260"/>
    <w:rsid w:val="004663A8"/>
    <w:rsid w:val="00466420"/>
    <w:rsid w:val="00466612"/>
    <w:rsid w:val="00466724"/>
    <w:rsid w:val="00466789"/>
    <w:rsid w:val="00466981"/>
    <w:rsid w:val="004669FE"/>
    <w:rsid w:val="00466A6F"/>
    <w:rsid w:val="00466C71"/>
    <w:rsid w:val="00466C8C"/>
    <w:rsid w:val="00466D32"/>
    <w:rsid w:val="00466E1F"/>
    <w:rsid w:val="00466E98"/>
    <w:rsid w:val="00466EDA"/>
    <w:rsid w:val="00466F47"/>
    <w:rsid w:val="00466FC9"/>
    <w:rsid w:val="00467080"/>
    <w:rsid w:val="004670DC"/>
    <w:rsid w:val="00467135"/>
    <w:rsid w:val="00467152"/>
    <w:rsid w:val="004672A4"/>
    <w:rsid w:val="00467368"/>
    <w:rsid w:val="00467513"/>
    <w:rsid w:val="004676BD"/>
    <w:rsid w:val="004676CD"/>
    <w:rsid w:val="004677A3"/>
    <w:rsid w:val="0046784A"/>
    <w:rsid w:val="00467B37"/>
    <w:rsid w:val="00467CBB"/>
    <w:rsid w:val="00467CCE"/>
    <w:rsid w:val="00467CEB"/>
    <w:rsid w:val="00467D12"/>
    <w:rsid w:val="00467D5F"/>
    <w:rsid w:val="00467DD4"/>
    <w:rsid w:val="00467F6E"/>
    <w:rsid w:val="00467FD9"/>
    <w:rsid w:val="00468BB8"/>
    <w:rsid w:val="0046CF34"/>
    <w:rsid w:val="004700D3"/>
    <w:rsid w:val="0047012D"/>
    <w:rsid w:val="0047021A"/>
    <w:rsid w:val="004703E6"/>
    <w:rsid w:val="00470420"/>
    <w:rsid w:val="0047054C"/>
    <w:rsid w:val="004705E5"/>
    <w:rsid w:val="0047087D"/>
    <w:rsid w:val="004708AA"/>
    <w:rsid w:val="004708CE"/>
    <w:rsid w:val="0047092E"/>
    <w:rsid w:val="0047098C"/>
    <w:rsid w:val="00470A79"/>
    <w:rsid w:val="00470DAE"/>
    <w:rsid w:val="00470DC8"/>
    <w:rsid w:val="00470DEA"/>
    <w:rsid w:val="00470EA7"/>
    <w:rsid w:val="0047106F"/>
    <w:rsid w:val="00471141"/>
    <w:rsid w:val="00471353"/>
    <w:rsid w:val="0047156F"/>
    <w:rsid w:val="0047162B"/>
    <w:rsid w:val="0047169C"/>
    <w:rsid w:val="00471709"/>
    <w:rsid w:val="00471794"/>
    <w:rsid w:val="004717E3"/>
    <w:rsid w:val="00471810"/>
    <w:rsid w:val="00471885"/>
    <w:rsid w:val="00471933"/>
    <w:rsid w:val="00471CF5"/>
    <w:rsid w:val="00471DE4"/>
    <w:rsid w:val="00471F88"/>
    <w:rsid w:val="00472063"/>
    <w:rsid w:val="0047210C"/>
    <w:rsid w:val="00472159"/>
    <w:rsid w:val="00472448"/>
    <w:rsid w:val="004724B5"/>
    <w:rsid w:val="00472513"/>
    <w:rsid w:val="0047252D"/>
    <w:rsid w:val="004725FE"/>
    <w:rsid w:val="0047278D"/>
    <w:rsid w:val="004727FE"/>
    <w:rsid w:val="00472814"/>
    <w:rsid w:val="00472852"/>
    <w:rsid w:val="0047289E"/>
    <w:rsid w:val="0047293E"/>
    <w:rsid w:val="004729AC"/>
    <w:rsid w:val="00472A21"/>
    <w:rsid w:val="00472B56"/>
    <w:rsid w:val="00472C82"/>
    <w:rsid w:val="00472C8B"/>
    <w:rsid w:val="00472C90"/>
    <w:rsid w:val="00472F01"/>
    <w:rsid w:val="0047310C"/>
    <w:rsid w:val="0047339D"/>
    <w:rsid w:val="004733FA"/>
    <w:rsid w:val="004735C7"/>
    <w:rsid w:val="004735F3"/>
    <w:rsid w:val="00473648"/>
    <w:rsid w:val="0047369C"/>
    <w:rsid w:val="004736D8"/>
    <w:rsid w:val="004736F2"/>
    <w:rsid w:val="00473786"/>
    <w:rsid w:val="00473791"/>
    <w:rsid w:val="00473820"/>
    <w:rsid w:val="00473924"/>
    <w:rsid w:val="00473AF9"/>
    <w:rsid w:val="00473B18"/>
    <w:rsid w:val="00473C3A"/>
    <w:rsid w:val="00473C69"/>
    <w:rsid w:val="00473ED0"/>
    <w:rsid w:val="00474088"/>
    <w:rsid w:val="00474199"/>
    <w:rsid w:val="0047422E"/>
    <w:rsid w:val="004742A2"/>
    <w:rsid w:val="004742DF"/>
    <w:rsid w:val="004744E7"/>
    <w:rsid w:val="004745C4"/>
    <w:rsid w:val="004745D9"/>
    <w:rsid w:val="004745E4"/>
    <w:rsid w:val="004746B2"/>
    <w:rsid w:val="0047470D"/>
    <w:rsid w:val="00474722"/>
    <w:rsid w:val="004747F6"/>
    <w:rsid w:val="00474823"/>
    <w:rsid w:val="004749CE"/>
    <w:rsid w:val="00474B85"/>
    <w:rsid w:val="00474BF7"/>
    <w:rsid w:val="00474C0B"/>
    <w:rsid w:val="00474D1C"/>
    <w:rsid w:val="00474E68"/>
    <w:rsid w:val="00474EC0"/>
    <w:rsid w:val="00474FDB"/>
    <w:rsid w:val="0047506B"/>
    <w:rsid w:val="004750D1"/>
    <w:rsid w:val="0047511C"/>
    <w:rsid w:val="0047522C"/>
    <w:rsid w:val="0047532C"/>
    <w:rsid w:val="004753BF"/>
    <w:rsid w:val="0047542B"/>
    <w:rsid w:val="004756B4"/>
    <w:rsid w:val="0047592C"/>
    <w:rsid w:val="004759D3"/>
    <w:rsid w:val="00475A76"/>
    <w:rsid w:val="00475AAA"/>
    <w:rsid w:val="00475DC7"/>
    <w:rsid w:val="00475DF6"/>
    <w:rsid w:val="00475FB1"/>
    <w:rsid w:val="004762CE"/>
    <w:rsid w:val="0047632D"/>
    <w:rsid w:val="0047657D"/>
    <w:rsid w:val="00476D11"/>
    <w:rsid w:val="00476DB2"/>
    <w:rsid w:val="00476F00"/>
    <w:rsid w:val="00476F34"/>
    <w:rsid w:val="00476FAC"/>
    <w:rsid w:val="0047702C"/>
    <w:rsid w:val="004770BA"/>
    <w:rsid w:val="00477255"/>
    <w:rsid w:val="0047725D"/>
    <w:rsid w:val="00477261"/>
    <w:rsid w:val="00477489"/>
    <w:rsid w:val="0047768C"/>
    <w:rsid w:val="004777BE"/>
    <w:rsid w:val="00477926"/>
    <w:rsid w:val="00477A6B"/>
    <w:rsid w:val="00477AA9"/>
    <w:rsid w:val="00477AD8"/>
    <w:rsid w:val="00477D53"/>
    <w:rsid w:val="00477DAE"/>
    <w:rsid w:val="00477DC5"/>
    <w:rsid w:val="0047BA8F"/>
    <w:rsid w:val="004800C7"/>
    <w:rsid w:val="00480170"/>
    <w:rsid w:val="00480484"/>
    <w:rsid w:val="00480506"/>
    <w:rsid w:val="00480850"/>
    <w:rsid w:val="004808F9"/>
    <w:rsid w:val="00480999"/>
    <w:rsid w:val="004809AF"/>
    <w:rsid w:val="00480A62"/>
    <w:rsid w:val="00480A7D"/>
    <w:rsid w:val="00480AE4"/>
    <w:rsid w:val="00480B53"/>
    <w:rsid w:val="00480D4F"/>
    <w:rsid w:val="00480E91"/>
    <w:rsid w:val="00480E96"/>
    <w:rsid w:val="00480FCF"/>
    <w:rsid w:val="0048104D"/>
    <w:rsid w:val="004810D4"/>
    <w:rsid w:val="00481174"/>
    <w:rsid w:val="004812A5"/>
    <w:rsid w:val="004813A4"/>
    <w:rsid w:val="00481429"/>
    <w:rsid w:val="00481492"/>
    <w:rsid w:val="00481604"/>
    <w:rsid w:val="0048179B"/>
    <w:rsid w:val="0048187F"/>
    <w:rsid w:val="0048194A"/>
    <w:rsid w:val="00481B4A"/>
    <w:rsid w:val="00481DEE"/>
    <w:rsid w:val="00481E68"/>
    <w:rsid w:val="00481F8B"/>
    <w:rsid w:val="00482052"/>
    <w:rsid w:val="00482243"/>
    <w:rsid w:val="00482324"/>
    <w:rsid w:val="00482334"/>
    <w:rsid w:val="00482660"/>
    <w:rsid w:val="004826F9"/>
    <w:rsid w:val="00482766"/>
    <w:rsid w:val="004828E8"/>
    <w:rsid w:val="00482B49"/>
    <w:rsid w:val="00482C74"/>
    <w:rsid w:val="00482D7A"/>
    <w:rsid w:val="00482EEF"/>
    <w:rsid w:val="00482FC7"/>
    <w:rsid w:val="00483085"/>
    <w:rsid w:val="0048357F"/>
    <w:rsid w:val="004835EE"/>
    <w:rsid w:val="00483633"/>
    <w:rsid w:val="00483639"/>
    <w:rsid w:val="0048376F"/>
    <w:rsid w:val="00483812"/>
    <w:rsid w:val="00483840"/>
    <w:rsid w:val="004839CA"/>
    <w:rsid w:val="00483A16"/>
    <w:rsid w:val="00483AEA"/>
    <w:rsid w:val="00483B0F"/>
    <w:rsid w:val="00483C0B"/>
    <w:rsid w:val="00483D4E"/>
    <w:rsid w:val="00483FDA"/>
    <w:rsid w:val="00483FE5"/>
    <w:rsid w:val="0048407D"/>
    <w:rsid w:val="004840AA"/>
    <w:rsid w:val="00484101"/>
    <w:rsid w:val="004841DF"/>
    <w:rsid w:val="00484224"/>
    <w:rsid w:val="0048423B"/>
    <w:rsid w:val="00484443"/>
    <w:rsid w:val="004844E6"/>
    <w:rsid w:val="004845B0"/>
    <w:rsid w:val="004846B9"/>
    <w:rsid w:val="0048489D"/>
    <w:rsid w:val="00484AB1"/>
    <w:rsid w:val="00484B62"/>
    <w:rsid w:val="00484B76"/>
    <w:rsid w:val="00484EE2"/>
    <w:rsid w:val="00484F34"/>
    <w:rsid w:val="00484FEC"/>
    <w:rsid w:val="00485060"/>
    <w:rsid w:val="004850FA"/>
    <w:rsid w:val="00485417"/>
    <w:rsid w:val="00485528"/>
    <w:rsid w:val="00485672"/>
    <w:rsid w:val="00485758"/>
    <w:rsid w:val="00485846"/>
    <w:rsid w:val="004858F4"/>
    <w:rsid w:val="00485939"/>
    <w:rsid w:val="00485940"/>
    <w:rsid w:val="00485A21"/>
    <w:rsid w:val="00485B86"/>
    <w:rsid w:val="00485C76"/>
    <w:rsid w:val="00485E14"/>
    <w:rsid w:val="0048601D"/>
    <w:rsid w:val="00486228"/>
    <w:rsid w:val="004862E1"/>
    <w:rsid w:val="00486371"/>
    <w:rsid w:val="00486537"/>
    <w:rsid w:val="00486548"/>
    <w:rsid w:val="00486634"/>
    <w:rsid w:val="0048674B"/>
    <w:rsid w:val="004868B7"/>
    <w:rsid w:val="00486A9F"/>
    <w:rsid w:val="00486D3F"/>
    <w:rsid w:val="00486D45"/>
    <w:rsid w:val="00486ED9"/>
    <w:rsid w:val="004870F5"/>
    <w:rsid w:val="0048729C"/>
    <w:rsid w:val="004872C6"/>
    <w:rsid w:val="004872EC"/>
    <w:rsid w:val="004876A9"/>
    <w:rsid w:val="00487895"/>
    <w:rsid w:val="00487954"/>
    <w:rsid w:val="004879DF"/>
    <w:rsid w:val="00487A8B"/>
    <w:rsid w:val="00487B59"/>
    <w:rsid w:val="00487D34"/>
    <w:rsid w:val="00487DC8"/>
    <w:rsid w:val="00487F33"/>
    <w:rsid w:val="00487F6A"/>
    <w:rsid w:val="00487FC5"/>
    <w:rsid w:val="0048AAAC"/>
    <w:rsid w:val="0048F98D"/>
    <w:rsid w:val="00490035"/>
    <w:rsid w:val="004900B8"/>
    <w:rsid w:val="004903E6"/>
    <w:rsid w:val="00490486"/>
    <w:rsid w:val="0049068F"/>
    <w:rsid w:val="004906B7"/>
    <w:rsid w:val="0049071D"/>
    <w:rsid w:val="004908B2"/>
    <w:rsid w:val="00490B14"/>
    <w:rsid w:val="00490C80"/>
    <w:rsid w:val="00490C82"/>
    <w:rsid w:val="00490CE9"/>
    <w:rsid w:val="00490EEC"/>
    <w:rsid w:val="0049102A"/>
    <w:rsid w:val="0049113B"/>
    <w:rsid w:val="004911C3"/>
    <w:rsid w:val="0049125D"/>
    <w:rsid w:val="004912C9"/>
    <w:rsid w:val="00491482"/>
    <w:rsid w:val="004914E4"/>
    <w:rsid w:val="004914E7"/>
    <w:rsid w:val="004916D2"/>
    <w:rsid w:val="00491727"/>
    <w:rsid w:val="0049177D"/>
    <w:rsid w:val="00491831"/>
    <w:rsid w:val="00491864"/>
    <w:rsid w:val="00491889"/>
    <w:rsid w:val="00491BC5"/>
    <w:rsid w:val="00491BE3"/>
    <w:rsid w:val="00491E25"/>
    <w:rsid w:val="00491E90"/>
    <w:rsid w:val="00491F81"/>
    <w:rsid w:val="00492060"/>
    <w:rsid w:val="004923ED"/>
    <w:rsid w:val="0049248C"/>
    <w:rsid w:val="0049261F"/>
    <w:rsid w:val="004927FA"/>
    <w:rsid w:val="00492801"/>
    <w:rsid w:val="00492A47"/>
    <w:rsid w:val="00492AA5"/>
    <w:rsid w:val="00492AFB"/>
    <w:rsid w:val="00492B12"/>
    <w:rsid w:val="00492BCA"/>
    <w:rsid w:val="00492BEC"/>
    <w:rsid w:val="00492C10"/>
    <w:rsid w:val="00492DB9"/>
    <w:rsid w:val="00492ECC"/>
    <w:rsid w:val="00492EE9"/>
    <w:rsid w:val="00492F2F"/>
    <w:rsid w:val="004932AD"/>
    <w:rsid w:val="00493346"/>
    <w:rsid w:val="004933DB"/>
    <w:rsid w:val="00493700"/>
    <w:rsid w:val="00493850"/>
    <w:rsid w:val="00493AA6"/>
    <w:rsid w:val="00493D31"/>
    <w:rsid w:val="00493DD0"/>
    <w:rsid w:val="0049419A"/>
    <w:rsid w:val="004943E7"/>
    <w:rsid w:val="004944EB"/>
    <w:rsid w:val="0049452A"/>
    <w:rsid w:val="00494770"/>
    <w:rsid w:val="004947F8"/>
    <w:rsid w:val="00494B11"/>
    <w:rsid w:val="00494DD5"/>
    <w:rsid w:val="00494DD6"/>
    <w:rsid w:val="00494E67"/>
    <w:rsid w:val="00494F01"/>
    <w:rsid w:val="0049539A"/>
    <w:rsid w:val="004953B7"/>
    <w:rsid w:val="00495551"/>
    <w:rsid w:val="0049588F"/>
    <w:rsid w:val="004959B6"/>
    <w:rsid w:val="00495C70"/>
    <w:rsid w:val="00495D9F"/>
    <w:rsid w:val="00495E6C"/>
    <w:rsid w:val="00495FBC"/>
    <w:rsid w:val="004960BB"/>
    <w:rsid w:val="00496419"/>
    <w:rsid w:val="004964F2"/>
    <w:rsid w:val="004964FA"/>
    <w:rsid w:val="004965FF"/>
    <w:rsid w:val="0049662D"/>
    <w:rsid w:val="004966F0"/>
    <w:rsid w:val="00496823"/>
    <w:rsid w:val="004968C5"/>
    <w:rsid w:val="00496B83"/>
    <w:rsid w:val="00496CE7"/>
    <w:rsid w:val="00496D6E"/>
    <w:rsid w:val="00496D91"/>
    <w:rsid w:val="00496EA8"/>
    <w:rsid w:val="00496F4D"/>
    <w:rsid w:val="00496F85"/>
    <w:rsid w:val="00497185"/>
    <w:rsid w:val="004972C3"/>
    <w:rsid w:val="0049734C"/>
    <w:rsid w:val="00497388"/>
    <w:rsid w:val="004974B9"/>
    <w:rsid w:val="0049767F"/>
    <w:rsid w:val="004978FA"/>
    <w:rsid w:val="0049794D"/>
    <w:rsid w:val="00497C82"/>
    <w:rsid w:val="004A022D"/>
    <w:rsid w:val="004A027D"/>
    <w:rsid w:val="004A04BF"/>
    <w:rsid w:val="004A06CD"/>
    <w:rsid w:val="004A07AB"/>
    <w:rsid w:val="004A08F9"/>
    <w:rsid w:val="004A09D0"/>
    <w:rsid w:val="004A0AF3"/>
    <w:rsid w:val="004A0CF2"/>
    <w:rsid w:val="004A0D2B"/>
    <w:rsid w:val="004A0E20"/>
    <w:rsid w:val="004A0E2E"/>
    <w:rsid w:val="004A10C2"/>
    <w:rsid w:val="004A1258"/>
    <w:rsid w:val="004A12D3"/>
    <w:rsid w:val="004A1359"/>
    <w:rsid w:val="004A147D"/>
    <w:rsid w:val="004A16DC"/>
    <w:rsid w:val="004A18DB"/>
    <w:rsid w:val="004A1C47"/>
    <w:rsid w:val="004A1E33"/>
    <w:rsid w:val="004A1FCA"/>
    <w:rsid w:val="004A2099"/>
    <w:rsid w:val="004A227D"/>
    <w:rsid w:val="004A23A8"/>
    <w:rsid w:val="004A23C8"/>
    <w:rsid w:val="004A26D8"/>
    <w:rsid w:val="004A2719"/>
    <w:rsid w:val="004A2819"/>
    <w:rsid w:val="004A2871"/>
    <w:rsid w:val="004A28AA"/>
    <w:rsid w:val="004A28BF"/>
    <w:rsid w:val="004A2996"/>
    <w:rsid w:val="004A2D82"/>
    <w:rsid w:val="004A2EA7"/>
    <w:rsid w:val="004A2FE5"/>
    <w:rsid w:val="004A3039"/>
    <w:rsid w:val="004A313C"/>
    <w:rsid w:val="004A3145"/>
    <w:rsid w:val="004A3164"/>
    <w:rsid w:val="004A3231"/>
    <w:rsid w:val="004A3276"/>
    <w:rsid w:val="004A3334"/>
    <w:rsid w:val="004A3430"/>
    <w:rsid w:val="004A3573"/>
    <w:rsid w:val="004A35B5"/>
    <w:rsid w:val="004A3A38"/>
    <w:rsid w:val="004A3E29"/>
    <w:rsid w:val="004A3E5C"/>
    <w:rsid w:val="004A3EFC"/>
    <w:rsid w:val="004A3F16"/>
    <w:rsid w:val="004A3FE7"/>
    <w:rsid w:val="004A421F"/>
    <w:rsid w:val="004A445E"/>
    <w:rsid w:val="004A452A"/>
    <w:rsid w:val="004A45B9"/>
    <w:rsid w:val="004A4670"/>
    <w:rsid w:val="004A474D"/>
    <w:rsid w:val="004A476E"/>
    <w:rsid w:val="004A4901"/>
    <w:rsid w:val="004A49E6"/>
    <w:rsid w:val="004A4A5F"/>
    <w:rsid w:val="004A4B6F"/>
    <w:rsid w:val="004A4C52"/>
    <w:rsid w:val="004A4CF4"/>
    <w:rsid w:val="004A4CF9"/>
    <w:rsid w:val="004A4D04"/>
    <w:rsid w:val="004A4DA1"/>
    <w:rsid w:val="004A4E7F"/>
    <w:rsid w:val="004A4EB7"/>
    <w:rsid w:val="004A53B7"/>
    <w:rsid w:val="004A5555"/>
    <w:rsid w:val="004A5570"/>
    <w:rsid w:val="004A57A3"/>
    <w:rsid w:val="004A57FF"/>
    <w:rsid w:val="004A5834"/>
    <w:rsid w:val="004A5842"/>
    <w:rsid w:val="004A595B"/>
    <w:rsid w:val="004A5A17"/>
    <w:rsid w:val="004A5BB7"/>
    <w:rsid w:val="004A5C6F"/>
    <w:rsid w:val="004A5C82"/>
    <w:rsid w:val="004A5CB1"/>
    <w:rsid w:val="004A5CFE"/>
    <w:rsid w:val="004A5DB7"/>
    <w:rsid w:val="004A5ED1"/>
    <w:rsid w:val="004A5F51"/>
    <w:rsid w:val="004A6006"/>
    <w:rsid w:val="004A602F"/>
    <w:rsid w:val="004A6054"/>
    <w:rsid w:val="004A6178"/>
    <w:rsid w:val="004A61D7"/>
    <w:rsid w:val="004A62DB"/>
    <w:rsid w:val="004A63A7"/>
    <w:rsid w:val="004A63DA"/>
    <w:rsid w:val="004A6470"/>
    <w:rsid w:val="004A65E0"/>
    <w:rsid w:val="004A6651"/>
    <w:rsid w:val="004A6655"/>
    <w:rsid w:val="004A66D7"/>
    <w:rsid w:val="004A6903"/>
    <w:rsid w:val="004A6A1D"/>
    <w:rsid w:val="004A6A38"/>
    <w:rsid w:val="004A6CD2"/>
    <w:rsid w:val="004A6E90"/>
    <w:rsid w:val="004A6F24"/>
    <w:rsid w:val="004A6F79"/>
    <w:rsid w:val="004A6FCA"/>
    <w:rsid w:val="004A72E4"/>
    <w:rsid w:val="004A7516"/>
    <w:rsid w:val="004A752C"/>
    <w:rsid w:val="004A7599"/>
    <w:rsid w:val="004A7607"/>
    <w:rsid w:val="004A773A"/>
    <w:rsid w:val="004A781A"/>
    <w:rsid w:val="004A78B4"/>
    <w:rsid w:val="004A792B"/>
    <w:rsid w:val="004A7945"/>
    <w:rsid w:val="004A79B9"/>
    <w:rsid w:val="004A7A1B"/>
    <w:rsid w:val="004A7A35"/>
    <w:rsid w:val="004A7AE5"/>
    <w:rsid w:val="004A7B5F"/>
    <w:rsid w:val="004A7BE1"/>
    <w:rsid w:val="004A7E48"/>
    <w:rsid w:val="004A7E4D"/>
    <w:rsid w:val="004B00D8"/>
    <w:rsid w:val="004B0128"/>
    <w:rsid w:val="004B0153"/>
    <w:rsid w:val="004B0314"/>
    <w:rsid w:val="004B0393"/>
    <w:rsid w:val="004B05FE"/>
    <w:rsid w:val="004B06B6"/>
    <w:rsid w:val="004B071B"/>
    <w:rsid w:val="004B0724"/>
    <w:rsid w:val="004B0935"/>
    <w:rsid w:val="004B09DD"/>
    <w:rsid w:val="004B0C3B"/>
    <w:rsid w:val="004B0F70"/>
    <w:rsid w:val="004B0F9B"/>
    <w:rsid w:val="004B1100"/>
    <w:rsid w:val="004B11A4"/>
    <w:rsid w:val="004B129F"/>
    <w:rsid w:val="004B12AB"/>
    <w:rsid w:val="004B1369"/>
    <w:rsid w:val="004B136F"/>
    <w:rsid w:val="004B155B"/>
    <w:rsid w:val="004B156D"/>
    <w:rsid w:val="004B15A6"/>
    <w:rsid w:val="004B1679"/>
    <w:rsid w:val="004B1830"/>
    <w:rsid w:val="004B18ED"/>
    <w:rsid w:val="004B19E0"/>
    <w:rsid w:val="004B1A81"/>
    <w:rsid w:val="004B1AC9"/>
    <w:rsid w:val="004B1B2D"/>
    <w:rsid w:val="004B1C73"/>
    <w:rsid w:val="004B1E00"/>
    <w:rsid w:val="004B1E7B"/>
    <w:rsid w:val="004B1EA0"/>
    <w:rsid w:val="004B1FC1"/>
    <w:rsid w:val="004B21CD"/>
    <w:rsid w:val="004B2288"/>
    <w:rsid w:val="004B2330"/>
    <w:rsid w:val="004B254D"/>
    <w:rsid w:val="004B26BC"/>
    <w:rsid w:val="004B26DC"/>
    <w:rsid w:val="004B27F6"/>
    <w:rsid w:val="004B2A4A"/>
    <w:rsid w:val="004B2C4C"/>
    <w:rsid w:val="004B2CF7"/>
    <w:rsid w:val="004B2D85"/>
    <w:rsid w:val="004B2F35"/>
    <w:rsid w:val="004B31D8"/>
    <w:rsid w:val="004B327E"/>
    <w:rsid w:val="004B329E"/>
    <w:rsid w:val="004B33BB"/>
    <w:rsid w:val="004B33ED"/>
    <w:rsid w:val="004B348C"/>
    <w:rsid w:val="004B3679"/>
    <w:rsid w:val="004B37BB"/>
    <w:rsid w:val="004B3A88"/>
    <w:rsid w:val="004B3A95"/>
    <w:rsid w:val="004B3DA1"/>
    <w:rsid w:val="004B3F0E"/>
    <w:rsid w:val="004B3FC6"/>
    <w:rsid w:val="004B4091"/>
    <w:rsid w:val="004B41E0"/>
    <w:rsid w:val="004B43EC"/>
    <w:rsid w:val="004B44DF"/>
    <w:rsid w:val="004B48AB"/>
    <w:rsid w:val="004B4F0A"/>
    <w:rsid w:val="004B4F49"/>
    <w:rsid w:val="004B4F89"/>
    <w:rsid w:val="004B51E1"/>
    <w:rsid w:val="004B5214"/>
    <w:rsid w:val="004B537C"/>
    <w:rsid w:val="004B5501"/>
    <w:rsid w:val="004B56F2"/>
    <w:rsid w:val="004B570C"/>
    <w:rsid w:val="004B58F4"/>
    <w:rsid w:val="004B5960"/>
    <w:rsid w:val="004B5C3D"/>
    <w:rsid w:val="004B5C77"/>
    <w:rsid w:val="004B5CE5"/>
    <w:rsid w:val="004B5D7D"/>
    <w:rsid w:val="004B5E10"/>
    <w:rsid w:val="004B5E11"/>
    <w:rsid w:val="004B5E6E"/>
    <w:rsid w:val="004B5EE0"/>
    <w:rsid w:val="004B5F52"/>
    <w:rsid w:val="004B601C"/>
    <w:rsid w:val="004B6100"/>
    <w:rsid w:val="004B62A5"/>
    <w:rsid w:val="004B6441"/>
    <w:rsid w:val="004B6464"/>
    <w:rsid w:val="004B6467"/>
    <w:rsid w:val="004B6684"/>
    <w:rsid w:val="004B6B67"/>
    <w:rsid w:val="004B7086"/>
    <w:rsid w:val="004B70B8"/>
    <w:rsid w:val="004B71B3"/>
    <w:rsid w:val="004B7214"/>
    <w:rsid w:val="004B72B3"/>
    <w:rsid w:val="004B72C2"/>
    <w:rsid w:val="004B7349"/>
    <w:rsid w:val="004B7565"/>
    <w:rsid w:val="004B7679"/>
    <w:rsid w:val="004B769F"/>
    <w:rsid w:val="004B7756"/>
    <w:rsid w:val="004B79CD"/>
    <w:rsid w:val="004B79E1"/>
    <w:rsid w:val="004B7B7E"/>
    <w:rsid w:val="004B7B84"/>
    <w:rsid w:val="004B7BA3"/>
    <w:rsid w:val="004B7D5C"/>
    <w:rsid w:val="004B7D8C"/>
    <w:rsid w:val="004B7E0D"/>
    <w:rsid w:val="004B7F22"/>
    <w:rsid w:val="004B7F92"/>
    <w:rsid w:val="004C0056"/>
    <w:rsid w:val="004C00BE"/>
    <w:rsid w:val="004C00D6"/>
    <w:rsid w:val="004C00F4"/>
    <w:rsid w:val="004C013C"/>
    <w:rsid w:val="004C0483"/>
    <w:rsid w:val="004C054A"/>
    <w:rsid w:val="004C0571"/>
    <w:rsid w:val="004C0669"/>
    <w:rsid w:val="004C0728"/>
    <w:rsid w:val="004C07F1"/>
    <w:rsid w:val="004C0817"/>
    <w:rsid w:val="004C0826"/>
    <w:rsid w:val="004C09FD"/>
    <w:rsid w:val="004C0B50"/>
    <w:rsid w:val="004C0C15"/>
    <w:rsid w:val="004C0C26"/>
    <w:rsid w:val="004C0D40"/>
    <w:rsid w:val="004C0DBC"/>
    <w:rsid w:val="004C0E71"/>
    <w:rsid w:val="004C10A4"/>
    <w:rsid w:val="004C123A"/>
    <w:rsid w:val="004C12A6"/>
    <w:rsid w:val="004C13BA"/>
    <w:rsid w:val="004C1564"/>
    <w:rsid w:val="004C1660"/>
    <w:rsid w:val="004C1667"/>
    <w:rsid w:val="004C17AE"/>
    <w:rsid w:val="004C18DE"/>
    <w:rsid w:val="004C1914"/>
    <w:rsid w:val="004C1952"/>
    <w:rsid w:val="004C1C05"/>
    <w:rsid w:val="004C1D7E"/>
    <w:rsid w:val="004C206B"/>
    <w:rsid w:val="004C208E"/>
    <w:rsid w:val="004C214A"/>
    <w:rsid w:val="004C2228"/>
    <w:rsid w:val="004C237E"/>
    <w:rsid w:val="004C23DA"/>
    <w:rsid w:val="004C240B"/>
    <w:rsid w:val="004C279C"/>
    <w:rsid w:val="004C29B5"/>
    <w:rsid w:val="004C2CA5"/>
    <w:rsid w:val="004C2CA8"/>
    <w:rsid w:val="004C2E0F"/>
    <w:rsid w:val="004C2FF2"/>
    <w:rsid w:val="004C305A"/>
    <w:rsid w:val="004C305B"/>
    <w:rsid w:val="004C31F1"/>
    <w:rsid w:val="004C329B"/>
    <w:rsid w:val="004C32B3"/>
    <w:rsid w:val="004C332A"/>
    <w:rsid w:val="004C365E"/>
    <w:rsid w:val="004C3752"/>
    <w:rsid w:val="004C37F4"/>
    <w:rsid w:val="004C383D"/>
    <w:rsid w:val="004C39F2"/>
    <w:rsid w:val="004C3C96"/>
    <w:rsid w:val="004C3E63"/>
    <w:rsid w:val="004C3EB7"/>
    <w:rsid w:val="004C3FD5"/>
    <w:rsid w:val="004C4018"/>
    <w:rsid w:val="004C422A"/>
    <w:rsid w:val="004C427D"/>
    <w:rsid w:val="004C43E4"/>
    <w:rsid w:val="004C45FF"/>
    <w:rsid w:val="004C474B"/>
    <w:rsid w:val="004C4971"/>
    <w:rsid w:val="004C4AEB"/>
    <w:rsid w:val="004C4B30"/>
    <w:rsid w:val="004C4D90"/>
    <w:rsid w:val="004C4ECC"/>
    <w:rsid w:val="004C4F72"/>
    <w:rsid w:val="004C4F83"/>
    <w:rsid w:val="004C4FD3"/>
    <w:rsid w:val="004C5181"/>
    <w:rsid w:val="004C51AE"/>
    <w:rsid w:val="004C54A5"/>
    <w:rsid w:val="004C54F4"/>
    <w:rsid w:val="004C5544"/>
    <w:rsid w:val="004C5588"/>
    <w:rsid w:val="004C55F3"/>
    <w:rsid w:val="004C568C"/>
    <w:rsid w:val="004C56E8"/>
    <w:rsid w:val="004C58B2"/>
    <w:rsid w:val="004C5ADD"/>
    <w:rsid w:val="004C5B04"/>
    <w:rsid w:val="004C5B64"/>
    <w:rsid w:val="004C5B68"/>
    <w:rsid w:val="004C5D81"/>
    <w:rsid w:val="004C5D95"/>
    <w:rsid w:val="004C5E2F"/>
    <w:rsid w:val="004C6146"/>
    <w:rsid w:val="004C638B"/>
    <w:rsid w:val="004C6407"/>
    <w:rsid w:val="004C645D"/>
    <w:rsid w:val="004C66F2"/>
    <w:rsid w:val="004C673F"/>
    <w:rsid w:val="004C6895"/>
    <w:rsid w:val="004C68A8"/>
    <w:rsid w:val="004C6C05"/>
    <w:rsid w:val="004C6DB7"/>
    <w:rsid w:val="004C6EA3"/>
    <w:rsid w:val="004C6F88"/>
    <w:rsid w:val="004C703F"/>
    <w:rsid w:val="004C7047"/>
    <w:rsid w:val="004C7090"/>
    <w:rsid w:val="004C711F"/>
    <w:rsid w:val="004C73F1"/>
    <w:rsid w:val="004C74E4"/>
    <w:rsid w:val="004C7644"/>
    <w:rsid w:val="004C76C6"/>
    <w:rsid w:val="004C77E5"/>
    <w:rsid w:val="004C7822"/>
    <w:rsid w:val="004C7881"/>
    <w:rsid w:val="004C78B6"/>
    <w:rsid w:val="004C7A70"/>
    <w:rsid w:val="004C7A9A"/>
    <w:rsid w:val="004C7AB4"/>
    <w:rsid w:val="004C7AB7"/>
    <w:rsid w:val="004C7B65"/>
    <w:rsid w:val="004C7C1B"/>
    <w:rsid w:val="004C7CB2"/>
    <w:rsid w:val="004C7D50"/>
    <w:rsid w:val="004C7E9A"/>
    <w:rsid w:val="004C7EE2"/>
    <w:rsid w:val="004C7FD1"/>
    <w:rsid w:val="004CC055"/>
    <w:rsid w:val="004D0090"/>
    <w:rsid w:val="004D0205"/>
    <w:rsid w:val="004D042C"/>
    <w:rsid w:val="004D0465"/>
    <w:rsid w:val="004D049E"/>
    <w:rsid w:val="004D0557"/>
    <w:rsid w:val="004D05A2"/>
    <w:rsid w:val="004D05C4"/>
    <w:rsid w:val="004D065F"/>
    <w:rsid w:val="004D06DA"/>
    <w:rsid w:val="004D071F"/>
    <w:rsid w:val="004D0765"/>
    <w:rsid w:val="004D0779"/>
    <w:rsid w:val="004D0A18"/>
    <w:rsid w:val="004D0ACE"/>
    <w:rsid w:val="004D0D16"/>
    <w:rsid w:val="004D0E45"/>
    <w:rsid w:val="004D103B"/>
    <w:rsid w:val="004D1496"/>
    <w:rsid w:val="004D14F1"/>
    <w:rsid w:val="004D16F3"/>
    <w:rsid w:val="004D1A29"/>
    <w:rsid w:val="004D1A74"/>
    <w:rsid w:val="004D1C2A"/>
    <w:rsid w:val="004D1C74"/>
    <w:rsid w:val="004D1CFB"/>
    <w:rsid w:val="004D1E35"/>
    <w:rsid w:val="004D1ED7"/>
    <w:rsid w:val="004D1F1D"/>
    <w:rsid w:val="004D204D"/>
    <w:rsid w:val="004D22B7"/>
    <w:rsid w:val="004D22D5"/>
    <w:rsid w:val="004D22FF"/>
    <w:rsid w:val="004D23BA"/>
    <w:rsid w:val="004D25DA"/>
    <w:rsid w:val="004D2698"/>
    <w:rsid w:val="004D2703"/>
    <w:rsid w:val="004D27A4"/>
    <w:rsid w:val="004D28C0"/>
    <w:rsid w:val="004D28F5"/>
    <w:rsid w:val="004D2957"/>
    <w:rsid w:val="004D2965"/>
    <w:rsid w:val="004D2B41"/>
    <w:rsid w:val="004D2BFF"/>
    <w:rsid w:val="004D2C38"/>
    <w:rsid w:val="004D2D9D"/>
    <w:rsid w:val="004D2F22"/>
    <w:rsid w:val="004D2F34"/>
    <w:rsid w:val="004D310F"/>
    <w:rsid w:val="004D31E3"/>
    <w:rsid w:val="004D3210"/>
    <w:rsid w:val="004D33FA"/>
    <w:rsid w:val="004D33FE"/>
    <w:rsid w:val="004D35AD"/>
    <w:rsid w:val="004D36C1"/>
    <w:rsid w:val="004D374E"/>
    <w:rsid w:val="004D380D"/>
    <w:rsid w:val="004D3897"/>
    <w:rsid w:val="004D3915"/>
    <w:rsid w:val="004D3969"/>
    <w:rsid w:val="004D3A48"/>
    <w:rsid w:val="004D3AE2"/>
    <w:rsid w:val="004D3B5D"/>
    <w:rsid w:val="004D3B66"/>
    <w:rsid w:val="004D3BA8"/>
    <w:rsid w:val="004D3BD4"/>
    <w:rsid w:val="004D3BF7"/>
    <w:rsid w:val="004D3DBC"/>
    <w:rsid w:val="004D3EB5"/>
    <w:rsid w:val="004D3F4C"/>
    <w:rsid w:val="004D3F61"/>
    <w:rsid w:val="004D4189"/>
    <w:rsid w:val="004D4220"/>
    <w:rsid w:val="004D4254"/>
    <w:rsid w:val="004D448F"/>
    <w:rsid w:val="004D44F9"/>
    <w:rsid w:val="004D4615"/>
    <w:rsid w:val="004D46C5"/>
    <w:rsid w:val="004D4831"/>
    <w:rsid w:val="004D486C"/>
    <w:rsid w:val="004D4B21"/>
    <w:rsid w:val="004D4BF5"/>
    <w:rsid w:val="004D4C66"/>
    <w:rsid w:val="004D4C89"/>
    <w:rsid w:val="004D4CD7"/>
    <w:rsid w:val="004D4D0B"/>
    <w:rsid w:val="004D4D25"/>
    <w:rsid w:val="004D4F17"/>
    <w:rsid w:val="004D4F82"/>
    <w:rsid w:val="004D500D"/>
    <w:rsid w:val="004D5095"/>
    <w:rsid w:val="004D5312"/>
    <w:rsid w:val="004D5360"/>
    <w:rsid w:val="004D5499"/>
    <w:rsid w:val="004D565C"/>
    <w:rsid w:val="004D56E1"/>
    <w:rsid w:val="004D5721"/>
    <w:rsid w:val="004D575C"/>
    <w:rsid w:val="004D58B4"/>
    <w:rsid w:val="004D5B1A"/>
    <w:rsid w:val="004D5CA7"/>
    <w:rsid w:val="004D5E2E"/>
    <w:rsid w:val="004D5E83"/>
    <w:rsid w:val="004D5E94"/>
    <w:rsid w:val="004D61BE"/>
    <w:rsid w:val="004D61E3"/>
    <w:rsid w:val="004D62F5"/>
    <w:rsid w:val="004D6389"/>
    <w:rsid w:val="004D63D7"/>
    <w:rsid w:val="004D63E6"/>
    <w:rsid w:val="004D65DF"/>
    <w:rsid w:val="004D667A"/>
    <w:rsid w:val="004D6882"/>
    <w:rsid w:val="004D68B7"/>
    <w:rsid w:val="004D6922"/>
    <w:rsid w:val="004D69A4"/>
    <w:rsid w:val="004D6A41"/>
    <w:rsid w:val="004D6BD1"/>
    <w:rsid w:val="004D6BE4"/>
    <w:rsid w:val="004D6DD6"/>
    <w:rsid w:val="004D6E0C"/>
    <w:rsid w:val="004D7049"/>
    <w:rsid w:val="004D7092"/>
    <w:rsid w:val="004D7193"/>
    <w:rsid w:val="004D725B"/>
    <w:rsid w:val="004D72A5"/>
    <w:rsid w:val="004D73C5"/>
    <w:rsid w:val="004D7537"/>
    <w:rsid w:val="004D75D1"/>
    <w:rsid w:val="004D7789"/>
    <w:rsid w:val="004D78A0"/>
    <w:rsid w:val="004D79A7"/>
    <w:rsid w:val="004D7C68"/>
    <w:rsid w:val="004D7CCB"/>
    <w:rsid w:val="004D7CD8"/>
    <w:rsid w:val="004D7E19"/>
    <w:rsid w:val="004D7F6F"/>
    <w:rsid w:val="004D7F7A"/>
    <w:rsid w:val="004D7FEF"/>
    <w:rsid w:val="004E00F4"/>
    <w:rsid w:val="004E0117"/>
    <w:rsid w:val="004E0158"/>
    <w:rsid w:val="004E016F"/>
    <w:rsid w:val="004E0181"/>
    <w:rsid w:val="004E034A"/>
    <w:rsid w:val="004E0427"/>
    <w:rsid w:val="004E04D8"/>
    <w:rsid w:val="004E0615"/>
    <w:rsid w:val="004E0A0F"/>
    <w:rsid w:val="004E0BA4"/>
    <w:rsid w:val="004E0E4A"/>
    <w:rsid w:val="004E0E95"/>
    <w:rsid w:val="004E10E5"/>
    <w:rsid w:val="004E138D"/>
    <w:rsid w:val="004E1432"/>
    <w:rsid w:val="004E15D7"/>
    <w:rsid w:val="004E1872"/>
    <w:rsid w:val="004E18D1"/>
    <w:rsid w:val="004E18F4"/>
    <w:rsid w:val="004E19CC"/>
    <w:rsid w:val="004E19E0"/>
    <w:rsid w:val="004E1D0E"/>
    <w:rsid w:val="004E1E28"/>
    <w:rsid w:val="004E1E51"/>
    <w:rsid w:val="004E1FDC"/>
    <w:rsid w:val="004E2008"/>
    <w:rsid w:val="004E202C"/>
    <w:rsid w:val="004E22EC"/>
    <w:rsid w:val="004E22F4"/>
    <w:rsid w:val="004E247C"/>
    <w:rsid w:val="004E2521"/>
    <w:rsid w:val="004E257C"/>
    <w:rsid w:val="004E2862"/>
    <w:rsid w:val="004E2A6D"/>
    <w:rsid w:val="004E2AA6"/>
    <w:rsid w:val="004E2BC6"/>
    <w:rsid w:val="004E2C5E"/>
    <w:rsid w:val="004E32B3"/>
    <w:rsid w:val="004E330A"/>
    <w:rsid w:val="004E333B"/>
    <w:rsid w:val="004E346F"/>
    <w:rsid w:val="004E350E"/>
    <w:rsid w:val="004E3538"/>
    <w:rsid w:val="004E376F"/>
    <w:rsid w:val="004E387F"/>
    <w:rsid w:val="004E3973"/>
    <w:rsid w:val="004E39A0"/>
    <w:rsid w:val="004E3A26"/>
    <w:rsid w:val="004E3A2D"/>
    <w:rsid w:val="004E3D12"/>
    <w:rsid w:val="004E3D3D"/>
    <w:rsid w:val="004E3D9A"/>
    <w:rsid w:val="004E3F5F"/>
    <w:rsid w:val="004E3F96"/>
    <w:rsid w:val="004E3FBC"/>
    <w:rsid w:val="004E4056"/>
    <w:rsid w:val="004E40AE"/>
    <w:rsid w:val="004E415E"/>
    <w:rsid w:val="004E416A"/>
    <w:rsid w:val="004E4257"/>
    <w:rsid w:val="004E42CF"/>
    <w:rsid w:val="004E435E"/>
    <w:rsid w:val="004E437E"/>
    <w:rsid w:val="004E45DF"/>
    <w:rsid w:val="004E45F5"/>
    <w:rsid w:val="004E479D"/>
    <w:rsid w:val="004E496D"/>
    <w:rsid w:val="004E4C5F"/>
    <w:rsid w:val="004E4D7C"/>
    <w:rsid w:val="004E4D89"/>
    <w:rsid w:val="004E4FBB"/>
    <w:rsid w:val="004E5134"/>
    <w:rsid w:val="004E5195"/>
    <w:rsid w:val="004E51C0"/>
    <w:rsid w:val="004E5479"/>
    <w:rsid w:val="004E55B0"/>
    <w:rsid w:val="004E569B"/>
    <w:rsid w:val="004E5728"/>
    <w:rsid w:val="004E591C"/>
    <w:rsid w:val="004E59C2"/>
    <w:rsid w:val="004E59DD"/>
    <w:rsid w:val="004E5A0A"/>
    <w:rsid w:val="004E5B91"/>
    <w:rsid w:val="004E5C65"/>
    <w:rsid w:val="004E5E01"/>
    <w:rsid w:val="004E5E36"/>
    <w:rsid w:val="004E5E5A"/>
    <w:rsid w:val="004E5E61"/>
    <w:rsid w:val="004E6068"/>
    <w:rsid w:val="004E6138"/>
    <w:rsid w:val="004E62F4"/>
    <w:rsid w:val="004E6471"/>
    <w:rsid w:val="004E64F1"/>
    <w:rsid w:val="004E66DC"/>
    <w:rsid w:val="004E6A25"/>
    <w:rsid w:val="004E6B44"/>
    <w:rsid w:val="004E6B4A"/>
    <w:rsid w:val="004E6C6E"/>
    <w:rsid w:val="004E6CE4"/>
    <w:rsid w:val="004E6D06"/>
    <w:rsid w:val="004E6F84"/>
    <w:rsid w:val="004E7077"/>
    <w:rsid w:val="004E70D7"/>
    <w:rsid w:val="004E7173"/>
    <w:rsid w:val="004E7324"/>
    <w:rsid w:val="004E7428"/>
    <w:rsid w:val="004E751E"/>
    <w:rsid w:val="004E793F"/>
    <w:rsid w:val="004E7A5C"/>
    <w:rsid w:val="004E7ADB"/>
    <w:rsid w:val="004E7B02"/>
    <w:rsid w:val="004E7B14"/>
    <w:rsid w:val="004E7B90"/>
    <w:rsid w:val="004E7C98"/>
    <w:rsid w:val="004E7CA1"/>
    <w:rsid w:val="004E7EA5"/>
    <w:rsid w:val="004E7EEC"/>
    <w:rsid w:val="004E7FDD"/>
    <w:rsid w:val="004EE406"/>
    <w:rsid w:val="004F025C"/>
    <w:rsid w:val="004F04BA"/>
    <w:rsid w:val="004F05B5"/>
    <w:rsid w:val="004F05CF"/>
    <w:rsid w:val="004F0623"/>
    <w:rsid w:val="004F06B0"/>
    <w:rsid w:val="004F0752"/>
    <w:rsid w:val="004F086D"/>
    <w:rsid w:val="004F0A47"/>
    <w:rsid w:val="004F0A94"/>
    <w:rsid w:val="004F0B0F"/>
    <w:rsid w:val="004F0DAB"/>
    <w:rsid w:val="004F0ED2"/>
    <w:rsid w:val="004F0F90"/>
    <w:rsid w:val="004F10E5"/>
    <w:rsid w:val="004F1106"/>
    <w:rsid w:val="004F1138"/>
    <w:rsid w:val="004F1153"/>
    <w:rsid w:val="004F11EB"/>
    <w:rsid w:val="004F12B5"/>
    <w:rsid w:val="004F13B3"/>
    <w:rsid w:val="004F146C"/>
    <w:rsid w:val="004F15BF"/>
    <w:rsid w:val="004F16D0"/>
    <w:rsid w:val="004F17B0"/>
    <w:rsid w:val="004F17DE"/>
    <w:rsid w:val="004F188E"/>
    <w:rsid w:val="004F18EF"/>
    <w:rsid w:val="004F190F"/>
    <w:rsid w:val="004F198A"/>
    <w:rsid w:val="004F1B28"/>
    <w:rsid w:val="004F1D53"/>
    <w:rsid w:val="004F1D7F"/>
    <w:rsid w:val="004F1ED4"/>
    <w:rsid w:val="004F1F19"/>
    <w:rsid w:val="004F1F67"/>
    <w:rsid w:val="004F2065"/>
    <w:rsid w:val="004F20DE"/>
    <w:rsid w:val="004F2197"/>
    <w:rsid w:val="004F22CB"/>
    <w:rsid w:val="004F2340"/>
    <w:rsid w:val="004F256B"/>
    <w:rsid w:val="004F276A"/>
    <w:rsid w:val="004F28D6"/>
    <w:rsid w:val="004F2971"/>
    <w:rsid w:val="004F2A22"/>
    <w:rsid w:val="004F2D08"/>
    <w:rsid w:val="004F2E34"/>
    <w:rsid w:val="004F2ECD"/>
    <w:rsid w:val="004F2EEB"/>
    <w:rsid w:val="004F315A"/>
    <w:rsid w:val="004F3190"/>
    <w:rsid w:val="004F322B"/>
    <w:rsid w:val="004F3693"/>
    <w:rsid w:val="004F372B"/>
    <w:rsid w:val="004F39C2"/>
    <w:rsid w:val="004F3AC7"/>
    <w:rsid w:val="004F3E34"/>
    <w:rsid w:val="004F3EB0"/>
    <w:rsid w:val="004F4003"/>
    <w:rsid w:val="004F4015"/>
    <w:rsid w:val="004F4344"/>
    <w:rsid w:val="004F4377"/>
    <w:rsid w:val="004F43DE"/>
    <w:rsid w:val="004F43E3"/>
    <w:rsid w:val="004F441B"/>
    <w:rsid w:val="004F4434"/>
    <w:rsid w:val="004F4463"/>
    <w:rsid w:val="004F4536"/>
    <w:rsid w:val="004F48D8"/>
    <w:rsid w:val="004F49BE"/>
    <w:rsid w:val="004F4A02"/>
    <w:rsid w:val="004F4A5F"/>
    <w:rsid w:val="004F4ABB"/>
    <w:rsid w:val="004F4BBC"/>
    <w:rsid w:val="004F4E8F"/>
    <w:rsid w:val="004F4ED4"/>
    <w:rsid w:val="004F5040"/>
    <w:rsid w:val="004F5051"/>
    <w:rsid w:val="004F5061"/>
    <w:rsid w:val="004F50CB"/>
    <w:rsid w:val="004F5164"/>
    <w:rsid w:val="004F51C1"/>
    <w:rsid w:val="004F56AA"/>
    <w:rsid w:val="004F579C"/>
    <w:rsid w:val="004F57C9"/>
    <w:rsid w:val="004F581E"/>
    <w:rsid w:val="004F5939"/>
    <w:rsid w:val="004F5A8D"/>
    <w:rsid w:val="004F5C15"/>
    <w:rsid w:val="004F5CCE"/>
    <w:rsid w:val="004F5CEF"/>
    <w:rsid w:val="004F5E1A"/>
    <w:rsid w:val="004F6184"/>
    <w:rsid w:val="004F6211"/>
    <w:rsid w:val="004F626D"/>
    <w:rsid w:val="004F62F4"/>
    <w:rsid w:val="004F67ED"/>
    <w:rsid w:val="004F6865"/>
    <w:rsid w:val="004F68D6"/>
    <w:rsid w:val="004F69BA"/>
    <w:rsid w:val="004F6AC6"/>
    <w:rsid w:val="004F6C5A"/>
    <w:rsid w:val="004F6D11"/>
    <w:rsid w:val="004F6D5D"/>
    <w:rsid w:val="004F6E68"/>
    <w:rsid w:val="004F6FE7"/>
    <w:rsid w:val="004F7179"/>
    <w:rsid w:val="004F73BA"/>
    <w:rsid w:val="004F7501"/>
    <w:rsid w:val="004F7637"/>
    <w:rsid w:val="004F76E2"/>
    <w:rsid w:val="004F773C"/>
    <w:rsid w:val="004F7797"/>
    <w:rsid w:val="004F7825"/>
    <w:rsid w:val="004F78CB"/>
    <w:rsid w:val="004F796A"/>
    <w:rsid w:val="004F7A73"/>
    <w:rsid w:val="004F7CA5"/>
    <w:rsid w:val="004F7CBF"/>
    <w:rsid w:val="004F7D27"/>
    <w:rsid w:val="004F7EF5"/>
    <w:rsid w:val="004F7F7B"/>
    <w:rsid w:val="0050010E"/>
    <w:rsid w:val="00500445"/>
    <w:rsid w:val="00500553"/>
    <w:rsid w:val="00500566"/>
    <w:rsid w:val="0050060E"/>
    <w:rsid w:val="00500629"/>
    <w:rsid w:val="0050067A"/>
    <w:rsid w:val="00500798"/>
    <w:rsid w:val="00500986"/>
    <w:rsid w:val="00500A3C"/>
    <w:rsid w:val="00500BF2"/>
    <w:rsid w:val="00500C02"/>
    <w:rsid w:val="00500C39"/>
    <w:rsid w:val="00500C40"/>
    <w:rsid w:val="00500E2F"/>
    <w:rsid w:val="00500F02"/>
    <w:rsid w:val="00500FF3"/>
    <w:rsid w:val="0050101D"/>
    <w:rsid w:val="0050103A"/>
    <w:rsid w:val="0050109E"/>
    <w:rsid w:val="00501247"/>
    <w:rsid w:val="0050136D"/>
    <w:rsid w:val="005013A0"/>
    <w:rsid w:val="005013DE"/>
    <w:rsid w:val="0050142A"/>
    <w:rsid w:val="005015F9"/>
    <w:rsid w:val="005018BB"/>
    <w:rsid w:val="00501A11"/>
    <w:rsid w:val="00501B10"/>
    <w:rsid w:val="00501C14"/>
    <w:rsid w:val="00501E2D"/>
    <w:rsid w:val="00501E3F"/>
    <w:rsid w:val="00501E7F"/>
    <w:rsid w:val="00501FF1"/>
    <w:rsid w:val="00502078"/>
    <w:rsid w:val="005020A2"/>
    <w:rsid w:val="00502168"/>
    <w:rsid w:val="005021A7"/>
    <w:rsid w:val="005021CA"/>
    <w:rsid w:val="00502373"/>
    <w:rsid w:val="00502610"/>
    <w:rsid w:val="00502A0C"/>
    <w:rsid w:val="00502A8E"/>
    <w:rsid w:val="00502BF0"/>
    <w:rsid w:val="00502D3C"/>
    <w:rsid w:val="005030B6"/>
    <w:rsid w:val="0050311D"/>
    <w:rsid w:val="00503163"/>
    <w:rsid w:val="005031D0"/>
    <w:rsid w:val="005034DD"/>
    <w:rsid w:val="00503566"/>
    <w:rsid w:val="0050357A"/>
    <w:rsid w:val="005035A0"/>
    <w:rsid w:val="00503845"/>
    <w:rsid w:val="0050385E"/>
    <w:rsid w:val="00503A83"/>
    <w:rsid w:val="00503D26"/>
    <w:rsid w:val="00503D32"/>
    <w:rsid w:val="00503DDB"/>
    <w:rsid w:val="00504252"/>
    <w:rsid w:val="00504257"/>
    <w:rsid w:val="00504597"/>
    <w:rsid w:val="005045D1"/>
    <w:rsid w:val="0050464B"/>
    <w:rsid w:val="00504675"/>
    <w:rsid w:val="00504722"/>
    <w:rsid w:val="005047B3"/>
    <w:rsid w:val="0050481C"/>
    <w:rsid w:val="00504887"/>
    <w:rsid w:val="005049D6"/>
    <w:rsid w:val="00504A5D"/>
    <w:rsid w:val="00504AC3"/>
    <w:rsid w:val="00504B6B"/>
    <w:rsid w:val="00504C4B"/>
    <w:rsid w:val="00504D04"/>
    <w:rsid w:val="00504D59"/>
    <w:rsid w:val="00504F56"/>
    <w:rsid w:val="00504FDE"/>
    <w:rsid w:val="00505144"/>
    <w:rsid w:val="00505153"/>
    <w:rsid w:val="00505162"/>
    <w:rsid w:val="005052EE"/>
    <w:rsid w:val="00505305"/>
    <w:rsid w:val="005053C6"/>
    <w:rsid w:val="00505422"/>
    <w:rsid w:val="005054C0"/>
    <w:rsid w:val="005054F1"/>
    <w:rsid w:val="00505640"/>
    <w:rsid w:val="005058BB"/>
    <w:rsid w:val="00505999"/>
    <w:rsid w:val="005059B1"/>
    <w:rsid w:val="00505A42"/>
    <w:rsid w:val="00505A89"/>
    <w:rsid w:val="00505A95"/>
    <w:rsid w:val="00505BAD"/>
    <w:rsid w:val="00505D91"/>
    <w:rsid w:val="00505E27"/>
    <w:rsid w:val="00506303"/>
    <w:rsid w:val="005063CE"/>
    <w:rsid w:val="005064C1"/>
    <w:rsid w:val="005066E0"/>
    <w:rsid w:val="005067C7"/>
    <w:rsid w:val="00506838"/>
    <w:rsid w:val="005068E8"/>
    <w:rsid w:val="0050691D"/>
    <w:rsid w:val="00506941"/>
    <w:rsid w:val="00506F29"/>
    <w:rsid w:val="0050713F"/>
    <w:rsid w:val="005071A2"/>
    <w:rsid w:val="005071F6"/>
    <w:rsid w:val="005077AE"/>
    <w:rsid w:val="005077DA"/>
    <w:rsid w:val="005077ED"/>
    <w:rsid w:val="00507A9D"/>
    <w:rsid w:val="00507B0E"/>
    <w:rsid w:val="00507B18"/>
    <w:rsid w:val="00507B83"/>
    <w:rsid w:val="00507BD8"/>
    <w:rsid w:val="00507DE5"/>
    <w:rsid w:val="00507E69"/>
    <w:rsid w:val="00507FB0"/>
    <w:rsid w:val="00510013"/>
    <w:rsid w:val="005100B2"/>
    <w:rsid w:val="00510418"/>
    <w:rsid w:val="005104CF"/>
    <w:rsid w:val="005107CD"/>
    <w:rsid w:val="00510903"/>
    <w:rsid w:val="00510BCE"/>
    <w:rsid w:val="00510C3E"/>
    <w:rsid w:val="00510D04"/>
    <w:rsid w:val="00510DB4"/>
    <w:rsid w:val="00510ECA"/>
    <w:rsid w:val="00510ED5"/>
    <w:rsid w:val="005111B7"/>
    <w:rsid w:val="0051132F"/>
    <w:rsid w:val="005113A4"/>
    <w:rsid w:val="00511462"/>
    <w:rsid w:val="005114EE"/>
    <w:rsid w:val="00511679"/>
    <w:rsid w:val="005116F5"/>
    <w:rsid w:val="00511770"/>
    <w:rsid w:val="00511998"/>
    <w:rsid w:val="005119ED"/>
    <w:rsid w:val="00511A17"/>
    <w:rsid w:val="00511A39"/>
    <w:rsid w:val="00511B05"/>
    <w:rsid w:val="00511B79"/>
    <w:rsid w:val="00511BDE"/>
    <w:rsid w:val="00511D51"/>
    <w:rsid w:val="00511E16"/>
    <w:rsid w:val="00511E3F"/>
    <w:rsid w:val="00511F57"/>
    <w:rsid w:val="00511F5F"/>
    <w:rsid w:val="0051200E"/>
    <w:rsid w:val="00512079"/>
    <w:rsid w:val="00512453"/>
    <w:rsid w:val="00512514"/>
    <w:rsid w:val="00512556"/>
    <w:rsid w:val="005127E5"/>
    <w:rsid w:val="0051286E"/>
    <w:rsid w:val="005128AF"/>
    <w:rsid w:val="00512B89"/>
    <w:rsid w:val="00512BE6"/>
    <w:rsid w:val="00512C3D"/>
    <w:rsid w:val="00512CB8"/>
    <w:rsid w:val="00512CCD"/>
    <w:rsid w:val="00512DDF"/>
    <w:rsid w:val="00512E1B"/>
    <w:rsid w:val="00512FF4"/>
    <w:rsid w:val="005134E4"/>
    <w:rsid w:val="0051358C"/>
    <w:rsid w:val="005135E2"/>
    <w:rsid w:val="0051365A"/>
    <w:rsid w:val="0051370B"/>
    <w:rsid w:val="00513735"/>
    <w:rsid w:val="00513862"/>
    <w:rsid w:val="005139A6"/>
    <w:rsid w:val="00513A16"/>
    <w:rsid w:val="00513BFF"/>
    <w:rsid w:val="00513C20"/>
    <w:rsid w:val="00513D0B"/>
    <w:rsid w:val="00513DF4"/>
    <w:rsid w:val="00513E22"/>
    <w:rsid w:val="00513E42"/>
    <w:rsid w:val="00513E63"/>
    <w:rsid w:val="00513EA8"/>
    <w:rsid w:val="00513F14"/>
    <w:rsid w:val="00514089"/>
    <w:rsid w:val="00514134"/>
    <w:rsid w:val="0051413B"/>
    <w:rsid w:val="005141AE"/>
    <w:rsid w:val="00514318"/>
    <w:rsid w:val="005143E4"/>
    <w:rsid w:val="005144B1"/>
    <w:rsid w:val="005144FE"/>
    <w:rsid w:val="00514574"/>
    <w:rsid w:val="005145E6"/>
    <w:rsid w:val="00514689"/>
    <w:rsid w:val="0051473F"/>
    <w:rsid w:val="00514864"/>
    <w:rsid w:val="00514A10"/>
    <w:rsid w:val="00514B24"/>
    <w:rsid w:val="00515011"/>
    <w:rsid w:val="005151CF"/>
    <w:rsid w:val="00515284"/>
    <w:rsid w:val="0051535E"/>
    <w:rsid w:val="0051542E"/>
    <w:rsid w:val="00515536"/>
    <w:rsid w:val="00515570"/>
    <w:rsid w:val="005156EC"/>
    <w:rsid w:val="005159B6"/>
    <w:rsid w:val="005159DA"/>
    <w:rsid w:val="00515C4B"/>
    <w:rsid w:val="00515EAD"/>
    <w:rsid w:val="00515EFA"/>
    <w:rsid w:val="005161AC"/>
    <w:rsid w:val="00516203"/>
    <w:rsid w:val="00516241"/>
    <w:rsid w:val="0051635D"/>
    <w:rsid w:val="0051640F"/>
    <w:rsid w:val="005166BF"/>
    <w:rsid w:val="0051672C"/>
    <w:rsid w:val="00516841"/>
    <w:rsid w:val="005168F7"/>
    <w:rsid w:val="00516C03"/>
    <w:rsid w:val="00516C73"/>
    <w:rsid w:val="00516CE8"/>
    <w:rsid w:val="00516D26"/>
    <w:rsid w:val="00516DC8"/>
    <w:rsid w:val="00516E9E"/>
    <w:rsid w:val="00516F4F"/>
    <w:rsid w:val="00516F72"/>
    <w:rsid w:val="00516FF6"/>
    <w:rsid w:val="005170DB"/>
    <w:rsid w:val="0051710F"/>
    <w:rsid w:val="005172E2"/>
    <w:rsid w:val="0051765C"/>
    <w:rsid w:val="00517914"/>
    <w:rsid w:val="00517953"/>
    <w:rsid w:val="00517A9C"/>
    <w:rsid w:val="00517AE3"/>
    <w:rsid w:val="00517DB6"/>
    <w:rsid w:val="00517F55"/>
    <w:rsid w:val="00520057"/>
    <w:rsid w:val="005200C1"/>
    <w:rsid w:val="00520338"/>
    <w:rsid w:val="005205F9"/>
    <w:rsid w:val="00520607"/>
    <w:rsid w:val="00520618"/>
    <w:rsid w:val="0052066F"/>
    <w:rsid w:val="00520812"/>
    <w:rsid w:val="0052081E"/>
    <w:rsid w:val="005208F2"/>
    <w:rsid w:val="00520A34"/>
    <w:rsid w:val="00520AF7"/>
    <w:rsid w:val="00520C19"/>
    <w:rsid w:val="00520DD8"/>
    <w:rsid w:val="00520EDB"/>
    <w:rsid w:val="00520F23"/>
    <w:rsid w:val="005211AF"/>
    <w:rsid w:val="00521211"/>
    <w:rsid w:val="00521280"/>
    <w:rsid w:val="0052133C"/>
    <w:rsid w:val="00521557"/>
    <w:rsid w:val="00521636"/>
    <w:rsid w:val="00521640"/>
    <w:rsid w:val="0052165C"/>
    <w:rsid w:val="00521698"/>
    <w:rsid w:val="00521708"/>
    <w:rsid w:val="0052172C"/>
    <w:rsid w:val="00521861"/>
    <w:rsid w:val="00521ACE"/>
    <w:rsid w:val="00521B54"/>
    <w:rsid w:val="00521C5F"/>
    <w:rsid w:val="00521C8A"/>
    <w:rsid w:val="00521D3E"/>
    <w:rsid w:val="0052213F"/>
    <w:rsid w:val="0052233A"/>
    <w:rsid w:val="00522492"/>
    <w:rsid w:val="00522AE4"/>
    <w:rsid w:val="00522BB6"/>
    <w:rsid w:val="00522EC6"/>
    <w:rsid w:val="00522EDA"/>
    <w:rsid w:val="00522F67"/>
    <w:rsid w:val="00522FDE"/>
    <w:rsid w:val="00522FFF"/>
    <w:rsid w:val="005230C2"/>
    <w:rsid w:val="005230D8"/>
    <w:rsid w:val="00523755"/>
    <w:rsid w:val="0052390A"/>
    <w:rsid w:val="00523915"/>
    <w:rsid w:val="00523B15"/>
    <w:rsid w:val="00523E19"/>
    <w:rsid w:val="00523F3D"/>
    <w:rsid w:val="0052415B"/>
    <w:rsid w:val="00524235"/>
    <w:rsid w:val="00524276"/>
    <w:rsid w:val="005244AA"/>
    <w:rsid w:val="0052453C"/>
    <w:rsid w:val="005245B4"/>
    <w:rsid w:val="005246F6"/>
    <w:rsid w:val="0052497F"/>
    <w:rsid w:val="00524B20"/>
    <w:rsid w:val="00524CBE"/>
    <w:rsid w:val="00524CC0"/>
    <w:rsid w:val="00524D2F"/>
    <w:rsid w:val="00524D74"/>
    <w:rsid w:val="00524DB5"/>
    <w:rsid w:val="00524FEF"/>
    <w:rsid w:val="00525013"/>
    <w:rsid w:val="00525021"/>
    <w:rsid w:val="00525126"/>
    <w:rsid w:val="0052514B"/>
    <w:rsid w:val="0052524B"/>
    <w:rsid w:val="0052536F"/>
    <w:rsid w:val="00525526"/>
    <w:rsid w:val="0052558A"/>
    <w:rsid w:val="005255BE"/>
    <w:rsid w:val="005256B8"/>
    <w:rsid w:val="0052591A"/>
    <w:rsid w:val="00525C12"/>
    <w:rsid w:val="00525D7D"/>
    <w:rsid w:val="00525E28"/>
    <w:rsid w:val="00525E75"/>
    <w:rsid w:val="00526086"/>
    <w:rsid w:val="005260F5"/>
    <w:rsid w:val="0052610E"/>
    <w:rsid w:val="0052615B"/>
    <w:rsid w:val="00526232"/>
    <w:rsid w:val="005262E8"/>
    <w:rsid w:val="00526397"/>
    <w:rsid w:val="00526559"/>
    <w:rsid w:val="005266E8"/>
    <w:rsid w:val="00526701"/>
    <w:rsid w:val="0052676B"/>
    <w:rsid w:val="0052687A"/>
    <w:rsid w:val="005269AA"/>
    <w:rsid w:val="00526C70"/>
    <w:rsid w:val="00526D6D"/>
    <w:rsid w:val="00526EAA"/>
    <w:rsid w:val="00526EB6"/>
    <w:rsid w:val="00526F8B"/>
    <w:rsid w:val="0052715D"/>
    <w:rsid w:val="00527219"/>
    <w:rsid w:val="005272D2"/>
    <w:rsid w:val="005272F9"/>
    <w:rsid w:val="00527354"/>
    <w:rsid w:val="0052767B"/>
    <w:rsid w:val="00527702"/>
    <w:rsid w:val="005279D1"/>
    <w:rsid w:val="00527A39"/>
    <w:rsid w:val="00527C99"/>
    <w:rsid w:val="00527E6F"/>
    <w:rsid w:val="00527FD3"/>
    <w:rsid w:val="00529CB7"/>
    <w:rsid w:val="0053001E"/>
    <w:rsid w:val="00530091"/>
    <w:rsid w:val="00530114"/>
    <w:rsid w:val="0053014A"/>
    <w:rsid w:val="00530185"/>
    <w:rsid w:val="0053058B"/>
    <w:rsid w:val="00530711"/>
    <w:rsid w:val="00530787"/>
    <w:rsid w:val="005307C8"/>
    <w:rsid w:val="00530A66"/>
    <w:rsid w:val="00530AC2"/>
    <w:rsid w:val="00530B42"/>
    <w:rsid w:val="00530BE5"/>
    <w:rsid w:val="00530C4B"/>
    <w:rsid w:val="00530E09"/>
    <w:rsid w:val="00530F44"/>
    <w:rsid w:val="0053107D"/>
    <w:rsid w:val="005310FD"/>
    <w:rsid w:val="00531110"/>
    <w:rsid w:val="0053123C"/>
    <w:rsid w:val="00531361"/>
    <w:rsid w:val="005313C6"/>
    <w:rsid w:val="005313E3"/>
    <w:rsid w:val="0053187A"/>
    <w:rsid w:val="00531A13"/>
    <w:rsid w:val="00531A70"/>
    <w:rsid w:val="00531BAE"/>
    <w:rsid w:val="00531BBD"/>
    <w:rsid w:val="00531E0F"/>
    <w:rsid w:val="00531E70"/>
    <w:rsid w:val="00531ED2"/>
    <w:rsid w:val="00531F26"/>
    <w:rsid w:val="00532262"/>
    <w:rsid w:val="00532497"/>
    <w:rsid w:val="00532552"/>
    <w:rsid w:val="005327B9"/>
    <w:rsid w:val="0053287A"/>
    <w:rsid w:val="0053295A"/>
    <w:rsid w:val="005329B4"/>
    <w:rsid w:val="00532B91"/>
    <w:rsid w:val="00532C3F"/>
    <w:rsid w:val="00532E14"/>
    <w:rsid w:val="00532EE2"/>
    <w:rsid w:val="00532F9C"/>
    <w:rsid w:val="005330CB"/>
    <w:rsid w:val="0053324B"/>
    <w:rsid w:val="0053326A"/>
    <w:rsid w:val="00533284"/>
    <w:rsid w:val="005334C8"/>
    <w:rsid w:val="00533535"/>
    <w:rsid w:val="00533620"/>
    <w:rsid w:val="00533720"/>
    <w:rsid w:val="00533746"/>
    <w:rsid w:val="00533801"/>
    <w:rsid w:val="00533869"/>
    <w:rsid w:val="00533913"/>
    <w:rsid w:val="00533B28"/>
    <w:rsid w:val="00533C53"/>
    <w:rsid w:val="00533C80"/>
    <w:rsid w:val="00533DBA"/>
    <w:rsid w:val="00533E55"/>
    <w:rsid w:val="00533E62"/>
    <w:rsid w:val="00534138"/>
    <w:rsid w:val="005342B5"/>
    <w:rsid w:val="00534533"/>
    <w:rsid w:val="00534544"/>
    <w:rsid w:val="00534617"/>
    <w:rsid w:val="00534620"/>
    <w:rsid w:val="0053464D"/>
    <w:rsid w:val="005347A8"/>
    <w:rsid w:val="005347CA"/>
    <w:rsid w:val="005347EC"/>
    <w:rsid w:val="0053484A"/>
    <w:rsid w:val="005349A6"/>
    <w:rsid w:val="005349C2"/>
    <w:rsid w:val="00534C6A"/>
    <w:rsid w:val="00534D10"/>
    <w:rsid w:val="00534DF5"/>
    <w:rsid w:val="00534FAE"/>
    <w:rsid w:val="00535059"/>
    <w:rsid w:val="0053517A"/>
    <w:rsid w:val="00535192"/>
    <w:rsid w:val="005351DC"/>
    <w:rsid w:val="00535303"/>
    <w:rsid w:val="00535454"/>
    <w:rsid w:val="005354A6"/>
    <w:rsid w:val="005355DD"/>
    <w:rsid w:val="0053563E"/>
    <w:rsid w:val="005356F8"/>
    <w:rsid w:val="005356FB"/>
    <w:rsid w:val="005358C1"/>
    <w:rsid w:val="005359AC"/>
    <w:rsid w:val="00535AAA"/>
    <w:rsid w:val="00535AC0"/>
    <w:rsid w:val="00535B59"/>
    <w:rsid w:val="00535B64"/>
    <w:rsid w:val="00535DD2"/>
    <w:rsid w:val="00536000"/>
    <w:rsid w:val="0053612E"/>
    <w:rsid w:val="00536199"/>
    <w:rsid w:val="005361B9"/>
    <w:rsid w:val="005361ED"/>
    <w:rsid w:val="0053644C"/>
    <w:rsid w:val="00536506"/>
    <w:rsid w:val="00536522"/>
    <w:rsid w:val="005368E4"/>
    <w:rsid w:val="0053692A"/>
    <w:rsid w:val="00536987"/>
    <w:rsid w:val="005369E5"/>
    <w:rsid w:val="00536AF0"/>
    <w:rsid w:val="00536BB1"/>
    <w:rsid w:val="00536BCD"/>
    <w:rsid w:val="00536BF5"/>
    <w:rsid w:val="00536C94"/>
    <w:rsid w:val="00536CE3"/>
    <w:rsid w:val="00536D0B"/>
    <w:rsid w:val="00536DE9"/>
    <w:rsid w:val="00536E23"/>
    <w:rsid w:val="00536F72"/>
    <w:rsid w:val="00536FD6"/>
    <w:rsid w:val="00536FE0"/>
    <w:rsid w:val="0053703A"/>
    <w:rsid w:val="0053706C"/>
    <w:rsid w:val="005372CE"/>
    <w:rsid w:val="005375CC"/>
    <w:rsid w:val="00537603"/>
    <w:rsid w:val="00537701"/>
    <w:rsid w:val="00537873"/>
    <w:rsid w:val="00537B1D"/>
    <w:rsid w:val="00537CB5"/>
    <w:rsid w:val="00537E81"/>
    <w:rsid w:val="00537F7F"/>
    <w:rsid w:val="00537FCC"/>
    <w:rsid w:val="00540026"/>
    <w:rsid w:val="0054004D"/>
    <w:rsid w:val="0054026B"/>
    <w:rsid w:val="005402F8"/>
    <w:rsid w:val="00540560"/>
    <w:rsid w:val="0054069C"/>
    <w:rsid w:val="00540744"/>
    <w:rsid w:val="00540747"/>
    <w:rsid w:val="005408BD"/>
    <w:rsid w:val="0054092F"/>
    <w:rsid w:val="00540E3C"/>
    <w:rsid w:val="00540E78"/>
    <w:rsid w:val="00540F40"/>
    <w:rsid w:val="00540F79"/>
    <w:rsid w:val="005412A6"/>
    <w:rsid w:val="00541603"/>
    <w:rsid w:val="00541650"/>
    <w:rsid w:val="005417A5"/>
    <w:rsid w:val="005419B7"/>
    <w:rsid w:val="00541B53"/>
    <w:rsid w:val="00541C91"/>
    <w:rsid w:val="00541E40"/>
    <w:rsid w:val="00541F77"/>
    <w:rsid w:val="005421F2"/>
    <w:rsid w:val="00542201"/>
    <w:rsid w:val="00542208"/>
    <w:rsid w:val="0054242A"/>
    <w:rsid w:val="00542498"/>
    <w:rsid w:val="00542560"/>
    <w:rsid w:val="00542616"/>
    <w:rsid w:val="00542667"/>
    <w:rsid w:val="0054267B"/>
    <w:rsid w:val="0054269A"/>
    <w:rsid w:val="0054281A"/>
    <w:rsid w:val="00542A10"/>
    <w:rsid w:val="00542A13"/>
    <w:rsid w:val="00542A4F"/>
    <w:rsid w:val="00542EF5"/>
    <w:rsid w:val="00542FB5"/>
    <w:rsid w:val="005430C4"/>
    <w:rsid w:val="005430DB"/>
    <w:rsid w:val="005431C5"/>
    <w:rsid w:val="0054341A"/>
    <w:rsid w:val="005434DA"/>
    <w:rsid w:val="00543566"/>
    <w:rsid w:val="005438A3"/>
    <w:rsid w:val="005438E1"/>
    <w:rsid w:val="00543AF7"/>
    <w:rsid w:val="00543BC7"/>
    <w:rsid w:val="00543C11"/>
    <w:rsid w:val="00543D35"/>
    <w:rsid w:val="00543D6F"/>
    <w:rsid w:val="00543F35"/>
    <w:rsid w:val="00543F42"/>
    <w:rsid w:val="00543F9D"/>
    <w:rsid w:val="00543F9F"/>
    <w:rsid w:val="00543FA8"/>
    <w:rsid w:val="00543FB8"/>
    <w:rsid w:val="00544141"/>
    <w:rsid w:val="00544159"/>
    <w:rsid w:val="0054415B"/>
    <w:rsid w:val="005442E4"/>
    <w:rsid w:val="005442FF"/>
    <w:rsid w:val="00544686"/>
    <w:rsid w:val="0054473D"/>
    <w:rsid w:val="005447D0"/>
    <w:rsid w:val="00544874"/>
    <w:rsid w:val="005448A0"/>
    <w:rsid w:val="00544BF6"/>
    <w:rsid w:val="00544C3D"/>
    <w:rsid w:val="00544E4C"/>
    <w:rsid w:val="00544EB2"/>
    <w:rsid w:val="00544ECC"/>
    <w:rsid w:val="00545180"/>
    <w:rsid w:val="0054523B"/>
    <w:rsid w:val="005452C4"/>
    <w:rsid w:val="0054555C"/>
    <w:rsid w:val="005456E2"/>
    <w:rsid w:val="005457B7"/>
    <w:rsid w:val="00545870"/>
    <w:rsid w:val="0054591E"/>
    <w:rsid w:val="00545B9D"/>
    <w:rsid w:val="00545BB2"/>
    <w:rsid w:val="00546131"/>
    <w:rsid w:val="005463F8"/>
    <w:rsid w:val="005464AC"/>
    <w:rsid w:val="005464D6"/>
    <w:rsid w:val="0054657B"/>
    <w:rsid w:val="005465BB"/>
    <w:rsid w:val="005467BB"/>
    <w:rsid w:val="00546CFD"/>
    <w:rsid w:val="00546D7E"/>
    <w:rsid w:val="00546EC2"/>
    <w:rsid w:val="00546F24"/>
    <w:rsid w:val="00547082"/>
    <w:rsid w:val="00547372"/>
    <w:rsid w:val="0054746C"/>
    <w:rsid w:val="005474FE"/>
    <w:rsid w:val="00547818"/>
    <w:rsid w:val="00547953"/>
    <w:rsid w:val="00547A0C"/>
    <w:rsid w:val="00547A1E"/>
    <w:rsid w:val="00547B7C"/>
    <w:rsid w:val="00547B82"/>
    <w:rsid w:val="00547E97"/>
    <w:rsid w:val="00547F0C"/>
    <w:rsid w:val="00547FBE"/>
    <w:rsid w:val="00550104"/>
    <w:rsid w:val="00550328"/>
    <w:rsid w:val="005503D2"/>
    <w:rsid w:val="0055068C"/>
    <w:rsid w:val="005508B5"/>
    <w:rsid w:val="00550B9D"/>
    <w:rsid w:val="00550F29"/>
    <w:rsid w:val="00550F46"/>
    <w:rsid w:val="00550F7C"/>
    <w:rsid w:val="0055119D"/>
    <w:rsid w:val="005511D2"/>
    <w:rsid w:val="00551227"/>
    <w:rsid w:val="005513E9"/>
    <w:rsid w:val="00551531"/>
    <w:rsid w:val="0055155C"/>
    <w:rsid w:val="005515D6"/>
    <w:rsid w:val="00551B75"/>
    <w:rsid w:val="00551BDC"/>
    <w:rsid w:val="00551C73"/>
    <w:rsid w:val="00551C84"/>
    <w:rsid w:val="00551CE7"/>
    <w:rsid w:val="00551E6C"/>
    <w:rsid w:val="00551E8E"/>
    <w:rsid w:val="00551F72"/>
    <w:rsid w:val="00552155"/>
    <w:rsid w:val="005521AC"/>
    <w:rsid w:val="005521C1"/>
    <w:rsid w:val="00552834"/>
    <w:rsid w:val="005528F6"/>
    <w:rsid w:val="005528FE"/>
    <w:rsid w:val="0055297F"/>
    <w:rsid w:val="005529AC"/>
    <w:rsid w:val="00552A35"/>
    <w:rsid w:val="00552AE9"/>
    <w:rsid w:val="00552B44"/>
    <w:rsid w:val="00552DC2"/>
    <w:rsid w:val="00552E7A"/>
    <w:rsid w:val="00552EBC"/>
    <w:rsid w:val="00553204"/>
    <w:rsid w:val="00553222"/>
    <w:rsid w:val="00553380"/>
    <w:rsid w:val="0055349A"/>
    <w:rsid w:val="005535B1"/>
    <w:rsid w:val="005536A2"/>
    <w:rsid w:val="005536FF"/>
    <w:rsid w:val="00553730"/>
    <w:rsid w:val="00553827"/>
    <w:rsid w:val="00553844"/>
    <w:rsid w:val="00553C04"/>
    <w:rsid w:val="00553D10"/>
    <w:rsid w:val="00553E0A"/>
    <w:rsid w:val="00553E25"/>
    <w:rsid w:val="00553EA9"/>
    <w:rsid w:val="00553F1E"/>
    <w:rsid w:val="00554064"/>
    <w:rsid w:val="0055406A"/>
    <w:rsid w:val="0055416D"/>
    <w:rsid w:val="005541B5"/>
    <w:rsid w:val="0055446A"/>
    <w:rsid w:val="0055448E"/>
    <w:rsid w:val="0055456B"/>
    <w:rsid w:val="005546E3"/>
    <w:rsid w:val="00554A48"/>
    <w:rsid w:val="00554A81"/>
    <w:rsid w:val="00554AF5"/>
    <w:rsid w:val="00554B4E"/>
    <w:rsid w:val="00554BB1"/>
    <w:rsid w:val="00554C89"/>
    <w:rsid w:val="00554D3B"/>
    <w:rsid w:val="00554E50"/>
    <w:rsid w:val="00554E7C"/>
    <w:rsid w:val="00554ED1"/>
    <w:rsid w:val="005551BF"/>
    <w:rsid w:val="0055526C"/>
    <w:rsid w:val="005553FA"/>
    <w:rsid w:val="00555781"/>
    <w:rsid w:val="005557C9"/>
    <w:rsid w:val="005557E6"/>
    <w:rsid w:val="00555810"/>
    <w:rsid w:val="005559ED"/>
    <w:rsid w:val="005559F4"/>
    <w:rsid w:val="00555A63"/>
    <w:rsid w:val="00555BFC"/>
    <w:rsid w:val="00555C45"/>
    <w:rsid w:val="00555C81"/>
    <w:rsid w:val="00555D4F"/>
    <w:rsid w:val="00555DCE"/>
    <w:rsid w:val="00556075"/>
    <w:rsid w:val="00556254"/>
    <w:rsid w:val="0055630E"/>
    <w:rsid w:val="005563D4"/>
    <w:rsid w:val="0055647D"/>
    <w:rsid w:val="0055650C"/>
    <w:rsid w:val="005565B1"/>
    <w:rsid w:val="00556600"/>
    <w:rsid w:val="0055662B"/>
    <w:rsid w:val="00556679"/>
    <w:rsid w:val="0055670C"/>
    <w:rsid w:val="00556898"/>
    <w:rsid w:val="005568CD"/>
    <w:rsid w:val="00556A45"/>
    <w:rsid w:val="00556BC0"/>
    <w:rsid w:val="00556BFF"/>
    <w:rsid w:val="00556E56"/>
    <w:rsid w:val="00556F86"/>
    <w:rsid w:val="0055707C"/>
    <w:rsid w:val="005571FC"/>
    <w:rsid w:val="00557387"/>
    <w:rsid w:val="005575A1"/>
    <w:rsid w:val="00557662"/>
    <w:rsid w:val="0055769C"/>
    <w:rsid w:val="0055769E"/>
    <w:rsid w:val="00557833"/>
    <w:rsid w:val="00557919"/>
    <w:rsid w:val="00557A3A"/>
    <w:rsid w:val="00557AB2"/>
    <w:rsid w:val="00557ABB"/>
    <w:rsid w:val="00557BFE"/>
    <w:rsid w:val="00557C75"/>
    <w:rsid w:val="00557D31"/>
    <w:rsid w:val="00557D3F"/>
    <w:rsid w:val="00557DFA"/>
    <w:rsid w:val="00557F24"/>
    <w:rsid w:val="005592A9"/>
    <w:rsid w:val="0055D85D"/>
    <w:rsid w:val="00560132"/>
    <w:rsid w:val="0056019D"/>
    <w:rsid w:val="005603F1"/>
    <w:rsid w:val="005607A2"/>
    <w:rsid w:val="00560AF0"/>
    <w:rsid w:val="00560B20"/>
    <w:rsid w:val="00560B5B"/>
    <w:rsid w:val="00560BD9"/>
    <w:rsid w:val="00560CDE"/>
    <w:rsid w:val="00560DC6"/>
    <w:rsid w:val="00560E73"/>
    <w:rsid w:val="0056107C"/>
    <w:rsid w:val="00561203"/>
    <w:rsid w:val="00561261"/>
    <w:rsid w:val="0056127E"/>
    <w:rsid w:val="005612A9"/>
    <w:rsid w:val="00561365"/>
    <w:rsid w:val="00561391"/>
    <w:rsid w:val="0056139B"/>
    <w:rsid w:val="00561435"/>
    <w:rsid w:val="0056151D"/>
    <w:rsid w:val="00561593"/>
    <w:rsid w:val="0056179E"/>
    <w:rsid w:val="00561933"/>
    <w:rsid w:val="00561969"/>
    <w:rsid w:val="00561A9D"/>
    <w:rsid w:val="00561D41"/>
    <w:rsid w:val="00561DD2"/>
    <w:rsid w:val="00561FD8"/>
    <w:rsid w:val="00562285"/>
    <w:rsid w:val="00562382"/>
    <w:rsid w:val="00562672"/>
    <w:rsid w:val="005626A1"/>
    <w:rsid w:val="005626C9"/>
    <w:rsid w:val="0056278B"/>
    <w:rsid w:val="00562855"/>
    <w:rsid w:val="005628AD"/>
    <w:rsid w:val="00562936"/>
    <w:rsid w:val="00562962"/>
    <w:rsid w:val="00562995"/>
    <w:rsid w:val="005629FD"/>
    <w:rsid w:val="00562AD8"/>
    <w:rsid w:val="00562F04"/>
    <w:rsid w:val="00562FAE"/>
    <w:rsid w:val="005632F0"/>
    <w:rsid w:val="00563415"/>
    <w:rsid w:val="00563559"/>
    <w:rsid w:val="005636BB"/>
    <w:rsid w:val="005636D9"/>
    <w:rsid w:val="005636DE"/>
    <w:rsid w:val="005637A5"/>
    <w:rsid w:val="005637FB"/>
    <w:rsid w:val="005638D5"/>
    <w:rsid w:val="00563CA2"/>
    <w:rsid w:val="00563D39"/>
    <w:rsid w:val="00563D44"/>
    <w:rsid w:val="00563E12"/>
    <w:rsid w:val="005640A4"/>
    <w:rsid w:val="005642CE"/>
    <w:rsid w:val="0056436D"/>
    <w:rsid w:val="005644B7"/>
    <w:rsid w:val="005645B1"/>
    <w:rsid w:val="005645CC"/>
    <w:rsid w:val="005645EF"/>
    <w:rsid w:val="005646E8"/>
    <w:rsid w:val="00564958"/>
    <w:rsid w:val="00564B23"/>
    <w:rsid w:val="00564D1D"/>
    <w:rsid w:val="00565026"/>
    <w:rsid w:val="00565209"/>
    <w:rsid w:val="00565300"/>
    <w:rsid w:val="0056537C"/>
    <w:rsid w:val="00565430"/>
    <w:rsid w:val="00565507"/>
    <w:rsid w:val="005655DB"/>
    <w:rsid w:val="00565731"/>
    <w:rsid w:val="005657F2"/>
    <w:rsid w:val="00565857"/>
    <w:rsid w:val="00565870"/>
    <w:rsid w:val="0056593A"/>
    <w:rsid w:val="00565A00"/>
    <w:rsid w:val="00565A2F"/>
    <w:rsid w:val="00565ABE"/>
    <w:rsid w:val="00565BEE"/>
    <w:rsid w:val="00565C02"/>
    <w:rsid w:val="00565C53"/>
    <w:rsid w:val="00566172"/>
    <w:rsid w:val="005662DB"/>
    <w:rsid w:val="00566607"/>
    <w:rsid w:val="00566714"/>
    <w:rsid w:val="0056676B"/>
    <w:rsid w:val="0056684D"/>
    <w:rsid w:val="00566BE6"/>
    <w:rsid w:val="00566C1A"/>
    <w:rsid w:val="00566CE9"/>
    <w:rsid w:val="00566D6F"/>
    <w:rsid w:val="00567072"/>
    <w:rsid w:val="00567399"/>
    <w:rsid w:val="005673F6"/>
    <w:rsid w:val="005674FE"/>
    <w:rsid w:val="00567624"/>
    <w:rsid w:val="005676BE"/>
    <w:rsid w:val="005677F0"/>
    <w:rsid w:val="0056783F"/>
    <w:rsid w:val="00567919"/>
    <w:rsid w:val="005679F5"/>
    <w:rsid w:val="00567A24"/>
    <w:rsid w:val="00567A2C"/>
    <w:rsid w:val="00567C94"/>
    <w:rsid w:val="00567CAA"/>
    <w:rsid w:val="00567CDB"/>
    <w:rsid w:val="00567F17"/>
    <w:rsid w:val="0056BDF9"/>
    <w:rsid w:val="00570095"/>
    <w:rsid w:val="0057015C"/>
    <w:rsid w:val="005701E4"/>
    <w:rsid w:val="0057034A"/>
    <w:rsid w:val="005708B1"/>
    <w:rsid w:val="005708CD"/>
    <w:rsid w:val="005708E6"/>
    <w:rsid w:val="00570969"/>
    <w:rsid w:val="00570A14"/>
    <w:rsid w:val="00570CA9"/>
    <w:rsid w:val="00570E01"/>
    <w:rsid w:val="00570E10"/>
    <w:rsid w:val="00570E40"/>
    <w:rsid w:val="00570EDD"/>
    <w:rsid w:val="005712CF"/>
    <w:rsid w:val="00571402"/>
    <w:rsid w:val="0057151D"/>
    <w:rsid w:val="005717C8"/>
    <w:rsid w:val="0057184A"/>
    <w:rsid w:val="005718E4"/>
    <w:rsid w:val="00571952"/>
    <w:rsid w:val="00571B7E"/>
    <w:rsid w:val="00571BF0"/>
    <w:rsid w:val="00571DFF"/>
    <w:rsid w:val="00571E5A"/>
    <w:rsid w:val="00571E71"/>
    <w:rsid w:val="00571EDB"/>
    <w:rsid w:val="00572057"/>
    <w:rsid w:val="005720A4"/>
    <w:rsid w:val="005720AD"/>
    <w:rsid w:val="005720F1"/>
    <w:rsid w:val="00572144"/>
    <w:rsid w:val="0057221A"/>
    <w:rsid w:val="00572291"/>
    <w:rsid w:val="00572383"/>
    <w:rsid w:val="00572609"/>
    <w:rsid w:val="00572632"/>
    <w:rsid w:val="00572638"/>
    <w:rsid w:val="00572650"/>
    <w:rsid w:val="00572700"/>
    <w:rsid w:val="005729AE"/>
    <w:rsid w:val="00572A0B"/>
    <w:rsid w:val="00572A4E"/>
    <w:rsid w:val="00572B4C"/>
    <w:rsid w:val="00572BC9"/>
    <w:rsid w:val="00572CD3"/>
    <w:rsid w:val="00572D7A"/>
    <w:rsid w:val="00572F26"/>
    <w:rsid w:val="00572F50"/>
    <w:rsid w:val="00572FBA"/>
    <w:rsid w:val="0057301B"/>
    <w:rsid w:val="00573023"/>
    <w:rsid w:val="005730B5"/>
    <w:rsid w:val="0057313A"/>
    <w:rsid w:val="00573166"/>
    <w:rsid w:val="0057332A"/>
    <w:rsid w:val="00573379"/>
    <w:rsid w:val="005733ED"/>
    <w:rsid w:val="005734D6"/>
    <w:rsid w:val="0057362B"/>
    <w:rsid w:val="00573917"/>
    <w:rsid w:val="00573922"/>
    <w:rsid w:val="00573925"/>
    <w:rsid w:val="00573AC7"/>
    <w:rsid w:val="00573AD7"/>
    <w:rsid w:val="00573BF0"/>
    <w:rsid w:val="00573C3D"/>
    <w:rsid w:val="00573E8D"/>
    <w:rsid w:val="00574022"/>
    <w:rsid w:val="00574053"/>
    <w:rsid w:val="00574134"/>
    <w:rsid w:val="005741C6"/>
    <w:rsid w:val="0057441C"/>
    <w:rsid w:val="00574554"/>
    <w:rsid w:val="005746D4"/>
    <w:rsid w:val="005748F3"/>
    <w:rsid w:val="0057497F"/>
    <w:rsid w:val="00574996"/>
    <w:rsid w:val="00574A36"/>
    <w:rsid w:val="00574F16"/>
    <w:rsid w:val="00574F4C"/>
    <w:rsid w:val="00574F62"/>
    <w:rsid w:val="00574F99"/>
    <w:rsid w:val="0057504C"/>
    <w:rsid w:val="00575158"/>
    <w:rsid w:val="005751AA"/>
    <w:rsid w:val="005754B6"/>
    <w:rsid w:val="00575568"/>
    <w:rsid w:val="00575648"/>
    <w:rsid w:val="00575761"/>
    <w:rsid w:val="00575763"/>
    <w:rsid w:val="00575764"/>
    <w:rsid w:val="00575811"/>
    <w:rsid w:val="00575813"/>
    <w:rsid w:val="0057585F"/>
    <w:rsid w:val="00575CB9"/>
    <w:rsid w:val="00575E65"/>
    <w:rsid w:val="00575E8E"/>
    <w:rsid w:val="00575F73"/>
    <w:rsid w:val="00575FFB"/>
    <w:rsid w:val="0057628B"/>
    <w:rsid w:val="0057628E"/>
    <w:rsid w:val="00576413"/>
    <w:rsid w:val="005769A9"/>
    <w:rsid w:val="005769CA"/>
    <w:rsid w:val="00576A17"/>
    <w:rsid w:val="00576A78"/>
    <w:rsid w:val="00576BF5"/>
    <w:rsid w:val="00576C01"/>
    <w:rsid w:val="00576C94"/>
    <w:rsid w:val="00576D4D"/>
    <w:rsid w:val="00576E65"/>
    <w:rsid w:val="00576E6F"/>
    <w:rsid w:val="00576F98"/>
    <w:rsid w:val="005770DF"/>
    <w:rsid w:val="005771A0"/>
    <w:rsid w:val="005771B0"/>
    <w:rsid w:val="0057726E"/>
    <w:rsid w:val="00577277"/>
    <w:rsid w:val="005772FA"/>
    <w:rsid w:val="0057734B"/>
    <w:rsid w:val="00577875"/>
    <w:rsid w:val="005778F9"/>
    <w:rsid w:val="00577ABF"/>
    <w:rsid w:val="00577BA1"/>
    <w:rsid w:val="00577EBE"/>
    <w:rsid w:val="00577FB6"/>
    <w:rsid w:val="00577FC8"/>
    <w:rsid w:val="00580159"/>
    <w:rsid w:val="005801FB"/>
    <w:rsid w:val="0058021D"/>
    <w:rsid w:val="005802FC"/>
    <w:rsid w:val="005804AD"/>
    <w:rsid w:val="005804C8"/>
    <w:rsid w:val="005806C7"/>
    <w:rsid w:val="005808B9"/>
    <w:rsid w:val="005808D5"/>
    <w:rsid w:val="0058092C"/>
    <w:rsid w:val="005809DB"/>
    <w:rsid w:val="00580B40"/>
    <w:rsid w:val="00580CC1"/>
    <w:rsid w:val="00580DCC"/>
    <w:rsid w:val="00580E4B"/>
    <w:rsid w:val="00580F80"/>
    <w:rsid w:val="005810ED"/>
    <w:rsid w:val="00581161"/>
    <w:rsid w:val="005811D0"/>
    <w:rsid w:val="0058130B"/>
    <w:rsid w:val="005813D3"/>
    <w:rsid w:val="0058143F"/>
    <w:rsid w:val="005815BE"/>
    <w:rsid w:val="00581628"/>
    <w:rsid w:val="00581899"/>
    <w:rsid w:val="005818DF"/>
    <w:rsid w:val="00581937"/>
    <w:rsid w:val="0058194F"/>
    <w:rsid w:val="0058196D"/>
    <w:rsid w:val="00581987"/>
    <w:rsid w:val="00581B43"/>
    <w:rsid w:val="00581CE4"/>
    <w:rsid w:val="00581D1F"/>
    <w:rsid w:val="00581DDE"/>
    <w:rsid w:val="00581FB6"/>
    <w:rsid w:val="005821A5"/>
    <w:rsid w:val="0058230F"/>
    <w:rsid w:val="00582561"/>
    <w:rsid w:val="0058272C"/>
    <w:rsid w:val="005829CB"/>
    <w:rsid w:val="00582A8A"/>
    <w:rsid w:val="00582AF4"/>
    <w:rsid w:val="00582D02"/>
    <w:rsid w:val="00582D96"/>
    <w:rsid w:val="00582DBB"/>
    <w:rsid w:val="00582DF3"/>
    <w:rsid w:val="00582EA0"/>
    <w:rsid w:val="00582F2F"/>
    <w:rsid w:val="00583062"/>
    <w:rsid w:val="005830C9"/>
    <w:rsid w:val="005831C5"/>
    <w:rsid w:val="0058320A"/>
    <w:rsid w:val="0058322D"/>
    <w:rsid w:val="00583334"/>
    <w:rsid w:val="00583341"/>
    <w:rsid w:val="0058339E"/>
    <w:rsid w:val="005833EA"/>
    <w:rsid w:val="00583480"/>
    <w:rsid w:val="00583592"/>
    <w:rsid w:val="00583635"/>
    <w:rsid w:val="005836CA"/>
    <w:rsid w:val="00583761"/>
    <w:rsid w:val="00583C51"/>
    <w:rsid w:val="00583D24"/>
    <w:rsid w:val="00583D36"/>
    <w:rsid w:val="005840C7"/>
    <w:rsid w:val="00584264"/>
    <w:rsid w:val="00584740"/>
    <w:rsid w:val="0058494B"/>
    <w:rsid w:val="005849B4"/>
    <w:rsid w:val="005849C6"/>
    <w:rsid w:val="00584A0F"/>
    <w:rsid w:val="00584AD6"/>
    <w:rsid w:val="00584B97"/>
    <w:rsid w:val="00584D4B"/>
    <w:rsid w:val="00584FFC"/>
    <w:rsid w:val="005852F6"/>
    <w:rsid w:val="005853CF"/>
    <w:rsid w:val="005854F0"/>
    <w:rsid w:val="00585642"/>
    <w:rsid w:val="00585658"/>
    <w:rsid w:val="005856DC"/>
    <w:rsid w:val="00585703"/>
    <w:rsid w:val="0058580A"/>
    <w:rsid w:val="00585B74"/>
    <w:rsid w:val="00585B7F"/>
    <w:rsid w:val="00585CD0"/>
    <w:rsid w:val="00585CEA"/>
    <w:rsid w:val="00585E13"/>
    <w:rsid w:val="00585E32"/>
    <w:rsid w:val="0058632B"/>
    <w:rsid w:val="00586367"/>
    <w:rsid w:val="005863C5"/>
    <w:rsid w:val="0058656A"/>
    <w:rsid w:val="0058657F"/>
    <w:rsid w:val="0058685A"/>
    <w:rsid w:val="00586B63"/>
    <w:rsid w:val="00586B67"/>
    <w:rsid w:val="00586D14"/>
    <w:rsid w:val="005871C0"/>
    <w:rsid w:val="00587208"/>
    <w:rsid w:val="005875C7"/>
    <w:rsid w:val="00587751"/>
    <w:rsid w:val="00587806"/>
    <w:rsid w:val="005878B4"/>
    <w:rsid w:val="0058793E"/>
    <w:rsid w:val="0058795A"/>
    <w:rsid w:val="005879B8"/>
    <w:rsid w:val="00587B9C"/>
    <w:rsid w:val="00587BD7"/>
    <w:rsid w:val="00587C9B"/>
    <w:rsid w:val="00587D5D"/>
    <w:rsid w:val="00590092"/>
    <w:rsid w:val="005900BE"/>
    <w:rsid w:val="005900DF"/>
    <w:rsid w:val="005902E2"/>
    <w:rsid w:val="005902FC"/>
    <w:rsid w:val="00590416"/>
    <w:rsid w:val="00590464"/>
    <w:rsid w:val="0059051E"/>
    <w:rsid w:val="00590801"/>
    <w:rsid w:val="00590820"/>
    <w:rsid w:val="00590836"/>
    <w:rsid w:val="005908B5"/>
    <w:rsid w:val="005908E4"/>
    <w:rsid w:val="00590A25"/>
    <w:rsid w:val="00590A51"/>
    <w:rsid w:val="00590DA1"/>
    <w:rsid w:val="005910E3"/>
    <w:rsid w:val="0059130F"/>
    <w:rsid w:val="005914F0"/>
    <w:rsid w:val="0059152C"/>
    <w:rsid w:val="0059153E"/>
    <w:rsid w:val="00591550"/>
    <w:rsid w:val="005915BF"/>
    <w:rsid w:val="00591667"/>
    <w:rsid w:val="005916AE"/>
    <w:rsid w:val="0059179A"/>
    <w:rsid w:val="00591A0E"/>
    <w:rsid w:val="00591A17"/>
    <w:rsid w:val="00591A84"/>
    <w:rsid w:val="00591A8C"/>
    <w:rsid w:val="00591B1A"/>
    <w:rsid w:val="00591B5B"/>
    <w:rsid w:val="00591BD2"/>
    <w:rsid w:val="00591C82"/>
    <w:rsid w:val="00591CAA"/>
    <w:rsid w:val="00591CFD"/>
    <w:rsid w:val="00591E64"/>
    <w:rsid w:val="00592253"/>
    <w:rsid w:val="00592464"/>
    <w:rsid w:val="005924FE"/>
    <w:rsid w:val="005925D2"/>
    <w:rsid w:val="00592699"/>
    <w:rsid w:val="005926D1"/>
    <w:rsid w:val="00592728"/>
    <w:rsid w:val="005928CB"/>
    <w:rsid w:val="00592957"/>
    <w:rsid w:val="005929CC"/>
    <w:rsid w:val="00592AC7"/>
    <w:rsid w:val="00592BAD"/>
    <w:rsid w:val="00592BF3"/>
    <w:rsid w:val="00592EEF"/>
    <w:rsid w:val="00593137"/>
    <w:rsid w:val="005931A9"/>
    <w:rsid w:val="00593555"/>
    <w:rsid w:val="0059357D"/>
    <w:rsid w:val="005935E4"/>
    <w:rsid w:val="00593612"/>
    <w:rsid w:val="0059377E"/>
    <w:rsid w:val="0059382C"/>
    <w:rsid w:val="00593888"/>
    <w:rsid w:val="005938A0"/>
    <w:rsid w:val="005938CA"/>
    <w:rsid w:val="0059390A"/>
    <w:rsid w:val="005939AB"/>
    <w:rsid w:val="00593CF7"/>
    <w:rsid w:val="00593D5B"/>
    <w:rsid w:val="00593E4F"/>
    <w:rsid w:val="005942E0"/>
    <w:rsid w:val="0059431A"/>
    <w:rsid w:val="005944D7"/>
    <w:rsid w:val="0059454F"/>
    <w:rsid w:val="005947F6"/>
    <w:rsid w:val="0059484C"/>
    <w:rsid w:val="00594871"/>
    <w:rsid w:val="00594906"/>
    <w:rsid w:val="005949D6"/>
    <w:rsid w:val="00594ACC"/>
    <w:rsid w:val="00594E1C"/>
    <w:rsid w:val="0059508D"/>
    <w:rsid w:val="005950D4"/>
    <w:rsid w:val="00595626"/>
    <w:rsid w:val="00595714"/>
    <w:rsid w:val="00595949"/>
    <w:rsid w:val="005959FD"/>
    <w:rsid w:val="00595C00"/>
    <w:rsid w:val="00595C0A"/>
    <w:rsid w:val="00595E1C"/>
    <w:rsid w:val="00595E30"/>
    <w:rsid w:val="00595EFE"/>
    <w:rsid w:val="00595F56"/>
    <w:rsid w:val="0059614F"/>
    <w:rsid w:val="005962A1"/>
    <w:rsid w:val="00596377"/>
    <w:rsid w:val="005963C2"/>
    <w:rsid w:val="00596764"/>
    <w:rsid w:val="0059688A"/>
    <w:rsid w:val="0059688E"/>
    <w:rsid w:val="005968E2"/>
    <w:rsid w:val="005969AD"/>
    <w:rsid w:val="00596C7B"/>
    <w:rsid w:val="00596CBA"/>
    <w:rsid w:val="00596DED"/>
    <w:rsid w:val="00596E45"/>
    <w:rsid w:val="00596E6D"/>
    <w:rsid w:val="00596EE0"/>
    <w:rsid w:val="00597023"/>
    <w:rsid w:val="0059707D"/>
    <w:rsid w:val="005971B5"/>
    <w:rsid w:val="005971E6"/>
    <w:rsid w:val="00597333"/>
    <w:rsid w:val="0059737C"/>
    <w:rsid w:val="00597441"/>
    <w:rsid w:val="00597488"/>
    <w:rsid w:val="005974E8"/>
    <w:rsid w:val="00597524"/>
    <w:rsid w:val="0059755B"/>
    <w:rsid w:val="00597692"/>
    <w:rsid w:val="00597728"/>
    <w:rsid w:val="00597730"/>
    <w:rsid w:val="0059785C"/>
    <w:rsid w:val="005978BB"/>
    <w:rsid w:val="0059791F"/>
    <w:rsid w:val="005979A7"/>
    <w:rsid w:val="005979C2"/>
    <w:rsid w:val="00597A45"/>
    <w:rsid w:val="00597A93"/>
    <w:rsid w:val="00597ADF"/>
    <w:rsid w:val="00597F42"/>
    <w:rsid w:val="005A017F"/>
    <w:rsid w:val="005A035A"/>
    <w:rsid w:val="005A0390"/>
    <w:rsid w:val="005A03BA"/>
    <w:rsid w:val="005A0453"/>
    <w:rsid w:val="005A0465"/>
    <w:rsid w:val="005A055C"/>
    <w:rsid w:val="005A0710"/>
    <w:rsid w:val="005A08FA"/>
    <w:rsid w:val="005A09F2"/>
    <w:rsid w:val="005A0B0F"/>
    <w:rsid w:val="005A0D38"/>
    <w:rsid w:val="005A1106"/>
    <w:rsid w:val="005A13A9"/>
    <w:rsid w:val="005A17DC"/>
    <w:rsid w:val="005A1A73"/>
    <w:rsid w:val="005A1A98"/>
    <w:rsid w:val="005A1CCF"/>
    <w:rsid w:val="005A1D4B"/>
    <w:rsid w:val="005A1E8E"/>
    <w:rsid w:val="005A1EDC"/>
    <w:rsid w:val="005A1F39"/>
    <w:rsid w:val="005A2084"/>
    <w:rsid w:val="005A20FA"/>
    <w:rsid w:val="005A21D0"/>
    <w:rsid w:val="005A2277"/>
    <w:rsid w:val="005A22DA"/>
    <w:rsid w:val="005A2423"/>
    <w:rsid w:val="005A24C5"/>
    <w:rsid w:val="005A252D"/>
    <w:rsid w:val="005A2670"/>
    <w:rsid w:val="005A2768"/>
    <w:rsid w:val="005A28F3"/>
    <w:rsid w:val="005A2AF0"/>
    <w:rsid w:val="005A2B29"/>
    <w:rsid w:val="005A2C31"/>
    <w:rsid w:val="005A2C90"/>
    <w:rsid w:val="005A2EDD"/>
    <w:rsid w:val="005A305E"/>
    <w:rsid w:val="005A31B1"/>
    <w:rsid w:val="005A35DA"/>
    <w:rsid w:val="005A375F"/>
    <w:rsid w:val="005A37CA"/>
    <w:rsid w:val="005A37F2"/>
    <w:rsid w:val="005A3886"/>
    <w:rsid w:val="005A3894"/>
    <w:rsid w:val="005A38AD"/>
    <w:rsid w:val="005A3A60"/>
    <w:rsid w:val="005A3AD1"/>
    <w:rsid w:val="005A3AF4"/>
    <w:rsid w:val="005A3B89"/>
    <w:rsid w:val="005A3BE4"/>
    <w:rsid w:val="005A41CC"/>
    <w:rsid w:val="005A42A3"/>
    <w:rsid w:val="005A4502"/>
    <w:rsid w:val="005A45A1"/>
    <w:rsid w:val="005A4684"/>
    <w:rsid w:val="005A4755"/>
    <w:rsid w:val="005A47C8"/>
    <w:rsid w:val="005A4A53"/>
    <w:rsid w:val="005A4A59"/>
    <w:rsid w:val="005A4B8E"/>
    <w:rsid w:val="005A4EFD"/>
    <w:rsid w:val="005A4F75"/>
    <w:rsid w:val="005A4FDF"/>
    <w:rsid w:val="005A5018"/>
    <w:rsid w:val="005A51D9"/>
    <w:rsid w:val="005A5610"/>
    <w:rsid w:val="005A565E"/>
    <w:rsid w:val="005A571C"/>
    <w:rsid w:val="005A5722"/>
    <w:rsid w:val="005A57A3"/>
    <w:rsid w:val="005A584E"/>
    <w:rsid w:val="005A592E"/>
    <w:rsid w:val="005A592F"/>
    <w:rsid w:val="005A5AE1"/>
    <w:rsid w:val="005A5AF7"/>
    <w:rsid w:val="005A5B02"/>
    <w:rsid w:val="005A5BCC"/>
    <w:rsid w:val="005A5BCF"/>
    <w:rsid w:val="005A5C33"/>
    <w:rsid w:val="005A5D89"/>
    <w:rsid w:val="005A5F34"/>
    <w:rsid w:val="005A5F8F"/>
    <w:rsid w:val="005A626B"/>
    <w:rsid w:val="005A6404"/>
    <w:rsid w:val="005A6438"/>
    <w:rsid w:val="005A670F"/>
    <w:rsid w:val="005A6830"/>
    <w:rsid w:val="005A6B90"/>
    <w:rsid w:val="005A6BD9"/>
    <w:rsid w:val="005A6CD3"/>
    <w:rsid w:val="005A6D68"/>
    <w:rsid w:val="005A6EB7"/>
    <w:rsid w:val="005A6EE6"/>
    <w:rsid w:val="005A71F6"/>
    <w:rsid w:val="005A7202"/>
    <w:rsid w:val="005A74AF"/>
    <w:rsid w:val="005A74B2"/>
    <w:rsid w:val="005A7513"/>
    <w:rsid w:val="005A75C9"/>
    <w:rsid w:val="005A7675"/>
    <w:rsid w:val="005A77D0"/>
    <w:rsid w:val="005A78D5"/>
    <w:rsid w:val="005A79A2"/>
    <w:rsid w:val="005A79E5"/>
    <w:rsid w:val="005A7A64"/>
    <w:rsid w:val="005A7C6B"/>
    <w:rsid w:val="005A7C70"/>
    <w:rsid w:val="005A7C7C"/>
    <w:rsid w:val="005A7D6C"/>
    <w:rsid w:val="005A7E02"/>
    <w:rsid w:val="005A7E8C"/>
    <w:rsid w:val="005A7FB8"/>
    <w:rsid w:val="005B01BA"/>
    <w:rsid w:val="005B021A"/>
    <w:rsid w:val="005B04A0"/>
    <w:rsid w:val="005B057D"/>
    <w:rsid w:val="005B0681"/>
    <w:rsid w:val="005B06AC"/>
    <w:rsid w:val="005B0734"/>
    <w:rsid w:val="005B077C"/>
    <w:rsid w:val="005B0881"/>
    <w:rsid w:val="005B08A1"/>
    <w:rsid w:val="005B09F6"/>
    <w:rsid w:val="005B0CE2"/>
    <w:rsid w:val="005B0D15"/>
    <w:rsid w:val="005B0E5D"/>
    <w:rsid w:val="005B0F40"/>
    <w:rsid w:val="005B0F50"/>
    <w:rsid w:val="005B114C"/>
    <w:rsid w:val="005B11A9"/>
    <w:rsid w:val="005B122C"/>
    <w:rsid w:val="005B12DD"/>
    <w:rsid w:val="005B1355"/>
    <w:rsid w:val="005B136B"/>
    <w:rsid w:val="005B13B0"/>
    <w:rsid w:val="005B1487"/>
    <w:rsid w:val="005B148C"/>
    <w:rsid w:val="005B150F"/>
    <w:rsid w:val="005B1676"/>
    <w:rsid w:val="005B1864"/>
    <w:rsid w:val="005B187D"/>
    <w:rsid w:val="005B1916"/>
    <w:rsid w:val="005B19E1"/>
    <w:rsid w:val="005B1A11"/>
    <w:rsid w:val="005B1A94"/>
    <w:rsid w:val="005B1BC9"/>
    <w:rsid w:val="005B1BE4"/>
    <w:rsid w:val="005B1E1D"/>
    <w:rsid w:val="005B1E81"/>
    <w:rsid w:val="005B20C6"/>
    <w:rsid w:val="005B21C2"/>
    <w:rsid w:val="005B2294"/>
    <w:rsid w:val="005B22CF"/>
    <w:rsid w:val="005B246E"/>
    <w:rsid w:val="005B2514"/>
    <w:rsid w:val="005B2595"/>
    <w:rsid w:val="005B26F7"/>
    <w:rsid w:val="005B2828"/>
    <w:rsid w:val="005B282E"/>
    <w:rsid w:val="005B2990"/>
    <w:rsid w:val="005B2B5D"/>
    <w:rsid w:val="005B2CD0"/>
    <w:rsid w:val="005B2E17"/>
    <w:rsid w:val="005B2E59"/>
    <w:rsid w:val="005B2F08"/>
    <w:rsid w:val="005B2F17"/>
    <w:rsid w:val="005B2FAC"/>
    <w:rsid w:val="005B2FDA"/>
    <w:rsid w:val="005B2FFF"/>
    <w:rsid w:val="005B30C3"/>
    <w:rsid w:val="005B335F"/>
    <w:rsid w:val="005B3600"/>
    <w:rsid w:val="005B3688"/>
    <w:rsid w:val="005B36A0"/>
    <w:rsid w:val="005B36B0"/>
    <w:rsid w:val="005B37DF"/>
    <w:rsid w:val="005B382A"/>
    <w:rsid w:val="005B3886"/>
    <w:rsid w:val="005B39D9"/>
    <w:rsid w:val="005B39E7"/>
    <w:rsid w:val="005B3B37"/>
    <w:rsid w:val="005B3B52"/>
    <w:rsid w:val="005B3D8E"/>
    <w:rsid w:val="005B40F3"/>
    <w:rsid w:val="005B4134"/>
    <w:rsid w:val="005B4149"/>
    <w:rsid w:val="005B4157"/>
    <w:rsid w:val="005B425A"/>
    <w:rsid w:val="005B434B"/>
    <w:rsid w:val="005B436A"/>
    <w:rsid w:val="005B4688"/>
    <w:rsid w:val="005B46B8"/>
    <w:rsid w:val="005B47DC"/>
    <w:rsid w:val="005B4883"/>
    <w:rsid w:val="005B48BB"/>
    <w:rsid w:val="005B4A13"/>
    <w:rsid w:val="005B4D75"/>
    <w:rsid w:val="005B4DDE"/>
    <w:rsid w:val="005B5013"/>
    <w:rsid w:val="005B51B5"/>
    <w:rsid w:val="005B5314"/>
    <w:rsid w:val="005B5316"/>
    <w:rsid w:val="005B5342"/>
    <w:rsid w:val="005B534A"/>
    <w:rsid w:val="005B53D2"/>
    <w:rsid w:val="005B586A"/>
    <w:rsid w:val="005B5B53"/>
    <w:rsid w:val="005B5C43"/>
    <w:rsid w:val="005B5DC7"/>
    <w:rsid w:val="005B6052"/>
    <w:rsid w:val="005B618F"/>
    <w:rsid w:val="005B6196"/>
    <w:rsid w:val="005B62A3"/>
    <w:rsid w:val="005B62A8"/>
    <w:rsid w:val="005B63BE"/>
    <w:rsid w:val="005B6451"/>
    <w:rsid w:val="005B64C4"/>
    <w:rsid w:val="005B65F6"/>
    <w:rsid w:val="005B66BD"/>
    <w:rsid w:val="005B6821"/>
    <w:rsid w:val="005B6A89"/>
    <w:rsid w:val="005B6CBD"/>
    <w:rsid w:val="005B6E27"/>
    <w:rsid w:val="005B6EA7"/>
    <w:rsid w:val="005B7028"/>
    <w:rsid w:val="005B73EB"/>
    <w:rsid w:val="005B73F4"/>
    <w:rsid w:val="005B77DB"/>
    <w:rsid w:val="005B783C"/>
    <w:rsid w:val="005B7A67"/>
    <w:rsid w:val="005B7AB4"/>
    <w:rsid w:val="005B7ADC"/>
    <w:rsid w:val="005B7B73"/>
    <w:rsid w:val="005B7C49"/>
    <w:rsid w:val="005B7CD0"/>
    <w:rsid w:val="005C025D"/>
    <w:rsid w:val="005C02A4"/>
    <w:rsid w:val="005C02AE"/>
    <w:rsid w:val="005C0304"/>
    <w:rsid w:val="005C0310"/>
    <w:rsid w:val="005C0462"/>
    <w:rsid w:val="005C0549"/>
    <w:rsid w:val="005C05E4"/>
    <w:rsid w:val="005C063B"/>
    <w:rsid w:val="005C0660"/>
    <w:rsid w:val="005C0760"/>
    <w:rsid w:val="005C07AC"/>
    <w:rsid w:val="005C07C7"/>
    <w:rsid w:val="005C09E4"/>
    <w:rsid w:val="005C0BAA"/>
    <w:rsid w:val="005C0E8A"/>
    <w:rsid w:val="005C0F85"/>
    <w:rsid w:val="005C1858"/>
    <w:rsid w:val="005C199E"/>
    <w:rsid w:val="005C19B0"/>
    <w:rsid w:val="005C1A0D"/>
    <w:rsid w:val="005C1A88"/>
    <w:rsid w:val="005C1C42"/>
    <w:rsid w:val="005C1D67"/>
    <w:rsid w:val="005C1E55"/>
    <w:rsid w:val="005C1E87"/>
    <w:rsid w:val="005C1EDB"/>
    <w:rsid w:val="005C2071"/>
    <w:rsid w:val="005C2088"/>
    <w:rsid w:val="005C2118"/>
    <w:rsid w:val="005C231F"/>
    <w:rsid w:val="005C24D3"/>
    <w:rsid w:val="005C2625"/>
    <w:rsid w:val="005C2630"/>
    <w:rsid w:val="005C26D7"/>
    <w:rsid w:val="005C273C"/>
    <w:rsid w:val="005C299A"/>
    <w:rsid w:val="005C29D1"/>
    <w:rsid w:val="005C2A71"/>
    <w:rsid w:val="005C2B61"/>
    <w:rsid w:val="005C2B6A"/>
    <w:rsid w:val="005C2CC4"/>
    <w:rsid w:val="005C2D02"/>
    <w:rsid w:val="005C2DAA"/>
    <w:rsid w:val="005C2E00"/>
    <w:rsid w:val="005C2E49"/>
    <w:rsid w:val="005C2EC1"/>
    <w:rsid w:val="005C2F55"/>
    <w:rsid w:val="005C2F65"/>
    <w:rsid w:val="005C3038"/>
    <w:rsid w:val="005C3061"/>
    <w:rsid w:val="005C3252"/>
    <w:rsid w:val="005C32AF"/>
    <w:rsid w:val="005C32B8"/>
    <w:rsid w:val="005C334D"/>
    <w:rsid w:val="005C337F"/>
    <w:rsid w:val="005C34B7"/>
    <w:rsid w:val="005C35B8"/>
    <w:rsid w:val="005C361C"/>
    <w:rsid w:val="005C362E"/>
    <w:rsid w:val="005C3784"/>
    <w:rsid w:val="005C37C3"/>
    <w:rsid w:val="005C386E"/>
    <w:rsid w:val="005C38CE"/>
    <w:rsid w:val="005C3937"/>
    <w:rsid w:val="005C3998"/>
    <w:rsid w:val="005C39BF"/>
    <w:rsid w:val="005C3B1C"/>
    <w:rsid w:val="005C3D0F"/>
    <w:rsid w:val="005C3D76"/>
    <w:rsid w:val="005C3F33"/>
    <w:rsid w:val="005C3F58"/>
    <w:rsid w:val="005C404C"/>
    <w:rsid w:val="005C417D"/>
    <w:rsid w:val="005C46C7"/>
    <w:rsid w:val="005C4863"/>
    <w:rsid w:val="005C4BAF"/>
    <w:rsid w:val="005C4E18"/>
    <w:rsid w:val="005C4EB0"/>
    <w:rsid w:val="005C4F72"/>
    <w:rsid w:val="005C4FD0"/>
    <w:rsid w:val="005C5124"/>
    <w:rsid w:val="005C515C"/>
    <w:rsid w:val="005C5167"/>
    <w:rsid w:val="005C52A2"/>
    <w:rsid w:val="005C5412"/>
    <w:rsid w:val="005C5680"/>
    <w:rsid w:val="005C5701"/>
    <w:rsid w:val="005C585B"/>
    <w:rsid w:val="005C590F"/>
    <w:rsid w:val="005C5916"/>
    <w:rsid w:val="005C5958"/>
    <w:rsid w:val="005C5B84"/>
    <w:rsid w:val="005C5C27"/>
    <w:rsid w:val="005C5C3E"/>
    <w:rsid w:val="005C5CC8"/>
    <w:rsid w:val="005C5D77"/>
    <w:rsid w:val="005C5D8A"/>
    <w:rsid w:val="005C612E"/>
    <w:rsid w:val="005C6135"/>
    <w:rsid w:val="005C62F9"/>
    <w:rsid w:val="005C631E"/>
    <w:rsid w:val="005C649F"/>
    <w:rsid w:val="005C672C"/>
    <w:rsid w:val="005C6822"/>
    <w:rsid w:val="005C6995"/>
    <w:rsid w:val="005C69E1"/>
    <w:rsid w:val="005C6CA1"/>
    <w:rsid w:val="005C6CFF"/>
    <w:rsid w:val="005C6D1A"/>
    <w:rsid w:val="005C6D81"/>
    <w:rsid w:val="005C6E27"/>
    <w:rsid w:val="005C6E91"/>
    <w:rsid w:val="005C7162"/>
    <w:rsid w:val="005C71D2"/>
    <w:rsid w:val="005C71E2"/>
    <w:rsid w:val="005C737C"/>
    <w:rsid w:val="005C7498"/>
    <w:rsid w:val="005C75CA"/>
    <w:rsid w:val="005C763E"/>
    <w:rsid w:val="005C76C6"/>
    <w:rsid w:val="005C7907"/>
    <w:rsid w:val="005C79A8"/>
    <w:rsid w:val="005C7A26"/>
    <w:rsid w:val="005C7A2D"/>
    <w:rsid w:val="005C7C21"/>
    <w:rsid w:val="005C7CE8"/>
    <w:rsid w:val="005C7CF3"/>
    <w:rsid w:val="005C7E47"/>
    <w:rsid w:val="005C7F7E"/>
    <w:rsid w:val="005C7FB7"/>
    <w:rsid w:val="005CCD07"/>
    <w:rsid w:val="005D0069"/>
    <w:rsid w:val="005D007D"/>
    <w:rsid w:val="005D0089"/>
    <w:rsid w:val="005D02AF"/>
    <w:rsid w:val="005D0309"/>
    <w:rsid w:val="005D0556"/>
    <w:rsid w:val="005D06B5"/>
    <w:rsid w:val="005D08AF"/>
    <w:rsid w:val="005D0A2E"/>
    <w:rsid w:val="005D0CBB"/>
    <w:rsid w:val="005D0EFF"/>
    <w:rsid w:val="005D0F7E"/>
    <w:rsid w:val="005D100A"/>
    <w:rsid w:val="005D1154"/>
    <w:rsid w:val="005D1361"/>
    <w:rsid w:val="005D1410"/>
    <w:rsid w:val="005D15AF"/>
    <w:rsid w:val="005D16DB"/>
    <w:rsid w:val="005D1743"/>
    <w:rsid w:val="005D175E"/>
    <w:rsid w:val="005D1899"/>
    <w:rsid w:val="005D19A8"/>
    <w:rsid w:val="005D1A26"/>
    <w:rsid w:val="005D1A58"/>
    <w:rsid w:val="005D1A6B"/>
    <w:rsid w:val="005D1D47"/>
    <w:rsid w:val="005D1E4F"/>
    <w:rsid w:val="005D2091"/>
    <w:rsid w:val="005D222E"/>
    <w:rsid w:val="005D226B"/>
    <w:rsid w:val="005D22DA"/>
    <w:rsid w:val="005D2470"/>
    <w:rsid w:val="005D2492"/>
    <w:rsid w:val="005D251F"/>
    <w:rsid w:val="005D265A"/>
    <w:rsid w:val="005D268A"/>
    <w:rsid w:val="005D26D8"/>
    <w:rsid w:val="005D27DE"/>
    <w:rsid w:val="005D2844"/>
    <w:rsid w:val="005D2BC3"/>
    <w:rsid w:val="005D2BF4"/>
    <w:rsid w:val="005D2C3A"/>
    <w:rsid w:val="005D2C7F"/>
    <w:rsid w:val="005D2C8D"/>
    <w:rsid w:val="005D2CEB"/>
    <w:rsid w:val="005D2E63"/>
    <w:rsid w:val="005D2F0A"/>
    <w:rsid w:val="005D301A"/>
    <w:rsid w:val="005D3116"/>
    <w:rsid w:val="005D32F2"/>
    <w:rsid w:val="005D339B"/>
    <w:rsid w:val="005D34A1"/>
    <w:rsid w:val="005D354C"/>
    <w:rsid w:val="005D369D"/>
    <w:rsid w:val="005D3763"/>
    <w:rsid w:val="005D3ABD"/>
    <w:rsid w:val="005D3C2E"/>
    <w:rsid w:val="005D3CA6"/>
    <w:rsid w:val="005D3D55"/>
    <w:rsid w:val="005D3E62"/>
    <w:rsid w:val="005D3E85"/>
    <w:rsid w:val="005D3F4F"/>
    <w:rsid w:val="005D3F53"/>
    <w:rsid w:val="005D3F76"/>
    <w:rsid w:val="005D4058"/>
    <w:rsid w:val="005D40DB"/>
    <w:rsid w:val="005D419B"/>
    <w:rsid w:val="005D4241"/>
    <w:rsid w:val="005D4518"/>
    <w:rsid w:val="005D45D1"/>
    <w:rsid w:val="005D47C8"/>
    <w:rsid w:val="005D4834"/>
    <w:rsid w:val="005D4A05"/>
    <w:rsid w:val="005D4A31"/>
    <w:rsid w:val="005D4C47"/>
    <w:rsid w:val="005D4D83"/>
    <w:rsid w:val="005D4D96"/>
    <w:rsid w:val="005D4FB9"/>
    <w:rsid w:val="005D5055"/>
    <w:rsid w:val="005D506B"/>
    <w:rsid w:val="005D538F"/>
    <w:rsid w:val="005D5557"/>
    <w:rsid w:val="005D587C"/>
    <w:rsid w:val="005D589E"/>
    <w:rsid w:val="005D59AB"/>
    <w:rsid w:val="005D5C1B"/>
    <w:rsid w:val="005D5D4D"/>
    <w:rsid w:val="005D6043"/>
    <w:rsid w:val="005D60ED"/>
    <w:rsid w:val="005D613D"/>
    <w:rsid w:val="005D6145"/>
    <w:rsid w:val="005D62EE"/>
    <w:rsid w:val="005D637B"/>
    <w:rsid w:val="005D65B9"/>
    <w:rsid w:val="005D6745"/>
    <w:rsid w:val="005D67BD"/>
    <w:rsid w:val="005D67F6"/>
    <w:rsid w:val="005D6A05"/>
    <w:rsid w:val="005D6A74"/>
    <w:rsid w:val="005D6A96"/>
    <w:rsid w:val="005D6B4B"/>
    <w:rsid w:val="005D6C48"/>
    <w:rsid w:val="005D6D4C"/>
    <w:rsid w:val="005D6EE9"/>
    <w:rsid w:val="005D70B0"/>
    <w:rsid w:val="005D70E4"/>
    <w:rsid w:val="005D7310"/>
    <w:rsid w:val="005D737F"/>
    <w:rsid w:val="005D742A"/>
    <w:rsid w:val="005D7488"/>
    <w:rsid w:val="005D74FF"/>
    <w:rsid w:val="005D7609"/>
    <w:rsid w:val="005D7870"/>
    <w:rsid w:val="005D7974"/>
    <w:rsid w:val="005D7A97"/>
    <w:rsid w:val="005D7AF5"/>
    <w:rsid w:val="005D7BBA"/>
    <w:rsid w:val="005D7CC9"/>
    <w:rsid w:val="005D7DE5"/>
    <w:rsid w:val="005D7E6A"/>
    <w:rsid w:val="005D7EEA"/>
    <w:rsid w:val="005D7F21"/>
    <w:rsid w:val="005D7F95"/>
    <w:rsid w:val="005E0081"/>
    <w:rsid w:val="005E024A"/>
    <w:rsid w:val="005E042F"/>
    <w:rsid w:val="005E052C"/>
    <w:rsid w:val="005E0592"/>
    <w:rsid w:val="005E05E0"/>
    <w:rsid w:val="005E05EF"/>
    <w:rsid w:val="005E06FC"/>
    <w:rsid w:val="005E0704"/>
    <w:rsid w:val="005E0755"/>
    <w:rsid w:val="005E0797"/>
    <w:rsid w:val="005E08DF"/>
    <w:rsid w:val="005E0903"/>
    <w:rsid w:val="005E0975"/>
    <w:rsid w:val="005E09CF"/>
    <w:rsid w:val="005E0A6F"/>
    <w:rsid w:val="005E0AC7"/>
    <w:rsid w:val="005E0B33"/>
    <w:rsid w:val="005E0B5B"/>
    <w:rsid w:val="005E0BAD"/>
    <w:rsid w:val="005E0D02"/>
    <w:rsid w:val="005E0D7F"/>
    <w:rsid w:val="005E0DA3"/>
    <w:rsid w:val="005E0E16"/>
    <w:rsid w:val="005E0EAF"/>
    <w:rsid w:val="005E0EBB"/>
    <w:rsid w:val="005E0EC8"/>
    <w:rsid w:val="005E10CB"/>
    <w:rsid w:val="005E1162"/>
    <w:rsid w:val="005E1253"/>
    <w:rsid w:val="005E1269"/>
    <w:rsid w:val="005E1449"/>
    <w:rsid w:val="005E1471"/>
    <w:rsid w:val="005E1550"/>
    <w:rsid w:val="005E171C"/>
    <w:rsid w:val="005E171F"/>
    <w:rsid w:val="005E1889"/>
    <w:rsid w:val="005E1BC0"/>
    <w:rsid w:val="005E1BF8"/>
    <w:rsid w:val="005E1D52"/>
    <w:rsid w:val="005E202F"/>
    <w:rsid w:val="005E2068"/>
    <w:rsid w:val="005E20E8"/>
    <w:rsid w:val="005E2152"/>
    <w:rsid w:val="005E21DF"/>
    <w:rsid w:val="005E228F"/>
    <w:rsid w:val="005E2351"/>
    <w:rsid w:val="005E2498"/>
    <w:rsid w:val="005E25E8"/>
    <w:rsid w:val="005E262A"/>
    <w:rsid w:val="005E2656"/>
    <w:rsid w:val="005E2816"/>
    <w:rsid w:val="005E2873"/>
    <w:rsid w:val="005E28D7"/>
    <w:rsid w:val="005E29BB"/>
    <w:rsid w:val="005E2A89"/>
    <w:rsid w:val="005E2C30"/>
    <w:rsid w:val="005E2D8A"/>
    <w:rsid w:val="005E2E96"/>
    <w:rsid w:val="005E2ECA"/>
    <w:rsid w:val="005E3074"/>
    <w:rsid w:val="005E3119"/>
    <w:rsid w:val="005E3126"/>
    <w:rsid w:val="005E31F8"/>
    <w:rsid w:val="005E3332"/>
    <w:rsid w:val="005E3442"/>
    <w:rsid w:val="005E34FF"/>
    <w:rsid w:val="005E370A"/>
    <w:rsid w:val="005E39B3"/>
    <w:rsid w:val="005E3A86"/>
    <w:rsid w:val="005E3AC6"/>
    <w:rsid w:val="005E3CF6"/>
    <w:rsid w:val="005E3DC6"/>
    <w:rsid w:val="005E3E8F"/>
    <w:rsid w:val="005E3F5C"/>
    <w:rsid w:val="005E4251"/>
    <w:rsid w:val="005E440D"/>
    <w:rsid w:val="005E443B"/>
    <w:rsid w:val="005E4541"/>
    <w:rsid w:val="005E47AD"/>
    <w:rsid w:val="005E47D6"/>
    <w:rsid w:val="005E48E7"/>
    <w:rsid w:val="005E4946"/>
    <w:rsid w:val="005E4AC4"/>
    <w:rsid w:val="005E4DD7"/>
    <w:rsid w:val="005E4F9D"/>
    <w:rsid w:val="005E4FF6"/>
    <w:rsid w:val="005E502A"/>
    <w:rsid w:val="005E50BA"/>
    <w:rsid w:val="005E5116"/>
    <w:rsid w:val="005E5275"/>
    <w:rsid w:val="005E528B"/>
    <w:rsid w:val="005E5390"/>
    <w:rsid w:val="005E54FD"/>
    <w:rsid w:val="005E5697"/>
    <w:rsid w:val="005E572A"/>
    <w:rsid w:val="005E5734"/>
    <w:rsid w:val="005E57F1"/>
    <w:rsid w:val="005E5905"/>
    <w:rsid w:val="005E5ABC"/>
    <w:rsid w:val="005E5B04"/>
    <w:rsid w:val="005E5B2D"/>
    <w:rsid w:val="005E5BFD"/>
    <w:rsid w:val="005E5D97"/>
    <w:rsid w:val="005E5E5B"/>
    <w:rsid w:val="005E63AE"/>
    <w:rsid w:val="005E63BC"/>
    <w:rsid w:val="005E6459"/>
    <w:rsid w:val="005E6472"/>
    <w:rsid w:val="005E69DF"/>
    <w:rsid w:val="005E6AD9"/>
    <w:rsid w:val="005E6B73"/>
    <w:rsid w:val="005E6BC2"/>
    <w:rsid w:val="005E6BCE"/>
    <w:rsid w:val="005E704A"/>
    <w:rsid w:val="005E7229"/>
    <w:rsid w:val="005E72FB"/>
    <w:rsid w:val="005E730A"/>
    <w:rsid w:val="005E7552"/>
    <w:rsid w:val="005E763E"/>
    <w:rsid w:val="005E7673"/>
    <w:rsid w:val="005E767E"/>
    <w:rsid w:val="005E79A4"/>
    <w:rsid w:val="005E79C6"/>
    <w:rsid w:val="005E7B15"/>
    <w:rsid w:val="005E7BB2"/>
    <w:rsid w:val="005E7BEE"/>
    <w:rsid w:val="005E7CBC"/>
    <w:rsid w:val="005E7D44"/>
    <w:rsid w:val="005E7D60"/>
    <w:rsid w:val="005F01F9"/>
    <w:rsid w:val="005F0367"/>
    <w:rsid w:val="005F0627"/>
    <w:rsid w:val="005F0682"/>
    <w:rsid w:val="005F09B3"/>
    <w:rsid w:val="005F09EC"/>
    <w:rsid w:val="005F0A34"/>
    <w:rsid w:val="005F0CB3"/>
    <w:rsid w:val="005F0DD4"/>
    <w:rsid w:val="005F0E4B"/>
    <w:rsid w:val="005F0EA5"/>
    <w:rsid w:val="005F0EEF"/>
    <w:rsid w:val="005F0FBC"/>
    <w:rsid w:val="005F1078"/>
    <w:rsid w:val="005F1777"/>
    <w:rsid w:val="005F18BC"/>
    <w:rsid w:val="005F1960"/>
    <w:rsid w:val="005F1A08"/>
    <w:rsid w:val="005F1A58"/>
    <w:rsid w:val="005F1CE6"/>
    <w:rsid w:val="005F1F3B"/>
    <w:rsid w:val="005F21CA"/>
    <w:rsid w:val="005F229E"/>
    <w:rsid w:val="005F23F7"/>
    <w:rsid w:val="005F2484"/>
    <w:rsid w:val="005F28BA"/>
    <w:rsid w:val="005F29BE"/>
    <w:rsid w:val="005F29D0"/>
    <w:rsid w:val="005F2BE5"/>
    <w:rsid w:val="005F2BEB"/>
    <w:rsid w:val="005F2C11"/>
    <w:rsid w:val="005F2EBE"/>
    <w:rsid w:val="005F2F2B"/>
    <w:rsid w:val="005F2FE3"/>
    <w:rsid w:val="005F31E6"/>
    <w:rsid w:val="005F3299"/>
    <w:rsid w:val="005F32C7"/>
    <w:rsid w:val="005F3399"/>
    <w:rsid w:val="005F33C4"/>
    <w:rsid w:val="005F3423"/>
    <w:rsid w:val="005F34CA"/>
    <w:rsid w:val="005F34F5"/>
    <w:rsid w:val="005F36C2"/>
    <w:rsid w:val="005F36F1"/>
    <w:rsid w:val="005F3722"/>
    <w:rsid w:val="005F37D3"/>
    <w:rsid w:val="005F39A7"/>
    <w:rsid w:val="005F3A39"/>
    <w:rsid w:val="005F3AA2"/>
    <w:rsid w:val="005F3AFF"/>
    <w:rsid w:val="005F3B07"/>
    <w:rsid w:val="005F3DD9"/>
    <w:rsid w:val="005F3DF3"/>
    <w:rsid w:val="005F3E09"/>
    <w:rsid w:val="005F3F66"/>
    <w:rsid w:val="005F40A8"/>
    <w:rsid w:val="005F4263"/>
    <w:rsid w:val="005F4491"/>
    <w:rsid w:val="005F4526"/>
    <w:rsid w:val="005F455B"/>
    <w:rsid w:val="005F46D2"/>
    <w:rsid w:val="005F472F"/>
    <w:rsid w:val="005F4774"/>
    <w:rsid w:val="005F4792"/>
    <w:rsid w:val="005F4837"/>
    <w:rsid w:val="005F48EB"/>
    <w:rsid w:val="005F4986"/>
    <w:rsid w:val="005F49A7"/>
    <w:rsid w:val="005F4B76"/>
    <w:rsid w:val="005F4CA9"/>
    <w:rsid w:val="005F4D54"/>
    <w:rsid w:val="005F4D8C"/>
    <w:rsid w:val="005F4E19"/>
    <w:rsid w:val="005F4F75"/>
    <w:rsid w:val="005F4F95"/>
    <w:rsid w:val="005F51AA"/>
    <w:rsid w:val="005F52EA"/>
    <w:rsid w:val="005F53BD"/>
    <w:rsid w:val="005F54F9"/>
    <w:rsid w:val="005F5527"/>
    <w:rsid w:val="005F5593"/>
    <w:rsid w:val="005F56CC"/>
    <w:rsid w:val="005F57AE"/>
    <w:rsid w:val="005F582D"/>
    <w:rsid w:val="005F5832"/>
    <w:rsid w:val="005F5864"/>
    <w:rsid w:val="005F591D"/>
    <w:rsid w:val="005F5C09"/>
    <w:rsid w:val="005F5CCD"/>
    <w:rsid w:val="005F5D32"/>
    <w:rsid w:val="005F5F72"/>
    <w:rsid w:val="005F60DB"/>
    <w:rsid w:val="005F61F6"/>
    <w:rsid w:val="005F6296"/>
    <w:rsid w:val="005F62A6"/>
    <w:rsid w:val="005F62B8"/>
    <w:rsid w:val="005F6380"/>
    <w:rsid w:val="005F643C"/>
    <w:rsid w:val="005F6537"/>
    <w:rsid w:val="005F6561"/>
    <w:rsid w:val="005F65F8"/>
    <w:rsid w:val="005F666B"/>
    <w:rsid w:val="005F68E1"/>
    <w:rsid w:val="005F6967"/>
    <w:rsid w:val="005F6976"/>
    <w:rsid w:val="005F6AA8"/>
    <w:rsid w:val="005F6B4B"/>
    <w:rsid w:val="005F6BED"/>
    <w:rsid w:val="005F6C00"/>
    <w:rsid w:val="005F6C16"/>
    <w:rsid w:val="005F7198"/>
    <w:rsid w:val="005F7221"/>
    <w:rsid w:val="005F7268"/>
    <w:rsid w:val="005F7464"/>
    <w:rsid w:val="005F74B0"/>
    <w:rsid w:val="005F74D1"/>
    <w:rsid w:val="005F75FB"/>
    <w:rsid w:val="005F764A"/>
    <w:rsid w:val="005F765D"/>
    <w:rsid w:val="005F7687"/>
    <w:rsid w:val="005F76D8"/>
    <w:rsid w:val="005F7760"/>
    <w:rsid w:val="005F7832"/>
    <w:rsid w:val="005F78CE"/>
    <w:rsid w:val="005F7A8E"/>
    <w:rsid w:val="005F7B4B"/>
    <w:rsid w:val="005F7CE0"/>
    <w:rsid w:val="005F7D96"/>
    <w:rsid w:val="005F7E71"/>
    <w:rsid w:val="005F7EB5"/>
    <w:rsid w:val="005F7EF8"/>
    <w:rsid w:val="005F7FFA"/>
    <w:rsid w:val="00600145"/>
    <w:rsid w:val="00600192"/>
    <w:rsid w:val="00600361"/>
    <w:rsid w:val="0060055E"/>
    <w:rsid w:val="0060063E"/>
    <w:rsid w:val="00600766"/>
    <w:rsid w:val="00600774"/>
    <w:rsid w:val="00600B40"/>
    <w:rsid w:val="00600BB3"/>
    <w:rsid w:val="00600CFE"/>
    <w:rsid w:val="00600EED"/>
    <w:rsid w:val="00600FB6"/>
    <w:rsid w:val="00600FE4"/>
    <w:rsid w:val="006010A0"/>
    <w:rsid w:val="006010B3"/>
    <w:rsid w:val="0060117B"/>
    <w:rsid w:val="0060126B"/>
    <w:rsid w:val="00601573"/>
    <w:rsid w:val="0060159D"/>
    <w:rsid w:val="006015CE"/>
    <w:rsid w:val="006015F7"/>
    <w:rsid w:val="00601689"/>
    <w:rsid w:val="006016B7"/>
    <w:rsid w:val="006016DE"/>
    <w:rsid w:val="00601746"/>
    <w:rsid w:val="0060179C"/>
    <w:rsid w:val="00601838"/>
    <w:rsid w:val="006018BD"/>
    <w:rsid w:val="00601B2F"/>
    <w:rsid w:val="00601BEC"/>
    <w:rsid w:val="00601D6B"/>
    <w:rsid w:val="00601E05"/>
    <w:rsid w:val="00601E38"/>
    <w:rsid w:val="00601F16"/>
    <w:rsid w:val="00601F43"/>
    <w:rsid w:val="00601F52"/>
    <w:rsid w:val="0060202F"/>
    <w:rsid w:val="0060203A"/>
    <w:rsid w:val="00602199"/>
    <w:rsid w:val="00602225"/>
    <w:rsid w:val="00602387"/>
    <w:rsid w:val="00602497"/>
    <w:rsid w:val="0060263E"/>
    <w:rsid w:val="00602713"/>
    <w:rsid w:val="00602867"/>
    <w:rsid w:val="006028D6"/>
    <w:rsid w:val="0060299B"/>
    <w:rsid w:val="00602BEA"/>
    <w:rsid w:val="00602CFB"/>
    <w:rsid w:val="00602D1A"/>
    <w:rsid w:val="00602FBD"/>
    <w:rsid w:val="00602FD1"/>
    <w:rsid w:val="00602FF3"/>
    <w:rsid w:val="00602FF8"/>
    <w:rsid w:val="00603003"/>
    <w:rsid w:val="00603075"/>
    <w:rsid w:val="006032D9"/>
    <w:rsid w:val="0060338D"/>
    <w:rsid w:val="006033BD"/>
    <w:rsid w:val="00603407"/>
    <w:rsid w:val="006037B8"/>
    <w:rsid w:val="00603843"/>
    <w:rsid w:val="00603937"/>
    <w:rsid w:val="0060393D"/>
    <w:rsid w:val="00603A46"/>
    <w:rsid w:val="00603A75"/>
    <w:rsid w:val="00603A94"/>
    <w:rsid w:val="00603AD3"/>
    <w:rsid w:val="00603AFC"/>
    <w:rsid w:val="00603C4B"/>
    <w:rsid w:val="00603C71"/>
    <w:rsid w:val="00603C91"/>
    <w:rsid w:val="00603CFD"/>
    <w:rsid w:val="00603DBF"/>
    <w:rsid w:val="00603E08"/>
    <w:rsid w:val="00604239"/>
    <w:rsid w:val="006043E4"/>
    <w:rsid w:val="00604601"/>
    <w:rsid w:val="00604864"/>
    <w:rsid w:val="0060489A"/>
    <w:rsid w:val="006048B8"/>
    <w:rsid w:val="006049F9"/>
    <w:rsid w:val="00604A4F"/>
    <w:rsid w:val="00604A8E"/>
    <w:rsid w:val="00604AEF"/>
    <w:rsid w:val="00604EB8"/>
    <w:rsid w:val="00604EEE"/>
    <w:rsid w:val="00605271"/>
    <w:rsid w:val="006054F1"/>
    <w:rsid w:val="006056F1"/>
    <w:rsid w:val="0060586D"/>
    <w:rsid w:val="0060592E"/>
    <w:rsid w:val="00605942"/>
    <w:rsid w:val="006059B0"/>
    <w:rsid w:val="00605B97"/>
    <w:rsid w:val="00605C80"/>
    <w:rsid w:val="00605CC5"/>
    <w:rsid w:val="00605D03"/>
    <w:rsid w:val="00605F42"/>
    <w:rsid w:val="00605FCD"/>
    <w:rsid w:val="00606127"/>
    <w:rsid w:val="00606145"/>
    <w:rsid w:val="0060615B"/>
    <w:rsid w:val="00606192"/>
    <w:rsid w:val="006061B0"/>
    <w:rsid w:val="006061E5"/>
    <w:rsid w:val="006062E1"/>
    <w:rsid w:val="006062EF"/>
    <w:rsid w:val="00606391"/>
    <w:rsid w:val="0060646B"/>
    <w:rsid w:val="0060648D"/>
    <w:rsid w:val="006064EF"/>
    <w:rsid w:val="0060651F"/>
    <w:rsid w:val="00606607"/>
    <w:rsid w:val="00606662"/>
    <w:rsid w:val="00606773"/>
    <w:rsid w:val="00606887"/>
    <w:rsid w:val="00606BE4"/>
    <w:rsid w:val="00606DE3"/>
    <w:rsid w:val="00606E2E"/>
    <w:rsid w:val="0060700E"/>
    <w:rsid w:val="006073B1"/>
    <w:rsid w:val="006076C8"/>
    <w:rsid w:val="006076EF"/>
    <w:rsid w:val="0060774E"/>
    <w:rsid w:val="006078D2"/>
    <w:rsid w:val="00607A34"/>
    <w:rsid w:val="00607CF1"/>
    <w:rsid w:val="00607D50"/>
    <w:rsid w:val="00607DE9"/>
    <w:rsid w:val="00607F2F"/>
    <w:rsid w:val="0060A51C"/>
    <w:rsid w:val="00610127"/>
    <w:rsid w:val="0061025A"/>
    <w:rsid w:val="0061032C"/>
    <w:rsid w:val="0061040E"/>
    <w:rsid w:val="0061051A"/>
    <w:rsid w:val="00610933"/>
    <w:rsid w:val="00610A08"/>
    <w:rsid w:val="00610A89"/>
    <w:rsid w:val="00610B8D"/>
    <w:rsid w:val="00610C07"/>
    <w:rsid w:val="00610CDD"/>
    <w:rsid w:val="00610D3B"/>
    <w:rsid w:val="00610E7D"/>
    <w:rsid w:val="00610F83"/>
    <w:rsid w:val="00610FF3"/>
    <w:rsid w:val="00611132"/>
    <w:rsid w:val="00611396"/>
    <w:rsid w:val="00611581"/>
    <w:rsid w:val="00611635"/>
    <w:rsid w:val="00611778"/>
    <w:rsid w:val="0061177E"/>
    <w:rsid w:val="006117DA"/>
    <w:rsid w:val="006117E3"/>
    <w:rsid w:val="00611833"/>
    <w:rsid w:val="00611834"/>
    <w:rsid w:val="006118CD"/>
    <w:rsid w:val="006118EA"/>
    <w:rsid w:val="00611989"/>
    <w:rsid w:val="006119C1"/>
    <w:rsid w:val="006119FC"/>
    <w:rsid w:val="00611B8F"/>
    <w:rsid w:val="00611C0F"/>
    <w:rsid w:val="00611E22"/>
    <w:rsid w:val="00611E27"/>
    <w:rsid w:val="00611E87"/>
    <w:rsid w:val="00612271"/>
    <w:rsid w:val="00612288"/>
    <w:rsid w:val="006122E5"/>
    <w:rsid w:val="00612320"/>
    <w:rsid w:val="006123DA"/>
    <w:rsid w:val="006124A4"/>
    <w:rsid w:val="00612522"/>
    <w:rsid w:val="00612593"/>
    <w:rsid w:val="00612597"/>
    <w:rsid w:val="0061266A"/>
    <w:rsid w:val="00612672"/>
    <w:rsid w:val="00612683"/>
    <w:rsid w:val="006126C4"/>
    <w:rsid w:val="006128D1"/>
    <w:rsid w:val="00612B9E"/>
    <w:rsid w:val="00612EA1"/>
    <w:rsid w:val="00613018"/>
    <w:rsid w:val="00613202"/>
    <w:rsid w:val="006132C0"/>
    <w:rsid w:val="006133BC"/>
    <w:rsid w:val="0061358C"/>
    <w:rsid w:val="006135BC"/>
    <w:rsid w:val="0061364B"/>
    <w:rsid w:val="00613654"/>
    <w:rsid w:val="00613AC3"/>
    <w:rsid w:val="00613AF1"/>
    <w:rsid w:val="00613AF6"/>
    <w:rsid w:val="00613B72"/>
    <w:rsid w:val="00613C55"/>
    <w:rsid w:val="00613CBE"/>
    <w:rsid w:val="00613D28"/>
    <w:rsid w:val="00613DD7"/>
    <w:rsid w:val="006140C6"/>
    <w:rsid w:val="0061414C"/>
    <w:rsid w:val="006141C5"/>
    <w:rsid w:val="0061423C"/>
    <w:rsid w:val="0061426A"/>
    <w:rsid w:val="0061429D"/>
    <w:rsid w:val="00614631"/>
    <w:rsid w:val="0061472B"/>
    <w:rsid w:val="0061494F"/>
    <w:rsid w:val="00614AF8"/>
    <w:rsid w:val="00614BA2"/>
    <w:rsid w:val="00614CEA"/>
    <w:rsid w:val="00614D0E"/>
    <w:rsid w:val="00614EED"/>
    <w:rsid w:val="00615069"/>
    <w:rsid w:val="00615094"/>
    <w:rsid w:val="00615144"/>
    <w:rsid w:val="00615174"/>
    <w:rsid w:val="0061528E"/>
    <w:rsid w:val="006152A2"/>
    <w:rsid w:val="0061532A"/>
    <w:rsid w:val="006154A5"/>
    <w:rsid w:val="00615503"/>
    <w:rsid w:val="006155FA"/>
    <w:rsid w:val="006156C3"/>
    <w:rsid w:val="00615760"/>
    <w:rsid w:val="00615763"/>
    <w:rsid w:val="006157A8"/>
    <w:rsid w:val="006157C0"/>
    <w:rsid w:val="0061592C"/>
    <w:rsid w:val="00615ADB"/>
    <w:rsid w:val="00615CD0"/>
    <w:rsid w:val="00615D24"/>
    <w:rsid w:val="00615E97"/>
    <w:rsid w:val="00615EFE"/>
    <w:rsid w:val="00615F6D"/>
    <w:rsid w:val="0061603B"/>
    <w:rsid w:val="00616060"/>
    <w:rsid w:val="006160EA"/>
    <w:rsid w:val="006162B3"/>
    <w:rsid w:val="00616319"/>
    <w:rsid w:val="0061643E"/>
    <w:rsid w:val="006164B8"/>
    <w:rsid w:val="006165DB"/>
    <w:rsid w:val="006166BD"/>
    <w:rsid w:val="00616769"/>
    <w:rsid w:val="0061679E"/>
    <w:rsid w:val="0061683A"/>
    <w:rsid w:val="00616952"/>
    <w:rsid w:val="0061698D"/>
    <w:rsid w:val="00616A9F"/>
    <w:rsid w:val="00616C80"/>
    <w:rsid w:val="00616CC0"/>
    <w:rsid w:val="00616E2C"/>
    <w:rsid w:val="00616F1A"/>
    <w:rsid w:val="00616F8C"/>
    <w:rsid w:val="00616FA0"/>
    <w:rsid w:val="0061716B"/>
    <w:rsid w:val="00617337"/>
    <w:rsid w:val="006174FF"/>
    <w:rsid w:val="00617711"/>
    <w:rsid w:val="00617798"/>
    <w:rsid w:val="0061790F"/>
    <w:rsid w:val="00617965"/>
    <w:rsid w:val="006179F7"/>
    <w:rsid w:val="00617C1C"/>
    <w:rsid w:val="00617C73"/>
    <w:rsid w:val="00617D45"/>
    <w:rsid w:val="00617D54"/>
    <w:rsid w:val="00617E22"/>
    <w:rsid w:val="00617E40"/>
    <w:rsid w:val="00617E59"/>
    <w:rsid w:val="00617F4E"/>
    <w:rsid w:val="00617FF8"/>
    <w:rsid w:val="0061B09A"/>
    <w:rsid w:val="006200D3"/>
    <w:rsid w:val="0062015D"/>
    <w:rsid w:val="0062018E"/>
    <w:rsid w:val="006204A0"/>
    <w:rsid w:val="00620536"/>
    <w:rsid w:val="006205CD"/>
    <w:rsid w:val="006205DD"/>
    <w:rsid w:val="006205DF"/>
    <w:rsid w:val="00620604"/>
    <w:rsid w:val="006207F4"/>
    <w:rsid w:val="00620895"/>
    <w:rsid w:val="0062095B"/>
    <w:rsid w:val="006209D9"/>
    <w:rsid w:val="00620C76"/>
    <w:rsid w:val="00620EEE"/>
    <w:rsid w:val="00620FBF"/>
    <w:rsid w:val="006210B0"/>
    <w:rsid w:val="006212EC"/>
    <w:rsid w:val="006213E8"/>
    <w:rsid w:val="006215AA"/>
    <w:rsid w:val="00621671"/>
    <w:rsid w:val="00621719"/>
    <w:rsid w:val="00621743"/>
    <w:rsid w:val="00621747"/>
    <w:rsid w:val="00621807"/>
    <w:rsid w:val="006218E4"/>
    <w:rsid w:val="00621AF2"/>
    <w:rsid w:val="00621B8C"/>
    <w:rsid w:val="00621DB4"/>
    <w:rsid w:val="00621DCF"/>
    <w:rsid w:val="00621EEE"/>
    <w:rsid w:val="00622141"/>
    <w:rsid w:val="00622143"/>
    <w:rsid w:val="006221E5"/>
    <w:rsid w:val="00622314"/>
    <w:rsid w:val="006223D7"/>
    <w:rsid w:val="006224C6"/>
    <w:rsid w:val="0062266C"/>
    <w:rsid w:val="00622A71"/>
    <w:rsid w:val="00622A74"/>
    <w:rsid w:val="00622B51"/>
    <w:rsid w:val="00622B67"/>
    <w:rsid w:val="00622C1B"/>
    <w:rsid w:val="00622C4E"/>
    <w:rsid w:val="00622CF5"/>
    <w:rsid w:val="00622D38"/>
    <w:rsid w:val="00622DCE"/>
    <w:rsid w:val="00622DDC"/>
    <w:rsid w:val="00622F43"/>
    <w:rsid w:val="00623065"/>
    <w:rsid w:val="0062322E"/>
    <w:rsid w:val="006232DC"/>
    <w:rsid w:val="00623339"/>
    <w:rsid w:val="00623346"/>
    <w:rsid w:val="006233A9"/>
    <w:rsid w:val="00623568"/>
    <w:rsid w:val="00623713"/>
    <w:rsid w:val="00623722"/>
    <w:rsid w:val="00623756"/>
    <w:rsid w:val="0062381B"/>
    <w:rsid w:val="00623950"/>
    <w:rsid w:val="00623A11"/>
    <w:rsid w:val="00623B06"/>
    <w:rsid w:val="00623B50"/>
    <w:rsid w:val="00623BD4"/>
    <w:rsid w:val="00623C44"/>
    <w:rsid w:val="00623D54"/>
    <w:rsid w:val="00623F61"/>
    <w:rsid w:val="006241EF"/>
    <w:rsid w:val="0062440C"/>
    <w:rsid w:val="00624445"/>
    <w:rsid w:val="006244A0"/>
    <w:rsid w:val="00624647"/>
    <w:rsid w:val="006246C6"/>
    <w:rsid w:val="00624702"/>
    <w:rsid w:val="006248BB"/>
    <w:rsid w:val="006248CE"/>
    <w:rsid w:val="006248F9"/>
    <w:rsid w:val="00624968"/>
    <w:rsid w:val="006249D4"/>
    <w:rsid w:val="00624B7D"/>
    <w:rsid w:val="00624BDE"/>
    <w:rsid w:val="00624C24"/>
    <w:rsid w:val="00624C34"/>
    <w:rsid w:val="00624DDC"/>
    <w:rsid w:val="00624EB8"/>
    <w:rsid w:val="00624EF4"/>
    <w:rsid w:val="00625019"/>
    <w:rsid w:val="006250CF"/>
    <w:rsid w:val="00625232"/>
    <w:rsid w:val="00625325"/>
    <w:rsid w:val="0062534D"/>
    <w:rsid w:val="00625461"/>
    <w:rsid w:val="00625508"/>
    <w:rsid w:val="00625539"/>
    <w:rsid w:val="00625585"/>
    <w:rsid w:val="006255CC"/>
    <w:rsid w:val="0062562F"/>
    <w:rsid w:val="0062576D"/>
    <w:rsid w:val="00625900"/>
    <w:rsid w:val="00625A41"/>
    <w:rsid w:val="00625B60"/>
    <w:rsid w:val="00625C0D"/>
    <w:rsid w:val="00625CF4"/>
    <w:rsid w:val="00625DA3"/>
    <w:rsid w:val="00625DD8"/>
    <w:rsid w:val="00625F6D"/>
    <w:rsid w:val="00626071"/>
    <w:rsid w:val="006260E9"/>
    <w:rsid w:val="006262A1"/>
    <w:rsid w:val="0062634B"/>
    <w:rsid w:val="0062634E"/>
    <w:rsid w:val="0062634F"/>
    <w:rsid w:val="006263CF"/>
    <w:rsid w:val="00626992"/>
    <w:rsid w:val="00626993"/>
    <w:rsid w:val="00626CD9"/>
    <w:rsid w:val="00626F37"/>
    <w:rsid w:val="00626F64"/>
    <w:rsid w:val="00626FA2"/>
    <w:rsid w:val="00627058"/>
    <w:rsid w:val="006272DD"/>
    <w:rsid w:val="006275C0"/>
    <w:rsid w:val="006276ED"/>
    <w:rsid w:val="0062770E"/>
    <w:rsid w:val="0062773E"/>
    <w:rsid w:val="00627745"/>
    <w:rsid w:val="006277B0"/>
    <w:rsid w:val="00627851"/>
    <w:rsid w:val="006278DE"/>
    <w:rsid w:val="00627B5E"/>
    <w:rsid w:val="00627B6F"/>
    <w:rsid w:val="00627B70"/>
    <w:rsid w:val="00627C47"/>
    <w:rsid w:val="00627C4D"/>
    <w:rsid w:val="00627C66"/>
    <w:rsid w:val="00627E6A"/>
    <w:rsid w:val="00627EA9"/>
    <w:rsid w:val="00630207"/>
    <w:rsid w:val="0063021A"/>
    <w:rsid w:val="0063022E"/>
    <w:rsid w:val="00630280"/>
    <w:rsid w:val="006303D9"/>
    <w:rsid w:val="006305CB"/>
    <w:rsid w:val="0063063A"/>
    <w:rsid w:val="00630729"/>
    <w:rsid w:val="0063094F"/>
    <w:rsid w:val="00630A6D"/>
    <w:rsid w:val="00630BC9"/>
    <w:rsid w:val="00630C31"/>
    <w:rsid w:val="00630C55"/>
    <w:rsid w:val="00630CDD"/>
    <w:rsid w:val="00630D82"/>
    <w:rsid w:val="00630E45"/>
    <w:rsid w:val="00630FB9"/>
    <w:rsid w:val="0063116C"/>
    <w:rsid w:val="006311C2"/>
    <w:rsid w:val="00631209"/>
    <w:rsid w:val="0063132A"/>
    <w:rsid w:val="0063135F"/>
    <w:rsid w:val="00631424"/>
    <w:rsid w:val="006314ED"/>
    <w:rsid w:val="00631608"/>
    <w:rsid w:val="006318F2"/>
    <w:rsid w:val="00631988"/>
    <w:rsid w:val="00631A5C"/>
    <w:rsid w:val="00631ABB"/>
    <w:rsid w:val="00631C52"/>
    <w:rsid w:val="00631D4B"/>
    <w:rsid w:val="00631F31"/>
    <w:rsid w:val="00632104"/>
    <w:rsid w:val="0063213D"/>
    <w:rsid w:val="0063217F"/>
    <w:rsid w:val="006323BA"/>
    <w:rsid w:val="006324C6"/>
    <w:rsid w:val="006325B6"/>
    <w:rsid w:val="00632926"/>
    <w:rsid w:val="006329C2"/>
    <w:rsid w:val="00632AC1"/>
    <w:rsid w:val="00632BE7"/>
    <w:rsid w:val="00632BFB"/>
    <w:rsid w:val="00632C3B"/>
    <w:rsid w:val="00632D0E"/>
    <w:rsid w:val="0063307D"/>
    <w:rsid w:val="00633147"/>
    <w:rsid w:val="0063338D"/>
    <w:rsid w:val="0063343B"/>
    <w:rsid w:val="00633587"/>
    <w:rsid w:val="00633998"/>
    <w:rsid w:val="00633AFB"/>
    <w:rsid w:val="00633BB8"/>
    <w:rsid w:val="00633BD6"/>
    <w:rsid w:val="00633C83"/>
    <w:rsid w:val="00633CE4"/>
    <w:rsid w:val="00633EF4"/>
    <w:rsid w:val="00634124"/>
    <w:rsid w:val="00634390"/>
    <w:rsid w:val="0063445F"/>
    <w:rsid w:val="00634572"/>
    <w:rsid w:val="006345A5"/>
    <w:rsid w:val="006346EB"/>
    <w:rsid w:val="0063473D"/>
    <w:rsid w:val="00634798"/>
    <w:rsid w:val="006347CF"/>
    <w:rsid w:val="006349CC"/>
    <w:rsid w:val="00634AB1"/>
    <w:rsid w:val="00634B35"/>
    <w:rsid w:val="00634D3E"/>
    <w:rsid w:val="00634E3C"/>
    <w:rsid w:val="00634F7D"/>
    <w:rsid w:val="00634FC1"/>
    <w:rsid w:val="00635007"/>
    <w:rsid w:val="00635188"/>
    <w:rsid w:val="00635461"/>
    <w:rsid w:val="006355B6"/>
    <w:rsid w:val="0063562D"/>
    <w:rsid w:val="00635781"/>
    <w:rsid w:val="0063583C"/>
    <w:rsid w:val="006358B4"/>
    <w:rsid w:val="006358F8"/>
    <w:rsid w:val="00635971"/>
    <w:rsid w:val="00635A22"/>
    <w:rsid w:val="00635A90"/>
    <w:rsid w:val="00635B64"/>
    <w:rsid w:val="00635C7E"/>
    <w:rsid w:val="00635D5D"/>
    <w:rsid w:val="00635F27"/>
    <w:rsid w:val="00635FC5"/>
    <w:rsid w:val="00635FEE"/>
    <w:rsid w:val="00636048"/>
    <w:rsid w:val="0063605A"/>
    <w:rsid w:val="0063652D"/>
    <w:rsid w:val="0063670C"/>
    <w:rsid w:val="00636719"/>
    <w:rsid w:val="00636740"/>
    <w:rsid w:val="00636874"/>
    <w:rsid w:val="00636876"/>
    <w:rsid w:val="00636B92"/>
    <w:rsid w:val="00636C15"/>
    <w:rsid w:val="00636C9A"/>
    <w:rsid w:val="00636C9F"/>
    <w:rsid w:val="00636D92"/>
    <w:rsid w:val="00636DB8"/>
    <w:rsid w:val="00637051"/>
    <w:rsid w:val="006371A7"/>
    <w:rsid w:val="006371C1"/>
    <w:rsid w:val="006371EF"/>
    <w:rsid w:val="006371FD"/>
    <w:rsid w:val="00637274"/>
    <w:rsid w:val="006372E1"/>
    <w:rsid w:val="00637809"/>
    <w:rsid w:val="00637B37"/>
    <w:rsid w:val="00637D3D"/>
    <w:rsid w:val="00637DEA"/>
    <w:rsid w:val="00640028"/>
    <w:rsid w:val="0064005C"/>
    <w:rsid w:val="00640174"/>
    <w:rsid w:val="006402A2"/>
    <w:rsid w:val="0064052A"/>
    <w:rsid w:val="006405DA"/>
    <w:rsid w:val="00640789"/>
    <w:rsid w:val="0064089A"/>
    <w:rsid w:val="006408CE"/>
    <w:rsid w:val="00640952"/>
    <w:rsid w:val="006409FF"/>
    <w:rsid w:val="00640A5E"/>
    <w:rsid w:val="00640B2E"/>
    <w:rsid w:val="00640B35"/>
    <w:rsid w:val="00640B4B"/>
    <w:rsid w:val="00640B9B"/>
    <w:rsid w:val="00640C7B"/>
    <w:rsid w:val="00640CC0"/>
    <w:rsid w:val="00640CD8"/>
    <w:rsid w:val="00640D92"/>
    <w:rsid w:val="00640F47"/>
    <w:rsid w:val="00641108"/>
    <w:rsid w:val="006411BC"/>
    <w:rsid w:val="00641371"/>
    <w:rsid w:val="0064144A"/>
    <w:rsid w:val="006414F5"/>
    <w:rsid w:val="00641BFF"/>
    <w:rsid w:val="00641C22"/>
    <w:rsid w:val="00641C9B"/>
    <w:rsid w:val="0064202C"/>
    <w:rsid w:val="00642121"/>
    <w:rsid w:val="006424B8"/>
    <w:rsid w:val="0064250A"/>
    <w:rsid w:val="006425AC"/>
    <w:rsid w:val="00642682"/>
    <w:rsid w:val="006428B6"/>
    <w:rsid w:val="00642A1C"/>
    <w:rsid w:val="00642A95"/>
    <w:rsid w:val="00642AB5"/>
    <w:rsid w:val="00642B60"/>
    <w:rsid w:val="00642D5F"/>
    <w:rsid w:val="00642EDC"/>
    <w:rsid w:val="00642FE5"/>
    <w:rsid w:val="006430B9"/>
    <w:rsid w:val="00643213"/>
    <w:rsid w:val="006434E9"/>
    <w:rsid w:val="006435D0"/>
    <w:rsid w:val="006435DA"/>
    <w:rsid w:val="00643AE0"/>
    <w:rsid w:val="00643BBC"/>
    <w:rsid w:val="00643BF8"/>
    <w:rsid w:val="00643D23"/>
    <w:rsid w:val="00644171"/>
    <w:rsid w:val="0064426F"/>
    <w:rsid w:val="00644494"/>
    <w:rsid w:val="00644504"/>
    <w:rsid w:val="0064464D"/>
    <w:rsid w:val="006446A3"/>
    <w:rsid w:val="0064471C"/>
    <w:rsid w:val="0064484C"/>
    <w:rsid w:val="006448A5"/>
    <w:rsid w:val="006448AB"/>
    <w:rsid w:val="00644A1D"/>
    <w:rsid w:val="00644C33"/>
    <w:rsid w:val="00644D71"/>
    <w:rsid w:val="00644F19"/>
    <w:rsid w:val="00644F5E"/>
    <w:rsid w:val="00644F6C"/>
    <w:rsid w:val="00645291"/>
    <w:rsid w:val="0064531E"/>
    <w:rsid w:val="0064543B"/>
    <w:rsid w:val="00645484"/>
    <w:rsid w:val="00645555"/>
    <w:rsid w:val="0064561A"/>
    <w:rsid w:val="0064569D"/>
    <w:rsid w:val="00645756"/>
    <w:rsid w:val="0064585B"/>
    <w:rsid w:val="006458C2"/>
    <w:rsid w:val="006459DF"/>
    <w:rsid w:val="00645C07"/>
    <w:rsid w:val="00645F28"/>
    <w:rsid w:val="00645FC1"/>
    <w:rsid w:val="0064610D"/>
    <w:rsid w:val="006461A7"/>
    <w:rsid w:val="00646237"/>
    <w:rsid w:val="00646269"/>
    <w:rsid w:val="006462A2"/>
    <w:rsid w:val="006464B9"/>
    <w:rsid w:val="006464DF"/>
    <w:rsid w:val="006465F0"/>
    <w:rsid w:val="00646626"/>
    <w:rsid w:val="00646635"/>
    <w:rsid w:val="00646660"/>
    <w:rsid w:val="0064678E"/>
    <w:rsid w:val="0064681E"/>
    <w:rsid w:val="0064683C"/>
    <w:rsid w:val="00646909"/>
    <w:rsid w:val="006469D6"/>
    <w:rsid w:val="00646AF3"/>
    <w:rsid w:val="00646C55"/>
    <w:rsid w:val="00646DB7"/>
    <w:rsid w:val="00646F2B"/>
    <w:rsid w:val="0064719C"/>
    <w:rsid w:val="006471A7"/>
    <w:rsid w:val="00647318"/>
    <w:rsid w:val="00647460"/>
    <w:rsid w:val="00647503"/>
    <w:rsid w:val="006475D3"/>
    <w:rsid w:val="006476CF"/>
    <w:rsid w:val="006477CE"/>
    <w:rsid w:val="0064781D"/>
    <w:rsid w:val="00647903"/>
    <w:rsid w:val="00647939"/>
    <w:rsid w:val="00647ACA"/>
    <w:rsid w:val="00647B78"/>
    <w:rsid w:val="00647C94"/>
    <w:rsid w:val="00647CDC"/>
    <w:rsid w:val="00647DA8"/>
    <w:rsid w:val="00647EAC"/>
    <w:rsid w:val="00647FA8"/>
    <w:rsid w:val="0064F3F0"/>
    <w:rsid w:val="0065001B"/>
    <w:rsid w:val="00650030"/>
    <w:rsid w:val="00650035"/>
    <w:rsid w:val="006502E2"/>
    <w:rsid w:val="0065035F"/>
    <w:rsid w:val="006503CE"/>
    <w:rsid w:val="00650457"/>
    <w:rsid w:val="00650926"/>
    <w:rsid w:val="00650ADF"/>
    <w:rsid w:val="00650B47"/>
    <w:rsid w:val="00650B62"/>
    <w:rsid w:val="00650C3C"/>
    <w:rsid w:val="00650CAE"/>
    <w:rsid w:val="00650E68"/>
    <w:rsid w:val="00650F1F"/>
    <w:rsid w:val="00650F6D"/>
    <w:rsid w:val="0065129F"/>
    <w:rsid w:val="006512EE"/>
    <w:rsid w:val="0065162A"/>
    <w:rsid w:val="0065180A"/>
    <w:rsid w:val="006518B5"/>
    <w:rsid w:val="00651B31"/>
    <w:rsid w:val="00651B40"/>
    <w:rsid w:val="00651BA7"/>
    <w:rsid w:val="00651C75"/>
    <w:rsid w:val="00651D46"/>
    <w:rsid w:val="00651FB4"/>
    <w:rsid w:val="0065205A"/>
    <w:rsid w:val="00652104"/>
    <w:rsid w:val="00652128"/>
    <w:rsid w:val="00652154"/>
    <w:rsid w:val="0065217A"/>
    <w:rsid w:val="006524E1"/>
    <w:rsid w:val="0065268A"/>
    <w:rsid w:val="00652786"/>
    <w:rsid w:val="00652A5C"/>
    <w:rsid w:val="00652AC5"/>
    <w:rsid w:val="00652B24"/>
    <w:rsid w:val="00652B2D"/>
    <w:rsid w:val="00652BB1"/>
    <w:rsid w:val="00652C5B"/>
    <w:rsid w:val="00652EC5"/>
    <w:rsid w:val="00652F15"/>
    <w:rsid w:val="0065333C"/>
    <w:rsid w:val="006534CE"/>
    <w:rsid w:val="006535C8"/>
    <w:rsid w:val="0065364A"/>
    <w:rsid w:val="006537C9"/>
    <w:rsid w:val="006538DE"/>
    <w:rsid w:val="006538E7"/>
    <w:rsid w:val="00653956"/>
    <w:rsid w:val="00653963"/>
    <w:rsid w:val="0065399F"/>
    <w:rsid w:val="00653A50"/>
    <w:rsid w:val="00653A87"/>
    <w:rsid w:val="00653BD8"/>
    <w:rsid w:val="00653EBD"/>
    <w:rsid w:val="006540B5"/>
    <w:rsid w:val="00654119"/>
    <w:rsid w:val="006541C1"/>
    <w:rsid w:val="006542D7"/>
    <w:rsid w:val="006542EC"/>
    <w:rsid w:val="0065432F"/>
    <w:rsid w:val="00654403"/>
    <w:rsid w:val="00654688"/>
    <w:rsid w:val="006546C5"/>
    <w:rsid w:val="0065483C"/>
    <w:rsid w:val="00654855"/>
    <w:rsid w:val="006548F5"/>
    <w:rsid w:val="00654B9A"/>
    <w:rsid w:val="00655084"/>
    <w:rsid w:val="006550A9"/>
    <w:rsid w:val="006550C4"/>
    <w:rsid w:val="0065513C"/>
    <w:rsid w:val="00655252"/>
    <w:rsid w:val="006552B4"/>
    <w:rsid w:val="006553B2"/>
    <w:rsid w:val="0065544F"/>
    <w:rsid w:val="006554DC"/>
    <w:rsid w:val="006557AB"/>
    <w:rsid w:val="006557EC"/>
    <w:rsid w:val="0065590E"/>
    <w:rsid w:val="00655D5C"/>
    <w:rsid w:val="00655E12"/>
    <w:rsid w:val="00655F0E"/>
    <w:rsid w:val="00655FB2"/>
    <w:rsid w:val="00656011"/>
    <w:rsid w:val="0065606A"/>
    <w:rsid w:val="0065606E"/>
    <w:rsid w:val="00656132"/>
    <w:rsid w:val="00656148"/>
    <w:rsid w:val="006561B7"/>
    <w:rsid w:val="006561DD"/>
    <w:rsid w:val="0065623D"/>
    <w:rsid w:val="0065623F"/>
    <w:rsid w:val="006562D6"/>
    <w:rsid w:val="006563C6"/>
    <w:rsid w:val="00656401"/>
    <w:rsid w:val="0065647C"/>
    <w:rsid w:val="0065662C"/>
    <w:rsid w:val="00656632"/>
    <w:rsid w:val="0065667F"/>
    <w:rsid w:val="0065669F"/>
    <w:rsid w:val="0065687E"/>
    <w:rsid w:val="00656902"/>
    <w:rsid w:val="006569C3"/>
    <w:rsid w:val="00657102"/>
    <w:rsid w:val="0065716D"/>
    <w:rsid w:val="00657297"/>
    <w:rsid w:val="006572D5"/>
    <w:rsid w:val="0065732F"/>
    <w:rsid w:val="0065738A"/>
    <w:rsid w:val="0065746B"/>
    <w:rsid w:val="00657512"/>
    <w:rsid w:val="006575D6"/>
    <w:rsid w:val="00657709"/>
    <w:rsid w:val="00657716"/>
    <w:rsid w:val="0065792E"/>
    <w:rsid w:val="006579B4"/>
    <w:rsid w:val="00657A66"/>
    <w:rsid w:val="00657B12"/>
    <w:rsid w:val="00657C3D"/>
    <w:rsid w:val="00657E4C"/>
    <w:rsid w:val="00657EFC"/>
    <w:rsid w:val="00657F43"/>
    <w:rsid w:val="0065A8DD"/>
    <w:rsid w:val="0065E0B5"/>
    <w:rsid w:val="0065EED9"/>
    <w:rsid w:val="0066024B"/>
    <w:rsid w:val="00660367"/>
    <w:rsid w:val="00660560"/>
    <w:rsid w:val="006605AF"/>
    <w:rsid w:val="006605B0"/>
    <w:rsid w:val="006607E5"/>
    <w:rsid w:val="006607F1"/>
    <w:rsid w:val="006608CB"/>
    <w:rsid w:val="006609E8"/>
    <w:rsid w:val="00660C03"/>
    <w:rsid w:val="00660E68"/>
    <w:rsid w:val="00660F88"/>
    <w:rsid w:val="00661079"/>
    <w:rsid w:val="00661176"/>
    <w:rsid w:val="006611D5"/>
    <w:rsid w:val="00661566"/>
    <w:rsid w:val="006615A2"/>
    <w:rsid w:val="006615F1"/>
    <w:rsid w:val="0066161C"/>
    <w:rsid w:val="00661647"/>
    <w:rsid w:val="00661735"/>
    <w:rsid w:val="0066184C"/>
    <w:rsid w:val="006618B1"/>
    <w:rsid w:val="00661ADD"/>
    <w:rsid w:val="00661B5D"/>
    <w:rsid w:val="00661C81"/>
    <w:rsid w:val="00661FD5"/>
    <w:rsid w:val="00662059"/>
    <w:rsid w:val="006621EC"/>
    <w:rsid w:val="00662425"/>
    <w:rsid w:val="006625A4"/>
    <w:rsid w:val="00662600"/>
    <w:rsid w:val="006626C3"/>
    <w:rsid w:val="00662731"/>
    <w:rsid w:val="00662768"/>
    <w:rsid w:val="00662847"/>
    <w:rsid w:val="006629AF"/>
    <w:rsid w:val="00662D98"/>
    <w:rsid w:val="00662DAE"/>
    <w:rsid w:val="00662E32"/>
    <w:rsid w:val="00662F71"/>
    <w:rsid w:val="00663030"/>
    <w:rsid w:val="00663203"/>
    <w:rsid w:val="006632C2"/>
    <w:rsid w:val="0066351C"/>
    <w:rsid w:val="00663667"/>
    <w:rsid w:val="0066382F"/>
    <w:rsid w:val="00663962"/>
    <w:rsid w:val="006639DD"/>
    <w:rsid w:val="006639E2"/>
    <w:rsid w:val="00663A68"/>
    <w:rsid w:val="00663B7E"/>
    <w:rsid w:val="00663CA8"/>
    <w:rsid w:val="00663CC3"/>
    <w:rsid w:val="00663DE9"/>
    <w:rsid w:val="006641C9"/>
    <w:rsid w:val="00664648"/>
    <w:rsid w:val="0066465A"/>
    <w:rsid w:val="00664870"/>
    <w:rsid w:val="00664982"/>
    <w:rsid w:val="00664C89"/>
    <w:rsid w:val="00664C98"/>
    <w:rsid w:val="00664CAF"/>
    <w:rsid w:val="00664D75"/>
    <w:rsid w:val="00664DD2"/>
    <w:rsid w:val="00664EC6"/>
    <w:rsid w:val="00664F3B"/>
    <w:rsid w:val="00664FDF"/>
    <w:rsid w:val="00665056"/>
    <w:rsid w:val="00665116"/>
    <w:rsid w:val="00665182"/>
    <w:rsid w:val="006651C4"/>
    <w:rsid w:val="0066526D"/>
    <w:rsid w:val="006653DE"/>
    <w:rsid w:val="00665442"/>
    <w:rsid w:val="00665467"/>
    <w:rsid w:val="006654A4"/>
    <w:rsid w:val="006654C4"/>
    <w:rsid w:val="00665570"/>
    <w:rsid w:val="00665621"/>
    <w:rsid w:val="0066568E"/>
    <w:rsid w:val="006657D3"/>
    <w:rsid w:val="00665A95"/>
    <w:rsid w:val="00665A9A"/>
    <w:rsid w:val="00665C54"/>
    <w:rsid w:val="00665CEE"/>
    <w:rsid w:val="00665F2F"/>
    <w:rsid w:val="00665F9D"/>
    <w:rsid w:val="006661BD"/>
    <w:rsid w:val="00666436"/>
    <w:rsid w:val="006664C8"/>
    <w:rsid w:val="00666525"/>
    <w:rsid w:val="00666654"/>
    <w:rsid w:val="006666F9"/>
    <w:rsid w:val="00666991"/>
    <w:rsid w:val="006669B5"/>
    <w:rsid w:val="006669B8"/>
    <w:rsid w:val="006669E0"/>
    <w:rsid w:val="00666AF3"/>
    <w:rsid w:val="00666BAE"/>
    <w:rsid w:val="00666BBC"/>
    <w:rsid w:val="00666D2F"/>
    <w:rsid w:val="00666DE7"/>
    <w:rsid w:val="00667053"/>
    <w:rsid w:val="0066709E"/>
    <w:rsid w:val="006670AA"/>
    <w:rsid w:val="006670AF"/>
    <w:rsid w:val="006670F1"/>
    <w:rsid w:val="00667259"/>
    <w:rsid w:val="00667300"/>
    <w:rsid w:val="00667307"/>
    <w:rsid w:val="006676C3"/>
    <w:rsid w:val="006676DD"/>
    <w:rsid w:val="00667916"/>
    <w:rsid w:val="00667C1A"/>
    <w:rsid w:val="00667CD9"/>
    <w:rsid w:val="00667DAB"/>
    <w:rsid w:val="00667E7B"/>
    <w:rsid w:val="00667F76"/>
    <w:rsid w:val="00667FEE"/>
    <w:rsid w:val="0067021F"/>
    <w:rsid w:val="0067030A"/>
    <w:rsid w:val="0067048E"/>
    <w:rsid w:val="006706D0"/>
    <w:rsid w:val="00670C64"/>
    <w:rsid w:val="00670DE0"/>
    <w:rsid w:val="00670EF2"/>
    <w:rsid w:val="006711DE"/>
    <w:rsid w:val="006712E0"/>
    <w:rsid w:val="006712FF"/>
    <w:rsid w:val="00671310"/>
    <w:rsid w:val="0067138C"/>
    <w:rsid w:val="00671435"/>
    <w:rsid w:val="00671495"/>
    <w:rsid w:val="0067153A"/>
    <w:rsid w:val="00671567"/>
    <w:rsid w:val="0067158C"/>
    <w:rsid w:val="006715AB"/>
    <w:rsid w:val="006715FD"/>
    <w:rsid w:val="00671707"/>
    <w:rsid w:val="006717D9"/>
    <w:rsid w:val="006718BE"/>
    <w:rsid w:val="00671AB9"/>
    <w:rsid w:val="00671B51"/>
    <w:rsid w:val="00671C32"/>
    <w:rsid w:val="00671C99"/>
    <w:rsid w:val="00671D7A"/>
    <w:rsid w:val="00671E1C"/>
    <w:rsid w:val="00671F16"/>
    <w:rsid w:val="00671FDD"/>
    <w:rsid w:val="00672023"/>
    <w:rsid w:val="00672045"/>
    <w:rsid w:val="00672056"/>
    <w:rsid w:val="00672167"/>
    <w:rsid w:val="00672192"/>
    <w:rsid w:val="0067225E"/>
    <w:rsid w:val="0067234C"/>
    <w:rsid w:val="00672567"/>
    <w:rsid w:val="00672581"/>
    <w:rsid w:val="00672599"/>
    <w:rsid w:val="006727B9"/>
    <w:rsid w:val="006728AE"/>
    <w:rsid w:val="006729DB"/>
    <w:rsid w:val="00672BBA"/>
    <w:rsid w:val="00672CD2"/>
    <w:rsid w:val="00672E3B"/>
    <w:rsid w:val="00672EF4"/>
    <w:rsid w:val="00672F02"/>
    <w:rsid w:val="00672F3F"/>
    <w:rsid w:val="00672FF4"/>
    <w:rsid w:val="00673092"/>
    <w:rsid w:val="00673130"/>
    <w:rsid w:val="006731C0"/>
    <w:rsid w:val="006731C9"/>
    <w:rsid w:val="00673497"/>
    <w:rsid w:val="0067351B"/>
    <w:rsid w:val="006736B7"/>
    <w:rsid w:val="0067396E"/>
    <w:rsid w:val="006739E5"/>
    <w:rsid w:val="00673A36"/>
    <w:rsid w:val="00673AA0"/>
    <w:rsid w:val="00673BFE"/>
    <w:rsid w:val="00673DC6"/>
    <w:rsid w:val="00673E34"/>
    <w:rsid w:val="00674062"/>
    <w:rsid w:val="0067406A"/>
    <w:rsid w:val="0067415D"/>
    <w:rsid w:val="00674260"/>
    <w:rsid w:val="0067468F"/>
    <w:rsid w:val="006746F1"/>
    <w:rsid w:val="006747FC"/>
    <w:rsid w:val="00674941"/>
    <w:rsid w:val="00674983"/>
    <w:rsid w:val="00674A86"/>
    <w:rsid w:val="00674AEF"/>
    <w:rsid w:val="00674BFE"/>
    <w:rsid w:val="00674CAA"/>
    <w:rsid w:val="00674E2C"/>
    <w:rsid w:val="00674E41"/>
    <w:rsid w:val="00674FC4"/>
    <w:rsid w:val="0067502F"/>
    <w:rsid w:val="00675170"/>
    <w:rsid w:val="006751E1"/>
    <w:rsid w:val="006754D7"/>
    <w:rsid w:val="00675720"/>
    <w:rsid w:val="006757E9"/>
    <w:rsid w:val="006759E1"/>
    <w:rsid w:val="00675A35"/>
    <w:rsid w:val="00675A55"/>
    <w:rsid w:val="00675BFB"/>
    <w:rsid w:val="00675CB0"/>
    <w:rsid w:val="00675D34"/>
    <w:rsid w:val="00675D5E"/>
    <w:rsid w:val="00675F51"/>
    <w:rsid w:val="0067607B"/>
    <w:rsid w:val="00676187"/>
    <w:rsid w:val="006761D1"/>
    <w:rsid w:val="00676355"/>
    <w:rsid w:val="006765B0"/>
    <w:rsid w:val="00676605"/>
    <w:rsid w:val="00676666"/>
    <w:rsid w:val="006766DB"/>
    <w:rsid w:val="00676715"/>
    <w:rsid w:val="00676845"/>
    <w:rsid w:val="006768EA"/>
    <w:rsid w:val="00676960"/>
    <w:rsid w:val="00676966"/>
    <w:rsid w:val="006769B1"/>
    <w:rsid w:val="00676B84"/>
    <w:rsid w:val="00677076"/>
    <w:rsid w:val="0067712B"/>
    <w:rsid w:val="006771B7"/>
    <w:rsid w:val="00677245"/>
    <w:rsid w:val="00677261"/>
    <w:rsid w:val="00677535"/>
    <w:rsid w:val="00677552"/>
    <w:rsid w:val="0067776A"/>
    <w:rsid w:val="006777A5"/>
    <w:rsid w:val="0067789F"/>
    <w:rsid w:val="006778D9"/>
    <w:rsid w:val="00677912"/>
    <w:rsid w:val="00677BB5"/>
    <w:rsid w:val="00677D61"/>
    <w:rsid w:val="0068016D"/>
    <w:rsid w:val="006801A2"/>
    <w:rsid w:val="006801C2"/>
    <w:rsid w:val="006801C4"/>
    <w:rsid w:val="0068025E"/>
    <w:rsid w:val="00680300"/>
    <w:rsid w:val="006803F4"/>
    <w:rsid w:val="0068041F"/>
    <w:rsid w:val="0068042E"/>
    <w:rsid w:val="0068055C"/>
    <w:rsid w:val="00680681"/>
    <w:rsid w:val="0068070B"/>
    <w:rsid w:val="00680816"/>
    <w:rsid w:val="006808C8"/>
    <w:rsid w:val="006809FD"/>
    <w:rsid w:val="00681344"/>
    <w:rsid w:val="0068140E"/>
    <w:rsid w:val="00681421"/>
    <w:rsid w:val="00681500"/>
    <w:rsid w:val="0068151C"/>
    <w:rsid w:val="0068167B"/>
    <w:rsid w:val="00681761"/>
    <w:rsid w:val="00681768"/>
    <w:rsid w:val="006817DF"/>
    <w:rsid w:val="00681B08"/>
    <w:rsid w:val="00681B3D"/>
    <w:rsid w:val="00681CAD"/>
    <w:rsid w:val="00681E20"/>
    <w:rsid w:val="00681E50"/>
    <w:rsid w:val="00681F29"/>
    <w:rsid w:val="00681F84"/>
    <w:rsid w:val="0068206A"/>
    <w:rsid w:val="006823BF"/>
    <w:rsid w:val="006823FB"/>
    <w:rsid w:val="0068249A"/>
    <w:rsid w:val="006824D9"/>
    <w:rsid w:val="0068265D"/>
    <w:rsid w:val="0068271D"/>
    <w:rsid w:val="006828F5"/>
    <w:rsid w:val="00682A27"/>
    <w:rsid w:val="00682AE8"/>
    <w:rsid w:val="00682BB2"/>
    <w:rsid w:val="00682D22"/>
    <w:rsid w:val="00682E07"/>
    <w:rsid w:val="00682E0B"/>
    <w:rsid w:val="00682EA6"/>
    <w:rsid w:val="00682F74"/>
    <w:rsid w:val="00682F86"/>
    <w:rsid w:val="00682FE4"/>
    <w:rsid w:val="006831D4"/>
    <w:rsid w:val="00683201"/>
    <w:rsid w:val="0068325B"/>
    <w:rsid w:val="006832E2"/>
    <w:rsid w:val="006833ED"/>
    <w:rsid w:val="00683441"/>
    <w:rsid w:val="006835F5"/>
    <w:rsid w:val="0068364D"/>
    <w:rsid w:val="00683A13"/>
    <w:rsid w:val="00683A37"/>
    <w:rsid w:val="00683A96"/>
    <w:rsid w:val="00683AFA"/>
    <w:rsid w:val="00683BE4"/>
    <w:rsid w:val="00683CDD"/>
    <w:rsid w:val="00683CEE"/>
    <w:rsid w:val="00683EE3"/>
    <w:rsid w:val="00683FBF"/>
    <w:rsid w:val="006840D9"/>
    <w:rsid w:val="00684195"/>
    <w:rsid w:val="0068421F"/>
    <w:rsid w:val="00684238"/>
    <w:rsid w:val="0068424F"/>
    <w:rsid w:val="006842ED"/>
    <w:rsid w:val="0068441E"/>
    <w:rsid w:val="00684612"/>
    <w:rsid w:val="00684635"/>
    <w:rsid w:val="006847CF"/>
    <w:rsid w:val="006848AE"/>
    <w:rsid w:val="0068499D"/>
    <w:rsid w:val="006849ED"/>
    <w:rsid w:val="00684E87"/>
    <w:rsid w:val="00685006"/>
    <w:rsid w:val="00685074"/>
    <w:rsid w:val="006851A3"/>
    <w:rsid w:val="006851BF"/>
    <w:rsid w:val="0068536D"/>
    <w:rsid w:val="00685371"/>
    <w:rsid w:val="00685606"/>
    <w:rsid w:val="00685660"/>
    <w:rsid w:val="0068569C"/>
    <w:rsid w:val="00685A52"/>
    <w:rsid w:val="00685A9A"/>
    <w:rsid w:val="00685AFC"/>
    <w:rsid w:val="00685D66"/>
    <w:rsid w:val="00685E52"/>
    <w:rsid w:val="00685E94"/>
    <w:rsid w:val="00685F96"/>
    <w:rsid w:val="006863FB"/>
    <w:rsid w:val="00686425"/>
    <w:rsid w:val="0068649A"/>
    <w:rsid w:val="00686553"/>
    <w:rsid w:val="0068674F"/>
    <w:rsid w:val="00686828"/>
    <w:rsid w:val="00686A93"/>
    <w:rsid w:val="00686AA4"/>
    <w:rsid w:val="00686B59"/>
    <w:rsid w:val="00686B76"/>
    <w:rsid w:val="00686DC9"/>
    <w:rsid w:val="00686DE5"/>
    <w:rsid w:val="00686E7E"/>
    <w:rsid w:val="00686E88"/>
    <w:rsid w:val="00686F02"/>
    <w:rsid w:val="00686F32"/>
    <w:rsid w:val="00686F44"/>
    <w:rsid w:val="00686FC8"/>
    <w:rsid w:val="00687075"/>
    <w:rsid w:val="00687089"/>
    <w:rsid w:val="00687454"/>
    <w:rsid w:val="00687553"/>
    <w:rsid w:val="006877B2"/>
    <w:rsid w:val="0068796D"/>
    <w:rsid w:val="00687BC3"/>
    <w:rsid w:val="00687DD3"/>
    <w:rsid w:val="00687E47"/>
    <w:rsid w:val="00690016"/>
    <w:rsid w:val="006900CD"/>
    <w:rsid w:val="0069040C"/>
    <w:rsid w:val="006904C8"/>
    <w:rsid w:val="00690503"/>
    <w:rsid w:val="0069063B"/>
    <w:rsid w:val="00690976"/>
    <w:rsid w:val="006909C5"/>
    <w:rsid w:val="00690D51"/>
    <w:rsid w:val="00690D8F"/>
    <w:rsid w:val="00690EFB"/>
    <w:rsid w:val="00690F72"/>
    <w:rsid w:val="00690FBB"/>
    <w:rsid w:val="00691019"/>
    <w:rsid w:val="0069114E"/>
    <w:rsid w:val="006911A6"/>
    <w:rsid w:val="006911C9"/>
    <w:rsid w:val="0069134C"/>
    <w:rsid w:val="0069148C"/>
    <w:rsid w:val="0069156E"/>
    <w:rsid w:val="00691695"/>
    <w:rsid w:val="0069175E"/>
    <w:rsid w:val="0069192F"/>
    <w:rsid w:val="00691938"/>
    <w:rsid w:val="00691961"/>
    <w:rsid w:val="00691A67"/>
    <w:rsid w:val="00691B3F"/>
    <w:rsid w:val="00691E2D"/>
    <w:rsid w:val="00691EF0"/>
    <w:rsid w:val="00691F08"/>
    <w:rsid w:val="006922E1"/>
    <w:rsid w:val="0069233E"/>
    <w:rsid w:val="006928C2"/>
    <w:rsid w:val="0069294D"/>
    <w:rsid w:val="00692A07"/>
    <w:rsid w:val="00692A7D"/>
    <w:rsid w:val="00692BB3"/>
    <w:rsid w:val="00692ECC"/>
    <w:rsid w:val="00692FD2"/>
    <w:rsid w:val="00693021"/>
    <w:rsid w:val="0069305D"/>
    <w:rsid w:val="006932C1"/>
    <w:rsid w:val="00693446"/>
    <w:rsid w:val="0069346B"/>
    <w:rsid w:val="006937D8"/>
    <w:rsid w:val="00693834"/>
    <w:rsid w:val="006938E2"/>
    <w:rsid w:val="0069395A"/>
    <w:rsid w:val="00693984"/>
    <w:rsid w:val="00693B2D"/>
    <w:rsid w:val="00693B99"/>
    <w:rsid w:val="00694042"/>
    <w:rsid w:val="00694044"/>
    <w:rsid w:val="00694116"/>
    <w:rsid w:val="0069439D"/>
    <w:rsid w:val="006944CF"/>
    <w:rsid w:val="006944E0"/>
    <w:rsid w:val="006944E3"/>
    <w:rsid w:val="006945A0"/>
    <w:rsid w:val="00694606"/>
    <w:rsid w:val="00694749"/>
    <w:rsid w:val="006947D3"/>
    <w:rsid w:val="006949E1"/>
    <w:rsid w:val="00694AF9"/>
    <w:rsid w:val="00694B8E"/>
    <w:rsid w:val="0069523E"/>
    <w:rsid w:val="00695463"/>
    <w:rsid w:val="006955E6"/>
    <w:rsid w:val="0069583E"/>
    <w:rsid w:val="006958EC"/>
    <w:rsid w:val="00695983"/>
    <w:rsid w:val="006959E6"/>
    <w:rsid w:val="00695ACE"/>
    <w:rsid w:val="00695C10"/>
    <w:rsid w:val="00695ED0"/>
    <w:rsid w:val="00695F70"/>
    <w:rsid w:val="00696112"/>
    <w:rsid w:val="006961B0"/>
    <w:rsid w:val="006961C2"/>
    <w:rsid w:val="0069620E"/>
    <w:rsid w:val="00696464"/>
    <w:rsid w:val="006964C2"/>
    <w:rsid w:val="006965A2"/>
    <w:rsid w:val="0069668B"/>
    <w:rsid w:val="00696715"/>
    <w:rsid w:val="00696B2D"/>
    <w:rsid w:val="00696D15"/>
    <w:rsid w:val="00696E75"/>
    <w:rsid w:val="00696ECB"/>
    <w:rsid w:val="00696F4C"/>
    <w:rsid w:val="00696F8A"/>
    <w:rsid w:val="00697004"/>
    <w:rsid w:val="0069711F"/>
    <w:rsid w:val="00697124"/>
    <w:rsid w:val="00697126"/>
    <w:rsid w:val="006971BB"/>
    <w:rsid w:val="006971CF"/>
    <w:rsid w:val="006972AF"/>
    <w:rsid w:val="00697380"/>
    <w:rsid w:val="00697411"/>
    <w:rsid w:val="00697417"/>
    <w:rsid w:val="00697461"/>
    <w:rsid w:val="00697467"/>
    <w:rsid w:val="00697657"/>
    <w:rsid w:val="006976D3"/>
    <w:rsid w:val="006976E6"/>
    <w:rsid w:val="00697741"/>
    <w:rsid w:val="006977E2"/>
    <w:rsid w:val="006979C9"/>
    <w:rsid w:val="00697B50"/>
    <w:rsid w:val="00697BBF"/>
    <w:rsid w:val="00697D42"/>
    <w:rsid w:val="00697E0F"/>
    <w:rsid w:val="006A0316"/>
    <w:rsid w:val="006A04E0"/>
    <w:rsid w:val="006A0535"/>
    <w:rsid w:val="006A066A"/>
    <w:rsid w:val="006A07F7"/>
    <w:rsid w:val="006A081E"/>
    <w:rsid w:val="006A0967"/>
    <w:rsid w:val="006A0A67"/>
    <w:rsid w:val="006A0A71"/>
    <w:rsid w:val="006A0AB1"/>
    <w:rsid w:val="006A0CFF"/>
    <w:rsid w:val="006A0D54"/>
    <w:rsid w:val="006A0DA1"/>
    <w:rsid w:val="006A0DA8"/>
    <w:rsid w:val="006A0EAE"/>
    <w:rsid w:val="006A0EDB"/>
    <w:rsid w:val="006A1036"/>
    <w:rsid w:val="006A1051"/>
    <w:rsid w:val="006A10A2"/>
    <w:rsid w:val="006A10E5"/>
    <w:rsid w:val="006A12B5"/>
    <w:rsid w:val="006A14B2"/>
    <w:rsid w:val="006A14C0"/>
    <w:rsid w:val="006A151E"/>
    <w:rsid w:val="006A153D"/>
    <w:rsid w:val="006A177F"/>
    <w:rsid w:val="006A17EA"/>
    <w:rsid w:val="006A1856"/>
    <w:rsid w:val="006A18C3"/>
    <w:rsid w:val="006A1A1A"/>
    <w:rsid w:val="006A1BE3"/>
    <w:rsid w:val="006A1FBE"/>
    <w:rsid w:val="006A1FDF"/>
    <w:rsid w:val="006A21FE"/>
    <w:rsid w:val="006A2423"/>
    <w:rsid w:val="006A2583"/>
    <w:rsid w:val="006A2626"/>
    <w:rsid w:val="006A26BD"/>
    <w:rsid w:val="006A2716"/>
    <w:rsid w:val="006A277B"/>
    <w:rsid w:val="006A278D"/>
    <w:rsid w:val="006A29A4"/>
    <w:rsid w:val="006A2A13"/>
    <w:rsid w:val="006A2A39"/>
    <w:rsid w:val="006A2C6F"/>
    <w:rsid w:val="006A2CCD"/>
    <w:rsid w:val="006A2CFB"/>
    <w:rsid w:val="006A2D0B"/>
    <w:rsid w:val="006A2E64"/>
    <w:rsid w:val="006A2ECA"/>
    <w:rsid w:val="006A2F29"/>
    <w:rsid w:val="006A2F6B"/>
    <w:rsid w:val="006A30FD"/>
    <w:rsid w:val="006A31A1"/>
    <w:rsid w:val="006A34C6"/>
    <w:rsid w:val="006A3507"/>
    <w:rsid w:val="006A35A1"/>
    <w:rsid w:val="006A3692"/>
    <w:rsid w:val="006A378B"/>
    <w:rsid w:val="006A37CE"/>
    <w:rsid w:val="006A3830"/>
    <w:rsid w:val="006A383F"/>
    <w:rsid w:val="006A3952"/>
    <w:rsid w:val="006A3991"/>
    <w:rsid w:val="006A3994"/>
    <w:rsid w:val="006A39D4"/>
    <w:rsid w:val="006A3A71"/>
    <w:rsid w:val="006A3BD3"/>
    <w:rsid w:val="006A3CAF"/>
    <w:rsid w:val="006A3ED0"/>
    <w:rsid w:val="006A4025"/>
    <w:rsid w:val="006A4154"/>
    <w:rsid w:val="006A41D5"/>
    <w:rsid w:val="006A420A"/>
    <w:rsid w:val="006A428B"/>
    <w:rsid w:val="006A451C"/>
    <w:rsid w:val="006A465B"/>
    <w:rsid w:val="006A46FC"/>
    <w:rsid w:val="006A46FD"/>
    <w:rsid w:val="006A485F"/>
    <w:rsid w:val="006A4982"/>
    <w:rsid w:val="006A4B60"/>
    <w:rsid w:val="006A4C19"/>
    <w:rsid w:val="006A4CF6"/>
    <w:rsid w:val="006A4D9B"/>
    <w:rsid w:val="006A4DD7"/>
    <w:rsid w:val="006A4EE8"/>
    <w:rsid w:val="006A4F91"/>
    <w:rsid w:val="006A515C"/>
    <w:rsid w:val="006A525C"/>
    <w:rsid w:val="006A5312"/>
    <w:rsid w:val="006A5372"/>
    <w:rsid w:val="006A54D8"/>
    <w:rsid w:val="006A55D7"/>
    <w:rsid w:val="006A5680"/>
    <w:rsid w:val="006A5707"/>
    <w:rsid w:val="006A5742"/>
    <w:rsid w:val="006A58EF"/>
    <w:rsid w:val="006A5A29"/>
    <w:rsid w:val="006A5B34"/>
    <w:rsid w:val="006A5C58"/>
    <w:rsid w:val="006A5C5C"/>
    <w:rsid w:val="006A5CF9"/>
    <w:rsid w:val="006A5DF8"/>
    <w:rsid w:val="006A6110"/>
    <w:rsid w:val="006A61C9"/>
    <w:rsid w:val="006A6389"/>
    <w:rsid w:val="006A6409"/>
    <w:rsid w:val="006A6518"/>
    <w:rsid w:val="006A67A3"/>
    <w:rsid w:val="006A68F1"/>
    <w:rsid w:val="006A6922"/>
    <w:rsid w:val="006A6AF2"/>
    <w:rsid w:val="006A6BDF"/>
    <w:rsid w:val="006A6CF9"/>
    <w:rsid w:val="006A6DA1"/>
    <w:rsid w:val="006A6E84"/>
    <w:rsid w:val="006A7087"/>
    <w:rsid w:val="006A7096"/>
    <w:rsid w:val="006A711F"/>
    <w:rsid w:val="006A7239"/>
    <w:rsid w:val="006A726E"/>
    <w:rsid w:val="006A73E8"/>
    <w:rsid w:val="006A7547"/>
    <w:rsid w:val="006A75E4"/>
    <w:rsid w:val="006A772E"/>
    <w:rsid w:val="006A77AD"/>
    <w:rsid w:val="006A77DD"/>
    <w:rsid w:val="006A78ED"/>
    <w:rsid w:val="006A78F8"/>
    <w:rsid w:val="006A793A"/>
    <w:rsid w:val="006A79F5"/>
    <w:rsid w:val="006A7D1D"/>
    <w:rsid w:val="006A7E44"/>
    <w:rsid w:val="006A7F89"/>
    <w:rsid w:val="006A7FC4"/>
    <w:rsid w:val="006B0208"/>
    <w:rsid w:val="006B03F0"/>
    <w:rsid w:val="006B042A"/>
    <w:rsid w:val="006B0441"/>
    <w:rsid w:val="006B068F"/>
    <w:rsid w:val="006B072D"/>
    <w:rsid w:val="006B080C"/>
    <w:rsid w:val="006B0AED"/>
    <w:rsid w:val="006B0B0E"/>
    <w:rsid w:val="006B0CF8"/>
    <w:rsid w:val="006B0D04"/>
    <w:rsid w:val="006B0D42"/>
    <w:rsid w:val="006B0D7F"/>
    <w:rsid w:val="006B0DE7"/>
    <w:rsid w:val="006B0E5F"/>
    <w:rsid w:val="006B0F33"/>
    <w:rsid w:val="006B13CA"/>
    <w:rsid w:val="006B1463"/>
    <w:rsid w:val="006B14F3"/>
    <w:rsid w:val="006B1703"/>
    <w:rsid w:val="006B1886"/>
    <w:rsid w:val="006B1890"/>
    <w:rsid w:val="006B18CA"/>
    <w:rsid w:val="006B18DA"/>
    <w:rsid w:val="006B1972"/>
    <w:rsid w:val="006B1B42"/>
    <w:rsid w:val="006B2069"/>
    <w:rsid w:val="006B2225"/>
    <w:rsid w:val="006B237B"/>
    <w:rsid w:val="006B2389"/>
    <w:rsid w:val="006B2441"/>
    <w:rsid w:val="006B24B2"/>
    <w:rsid w:val="006B254B"/>
    <w:rsid w:val="006B2592"/>
    <w:rsid w:val="006B263B"/>
    <w:rsid w:val="006B2743"/>
    <w:rsid w:val="006B2B67"/>
    <w:rsid w:val="006B2C37"/>
    <w:rsid w:val="006B2CBD"/>
    <w:rsid w:val="006B2F41"/>
    <w:rsid w:val="006B3034"/>
    <w:rsid w:val="006B31B8"/>
    <w:rsid w:val="006B32B8"/>
    <w:rsid w:val="006B32EB"/>
    <w:rsid w:val="006B338A"/>
    <w:rsid w:val="006B33F9"/>
    <w:rsid w:val="006B34D1"/>
    <w:rsid w:val="006B36B4"/>
    <w:rsid w:val="006B37F4"/>
    <w:rsid w:val="006B392E"/>
    <w:rsid w:val="006B3A17"/>
    <w:rsid w:val="006B3AF4"/>
    <w:rsid w:val="006B3C74"/>
    <w:rsid w:val="006B3E7F"/>
    <w:rsid w:val="006B3F65"/>
    <w:rsid w:val="006B3F79"/>
    <w:rsid w:val="006B403C"/>
    <w:rsid w:val="006B4226"/>
    <w:rsid w:val="006B433F"/>
    <w:rsid w:val="006B435F"/>
    <w:rsid w:val="006B45A2"/>
    <w:rsid w:val="006B4673"/>
    <w:rsid w:val="006B469D"/>
    <w:rsid w:val="006B4796"/>
    <w:rsid w:val="006B484A"/>
    <w:rsid w:val="006B48BB"/>
    <w:rsid w:val="006B4913"/>
    <w:rsid w:val="006B4B5B"/>
    <w:rsid w:val="006B4C0B"/>
    <w:rsid w:val="006B4C65"/>
    <w:rsid w:val="006B4D51"/>
    <w:rsid w:val="006B4EB1"/>
    <w:rsid w:val="006B4ECC"/>
    <w:rsid w:val="006B4F00"/>
    <w:rsid w:val="006B5102"/>
    <w:rsid w:val="006B5173"/>
    <w:rsid w:val="006B51BA"/>
    <w:rsid w:val="006B5277"/>
    <w:rsid w:val="006B529B"/>
    <w:rsid w:val="006B52F9"/>
    <w:rsid w:val="006B54FD"/>
    <w:rsid w:val="006B5579"/>
    <w:rsid w:val="006B55AF"/>
    <w:rsid w:val="006B567E"/>
    <w:rsid w:val="006B5728"/>
    <w:rsid w:val="006B5739"/>
    <w:rsid w:val="006B57D4"/>
    <w:rsid w:val="006B5828"/>
    <w:rsid w:val="006B5A3A"/>
    <w:rsid w:val="006B5C86"/>
    <w:rsid w:val="006B5C9E"/>
    <w:rsid w:val="006B5E4E"/>
    <w:rsid w:val="006B5FDA"/>
    <w:rsid w:val="006B609F"/>
    <w:rsid w:val="006B6212"/>
    <w:rsid w:val="006B6379"/>
    <w:rsid w:val="006B63E3"/>
    <w:rsid w:val="006B6433"/>
    <w:rsid w:val="006B64A6"/>
    <w:rsid w:val="006B654C"/>
    <w:rsid w:val="006B6667"/>
    <w:rsid w:val="006B6739"/>
    <w:rsid w:val="006B69D7"/>
    <w:rsid w:val="006B6BF8"/>
    <w:rsid w:val="006B6C7E"/>
    <w:rsid w:val="006B6D73"/>
    <w:rsid w:val="006B6DC1"/>
    <w:rsid w:val="006B6DCA"/>
    <w:rsid w:val="006B6DFB"/>
    <w:rsid w:val="006B7221"/>
    <w:rsid w:val="006B734D"/>
    <w:rsid w:val="006B73E8"/>
    <w:rsid w:val="006B7587"/>
    <w:rsid w:val="006B7605"/>
    <w:rsid w:val="006B7AD0"/>
    <w:rsid w:val="006B7BA3"/>
    <w:rsid w:val="006B7BB3"/>
    <w:rsid w:val="006B7D8B"/>
    <w:rsid w:val="006B7EDC"/>
    <w:rsid w:val="006BD18F"/>
    <w:rsid w:val="006C00A9"/>
    <w:rsid w:val="006C01C9"/>
    <w:rsid w:val="006C028B"/>
    <w:rsid w:val="006C028C"/>
    <w:rsid w:val="006C0380"/>
    <w:rsid w:val="006C0816"/>
    <w:rsid w:val="006C0990"/>
    <w:rsid w:val="006C09B3"/>
    <w:rsid w:val="006C0A0A"/>
    <w:rsid w:val="006C0A0C"/>
    <w:rsid w:val="006C0A75"/>
    <w:rsid w:val="006C0F68"/>
    <w:rsid w:val="006C0F6F"/>
    <w:rsid w:val="006C113B"/>
    <w:rsid w:val="006C11AC"/>
    <w:rsid w:val="006C12D1"/>
    <w:rsid w:val="006C1373"/>
    <w:rsid w:val="006C13E0"/>
    <w:rsid w:val="006C1433"/>
    <w:rsid w:val="006C14BF"/>
    <w:rsid w:val="006C1B2F"/>
    <w:rsid w:val="006C1B3C"/>
    <w:rsid w:val="006C1BC1"/>
    <w:rsid w:val="006C1DDB"/>
    <w:rsid w:val="006C1E89"/>
    <w:rsid w:val="006C229A"/>
    <w:rsid w:val="006C22F0"/>
    <w:rsid w:val="006C230E"/>
    <w:rsid w:val="006C241A"/>
    <w:rsid w:val="006C2561"/>
    <w:rsid w:val="006C269C"/>
    <w:rsid w:val="006C26D3"/>
    <w:rsid w:val="006C27A7"/>
    <w:rsid w:val="006C2AA5"/>
    <w:rsid w:val="006C2BB5"/>
    <w:rsid w:val="006C2BCB"/>
    <w:rsid w:val="006C2CF8"/>
    <w:rsid w:val="006C2D00"/>
    <w:rsid w:val="006C2D9F"/>
    <w:rsid w:val="006C2DDA"/>
    <w:rsid w:val="006C2DDB"/>
    <w:rsid w:val="006C2E7F"/>
    <w:rsid w:val="006C2E87"/>
    <w:rsid w:val="006C2ED4"/>
    <w:rsid w:val="006C2EF9"/>
    <w:rsid w:val="006C2FC4"/>
    <w:rsid w:val="006C322B"/>
    <w:rsid w:val="006C327A"/>
    <w:rsid w:val="006C339F"/>
    <w:rsid w:val="006C33C5"/>
    <w:rsid w:val="006C363B"/>
    <w:rsid w:val="006C36A5"/>
    <w:rsid w:val="006C3AA5"/>
    <w:rsid w:val="006C3C17"/>
    <w:rsid w:val="006C3D1A"/>
    <w:rsid w:val="006C3D6C"/>
    <w:rsid w:val="006C3D80"/>
    <w:rsid w:val="006C410F"/>
    <w:rsid w:val="006C426C"/>
    <w:rsid w:val="006C42F6"/>
    <w:rsid w:val="006C4375"/>
    <w:rsid w:val="006C453D"/>
    <w:rsid w:val="006C4800"/>
    <w:rsid w:val="006C4898"/>
    <w:rsid w:val="006C48A7"/>
    <w:rsid w:val="006C4A83"/>
    <w:rsid w:val="006C4D42"/>
    <w:rsid w:val="006C4DC7"/>
    <w:rsid w:val="006C4F00"/>
    <w:rsid w:val="006C5148"/>
    <w:rsid w:val="006C51F1"/>
    <w:rsid w:val="006C5221"/>
    <w:rsid w:val="006C5461"/>
    <w:rsid w:val="006C54BD"/>
    <w:rsid w:val="006C5512"/>
    <w:rsid w:val="006C5745"/>
    <w:rsid w:val="006C58C4"/>
    <w:rsid w:val="006C592E"/>
    <w:rsid w:val="006C5983"/>
    <w:rsid w:val="006C59F9"/>
    <w:rsid w:val="006C5B50"/>
    <w:rsid w:val="006C5C33"/>
    <w:rsid w:val="006C5CB0"/>
    <w:rsid w:val="006C5FDB"/>
    <w:rsid w:val="006C6015"/>
    <w:rsid w:val="006C6261"/>
    <w:rsid w:val="006C62CC"/>
    <w:rsid w:val="006C65C0"/>
    <w:rsid w:val="006C6635"/>
    <w:rsid w:val="006C6637"/>
    <w:rsid w:val="006C6709"/>
    <w:rsid w:val="006C675C"/>
    <w:rsid w:val="006C680E"/>
    <w:rsid w:val="006C69C0"/>
    <w:rsid w:val="006C6BD4"/>
    <w:rsid w:val="006C6BDB"/>
    <w:rsid w:val="006C6C74"/>
    <w:rsid w:val="006C6E4D"/>
    <w:rsid w:val="006C70B2"/>
    <w:rsid w:val="006C7322"/>
    <w:rsid w:val="006C7620"/>
    <w:rsid w:val="006C766E"/>
    <w:rsid w:val="006C773F"/>
    <w:rsid w:val="006C7A3C"/>
    <w:rsid w:val="006C7C60"/>
    <w:rsid w:val="006C7E2E"/>
    <w:rsid w:val="006C7E34"/>
    <w:rsid w:val="006C7F64"/>
    <w:rsid w:val="006C7F88"/>
    <w:rsid w:val="006D001D"/>
    <w:rsid w:val="006D00E5"/>
    <w:rsid w:val="006D0194"/>
    <w:rsid w:val="006D01B0"/>
    <w:rsid w:val="006D033C"/>
    <w:rsid w:val="006D053B"/>
    <w:rsid w:val="006D05BF"/>
    <w:rsid w:val="006D0653"/>
    <w:rsid w:val="006D077F"/>
    <w:rsid w:val="006D07E4"/>
    <w:rsid w:val="006D0901"/>
    <w:rsid w:val="006D0954"/>
    <w:rsid w:val="006D0B38"/>
    <w:rsid w:val="006D0BD9"/>
    <w:rsid w:val="006D0F52"/>
    <w:rsid w:val="006D0FD3"/>
    <w:rsid w:val="006D104C"/>
    <w:rsid w:val="006D10C6"/>
    <w:rsid w:val="006D13C7"/>
    <w:rsid w:val="006D1682"/>
    <w:rsid w:val="006D16F0"/>
    <w:rsid w:val="006D17B4"/>
    <w:rsid w:val="006D1979"/>
    <w:rsid w:val="006D19A4"/>
    <w:rsid w:val="006D19B0"/>
    <w:rsid w:val="006D1AEA"/>
    <w:rsid w:val="006D1D7B"/>
    <w:rsid w:val="006D1E04"/>
    <w:rsid w:val="006D23C7"/>
    <w:rsid w:val="006D25C8"/>
    <w:rsid w:val="006D2680"/>
    <w:rsid w:val="006D2839"/>
    <w:rsid w:val="006D28E7"/>
    <w:rsid w:val="006D2E45"/>
    <w:rsid w:val="006D2F2C"/>
    <w:rsid w:val="006D2FAA"/>
    <w:rsid w:val="006D3218"/>
    <w:rsid w:val="006D3407"/>
    <w:rsid w:val="006D34A8"/>
    <w:rsid w:val="006D34E0"/>
    <w:rsid w:val="006D3504"/>
    <w:rsid w:val="006D3582"/>
    <w:rsid w:val="006D36D7"/>
    <w:rsid w:val="006D39CC"/>
    <w:rsid w:val="006D3A98"/>
    <w:rsid w:val="006D3B0A"/>
    <w:rsid w:val="006D3B39"/>
    <w:rsid w:val="006D3BDF"/>
    <w:rsid w:val="006D3C8C"/>
    <w:rsid w:val="006D3CFE"/>
    <w:rsid w:val="006D3DA7"/>
    <w:rsid w:val="006D3DE0"/>
    <w:rsid w:val="006D3F25"/>
    <w:rsid w:val="006D3FE6"/>
    <w:rsid w:val="006D4086"/>
    <w:rsid w:val="006D40A1"/>
    <w:rsid w:val="006D4117"/>
    <w:rsid w:val="006D4180"/>
    <w:rsid w:val="006D44B9"/>
    <w:rsid w:val="006D45B7"/>
    <w:rsid w:val="006D46E8"/>
    <w:rsid w:val="006D49CE"/>
    <w:rsid w:val="006D4AAF"/>
    <w:rsid w:val="006D4AE1"/>
    <w:rsid w:val="006D4C46"/>
    <w:rsid w:val="006D4C50"/>
    <w:rsid w:val="006D4C98"/>
    <w:rsid w:val="006D4CFE"/>
    <w:rsid w:val="006D4E96"/>
    <w:rsid w:val="006D4F5C"/>
    <w:rsid w:val="006D501B"/>
    <w:rsid w:val="006D50E9"/>
    <w:rsid w:val="006D5138"/>
    <w:rsid w:val="006D51A4"/>
    <w:rsid w:val="006D547D"/>
    <w:rsid w:val="006D5534"/>
    <w:rsid w:val="006D5572"/>
    <w:rsid w:val="006D58CE"/>
    <w:rsid w:val="006D5B2F"/>
    <w:rsid w:val="006D5CB9"/>
    <w:rsid w:val="006D5DAE"/>
    <w:rsid w:val="006D5F99"/>
    <w:rsid w:val="006D5FC7"/>
    <w:rsid w:val="006D6085"/>
    <w:rsid w:val="006D61DC"/>
    <w:rsid w:val="006D62DF"/>
    <w:rsid w:val="006D638C"/>
    <w:rsid w:val="006D63EC"/>
    <w:rsid w:val="006D6406"/>
    <w:rsid w:val="006D6771"/>
    <w:rsid w:val="006D67F3"/>
    <w:rsid w:val="006D6819"/>
    <w:rsid w:val="006D6883"/>
    <w:rsid w:val="006D6905"/>
    <w:rsid w:val="006D6AD3"/>
    <w:rsid w:val="006D6AE3"/>
    <w:rsid w:val="006D6BE6"/>
    <w:rsid w:val="006D6C70"/>
    <w:rsid w:val="006D6D75"/>
    <w:rsid w:val="006D6E81"/>
    <w:rsid w:val="006D6F19"/>
    <w:rsid w:val="006D6FDF"/>
    <w:rsid w:val="006D6FE3"/>
    <w:rsid w:val="006D6FEC"/>
    <w:rsid w:val="006D7095"/>
    <w:rsid w:val="006D70EE"/>
    <w:rsid w:val="006D7101"/>
    <w:rsid w:val="006D7178"/>
    <w:rsid w:val="006D726A"/>
    <w:rsid w:val="006D7354"/>
    <w:rsid w:val="006D73CE"/>
    <w:rsid w:val="006D74E7"/>
    <w:rsid w:val="006D7758"/>
    <w:rsid w:val="006D7814"/>
    <w:rsid w:val="006D78F7"/>
    <w:rsid w:val="006D7932"/>
    <w:rsid w:val="006D7CD1"/>
    <w:rsid w:val="006D7CDD"/>
    <w:rsid w:val="006D7D66"/>
    <w:rsid w:val="006D7DF4"/>
    <w:rsid w:val="006E0075"/>
    <w:rsid w:val="006E0159"/>
    <w:rsid w:val="006E024B"/>
    <w:rsid w:val="006E02D1"/>
    <w:rsid w:val="006E0320"/>
    <w:rsid w:val="006E0374"/>
    <w:rsid w:val="006E03C0"/>
    <w:rsid w:val="006E04AE"/>
    <w:rsid w:val="006E05AF"/>
    <w:rsid w:val="006E060A"/>
    <w:rsid w:val="006E066E"/>
    <w:rsid w:val="006E07CA"/>
    <w:rsid w:val="006E0861"/>
    <w:rsid w:val="006E08A2"/>
    <w:rsid w:val="006E0B31"/>
    <w:rsid w:val="006E0CF4"/>
    <w:rsid w:val="006E0D68"/>
    <w:rsid w:val="006E16E6"/>
    <w:rsid w:val="006E17AC"/>
    <w:rsid w:val="006E190E"/>
    <w:rsid w:val="006E191D"/>
    <w:rsid w:val="006E1A5D"/>
    <w:rsid w:val="006E1A9D"/>
    <w:rsid w:val="006E1B5D"/>
    <w:rsid w:val="006E1C78"/>
    <w:rsid w:val="006E1CC5"/>
    <w:rsid w:val="006E1F61"/>
    <w:rsid w:val="006E1F63"/>
    <w:rsid w:val="006E1FB0"/>
    <w:rsid w:val="006E2060"/>
    <w:rsid w:val="006E2099"/>
    <w:rsid w:val="006E20C8"/>
    <w:rsid w:val="006E22B2"/>
    <w:rsid w:val="006E22FA"/>
    <w:rsid w:val="006E2445"/>
    <w:rsid w:val="006E2506"/>
    <w:rsid w:val="006E2633"/>
    <w:rsid w:val="006E267A"/>
    <w:rsid w:val="006E26C3"/>
    <w:rsid w:val="006E2755"/>
    <w:rsid w:val="006E27CB"/>
    <w:rsid w:val="006E2906"/>
    <w:rsid w:val="006E2AD9"/>
    <w:rsid w:val="006E2D09"/>
    <w:rsid w:val="006E2DD2"/>
    <w:rsid w:val="006E2E12"/>
    <w:rsid w:val="006E2EB4"/>
    <w:rsid w:val="006E2F59"/>
    <w:rsid w:val="006E3025"/>
    <w:rsid w:val="006E308C"/>
    <w:rsid w:val="006E3255"/>
    <w:rsid w:val="006E3272"/>
    <w:rsid w:val="006E3297"/>
    <w:rsid w:val="006E3363"/>
    <w:rsid w:val="006E33D0"/>
    <w:rsid w:val="006E35B7"/>
    <w:rsid w:val="006E371F"/>
    <w:rsid w:val="006E37ED"/>
    <w:rsid w:val="006E3949"/>
    <w:rsid w:val="006E3A10"/>
    <w:rsid w:val="006E3A3E"/>
    <w:rsid w:val="006E3A48"/>
    <w:rsid w:val="006E3C19"/>
    <w:rsid w:val="006E3C8A"/>
    <w:rsid w:val="006E3D3A"/>
    <w:rsid w:val="006E3DC5"/>
    <w:rsid w:val="006E3E1E"/>
    <w:rsid w:val="006E3E34"/>
    <w:rsid w:val="006E3F00"/>
    <w:rsid w:val="006E4356"/>
    <w:rsid w:val="006E43B1"/>
    <w:rsid w:val="006E44C2"/>
    <w:rsid w:val="006E4990"/>
    <w:rsid w:val="006E49C4"/>
    <w:rsid w:val="006E4A7A"/>
    <w:rsid w:val="006E4BD7"/>
    <w:rsid w:val="006E4D0E"/>
    <w:rsid w:val="006E4DB2"/>
    <w:rsid w:val="006E4E30"/>
    <w:rsid w:val="006E4E64"/>
    <w:rsid w:val="006E4EEA"/>
    <w:rsid w:val="006E4F5E"/>
    <w:rsid w:val="006E51C7"/>
    <w:rsid w:val="006E5334"/>
    <w:rsid w:val="006E535A"/>
    <w:rsid w:val="006E557C"/>
    <w:rsid w:val="006E5684"/>
    <w:rsid w:val="006E571D"/>
    <w:rsid w:val="006E5769"/>
    <w:rsid w:val="006E5835"/>
    <w:rsid w:val="006E5959"/>
    <w:rsid w:val="006E5C5B"/>
    <w:rsid w:val="006E5C9C"/>
    <w:rsid w:val="006E5ECB"/>
    <w:rsid w:val="006E5FCC"/>
    <w:rsid w:val="006E611E"/>
    <w:rsid w:val="006E6191"/>
    <w:rsid w:val="006E620B"/>
    <w:rsid w:val="006E62F2"/>
    <w:rsid w:val="006E65B4"/>
    <w:rsid w:val="006E664D"/>
    <w:rsid w:val="006E6841"/>
    <w:rsid w:val="006E68A7"/>
    <w:rsid w:val="006E68F6"/>
    <w:rsid w:val="006E69CB"/>
    <w:rsid w:val="006E6A50"/>
    <w:rsid w:val="006E6A51"/>
    <w:rsid w:val="006E6A8E"/>
    <w:rsid w:val="006E6C21"/>
    <w:rsid w:val="006E6D34"/>
    <w:rsid w:val="006E6F0C"/>
    <w:rsid w:val="006E6FE3"/>
    <w:rsid w:val="006E70A3"/>
    <w:rsid w:val="006E70BC"/>
    <w:rsid w:val="006E7157"/>
    <w:rsid w:val="006E719A"/>
    <w:rsid w:val="006E748A"/>
    <w:rsid w:val="006E74D3"/>
    <w:rsid w:val="006E75A0"/>
    <w:rsid w:val="006E75AF"/>
    <w:rsid w:val="006E75DB"/>
    <w:rsid w:val="006E7718"/>
    <w:rsid w:val="006E78A8"/>
    <w:rsid w:val="006E7B00"/>
    <w:rsid w:val="006E7D25"/>
    <w:rsid w:val="006E7DD7"/>
    <w:rsid w:val="006EFABF"/>
    <w:rsid w:val="006F0085"/>
    <w:rsid w:val="006F029A"/>
    <w:rsid w:val="006F0323"/>
    <w:rsid w:val="006F032E"/>
    <w:rsid w:val="006F0445"/>
    <w:rsid w:val="006F078C"/>
    <w:rsid w:val="006F0993"/>
    <w:rsid w:val="006F0A88"/>
    <w:rsid w:val="006F0AA4"/>
    <w:rsid w:val="006F0AD5"/>
    <w:rsid w:val="006F0C16"/>
    <w:rsid w:val="006F0C4A"/>
    <w:rsid w:val="006F0CDC"/>
    <w:rsid w:val="006F0D19"/>
    <w:rsid w:val="006F0E0E"/>
    <w:rsid w:val="006F0E79"/>
    <w:rsid w:val="006F0E88"/>
    <w:rsid w:val="006F0F14"/>
    <w:rsid w:val="006F0F2D"/>
    <w:rsid w:val="006F0F6B"/>
    <w:rsid w:val="006F0FE4"/>
    <w:rsid w:val="006F104F"/>
    <w:rsid w:val="006F112D"/>
    <w:rsid w:val="006F1160"/>
    <w:rsid w:val="006F11EE"/>
    <w:rsid w:val="006F11FF"/>
    <w:rsid w:val="006F1360"/>
    <w:rsid w:val="006F138A"/>
    <w:rsid w:val="006F141A"/>
    <w:rsid w:val="006F1420"/>
    <w:rsid w:val="006F1816"/>
    <w:rsid w:val="006F1990"/>
    <w:rsid w:val="006F1A6E"/>
    <w:rsid w:val="006F1C9D"/>
    <w:rsid w:val="006F1D30"/>
    <w:rsid w:val="006F1EF6"/>
    <w:rsid w:val="006F1F15"/>
    <w:rsid w:val="006F1FA9"/>
    <w:rsid w:val="006F1FFF"/>
    <w:rsid w:val="006F207E"/>
    <w:rsid w:val="006F21E2"/>
    <w:rsid w:val="006F227C"/>
    <w:rsid w:val="006F2771"/>
    <w:rsid w:val="006F2B2E"/>
    <w:rsid w:val="006F2C53"/>
    <w:rsid w:val="006F2CDA"/>
    <w:rsid w:val="006F2F5F"/>
    <w:rsid w:val="006F2F67"/>
    <w:rsid w:val="006F2FD4"/>
    <w:rsid w:val="006F3075"/>
    <w:rsid w:val="006F3207"/>
    <w:rsid w:val="006F328D"/>
    <w:rsid w:val="006F33A1"/>
    <w:rsid w:val="006F34FA"/>
    <w:rsid w:val="006F3508"/>
    <w:rsid w:val="006F354C"/>
    <w:rsid w:val="006F35D2"/>
    <w:rsid w:val="006F35F1"/>
    <w:rsid w:val="006F38DE"/>
    <w:rsid w:val="006F38DF"/>
    <w:rsid w:val="006F3B91"/>
    <w:rsid w:val="006F3C14"/>
    <w:rsid w:val="006F3DEF"/>
    <w:rsid w:val="006F3F70"/>
    <w:rsid w:val="006F3FAB"/>
    <w:rsid w:val="006F40B0"/>
    <w:rsid w:val="006F40D8"/>
    <w:rsid w:val="006F41AA"/>
    <w:rsid w:val="006F4320"/>
    <w:rsid w:val="006F442E"/>
    <w:rsid w:val="006F48D0"/>
    <w:rsid w:val="006F49BB"/>
    <w:rsid w:val="006F49F5"/>
    <w:rsid w:val="006F4A4F"/>
    <w:rsid w:val="006F4A91"/>
    <w:rsid w:val="006F4AA6"/>
    <w:rsid w:val="006F4CC5"/>
    <w:rsid w:val="006F4D80"/>
    <w:rsid w:val="006F4DF1"/>
    <w:rsid w:val="006F4E45"/>
    <w:rsid w:val="006F4E81"/>
    <w:rsid w:val="006F4EFE"/>
    <w:rsid w:val="006F5083"/>
    <w:rsid w:val="006F50BA"/>
    <w:rsid w:val="006F51D9"/>
    <w:rsid w:val="006F53E3"/>
    <w:rsid w:val="006F558E"/>
    <w:rsid w:val="006F5644"/>
    <w:rsid w:val="006F580E"/>
    <w:rsid w:val="006F5ADC"/>
    <w:rsid w:val="006F5CB9"/>
    <w:rsid w:val="006F5F8C"/>
    <w:rsid w:val="006F606C"/>
    <w:rsid w:val="006F6466"/>
    <w:rsid w:val="006F647D"/>
    <w:rsid w:val="006F6669"/>
    <w:rsid w:val="006F685F"/>
    <w:rsid w:val="006F695F"/>
    <w:rsid w:val="006F6AE5"/>
    <w:rsid w:val="006F6B24"/>
    <w:rsid w:val="006F6C95"/>
    <w:rsid w:val="006F6D10"/>
    <w:rsid w:val="006F6E69"/>
    <w:rsid w:val="006F6F1E"/>
    <w:rsid w:val="006F7249"/>
    <w:rsid w:val="006F7298"/>
    <w:rsid w:val="006F75BF"/>
    <w:rsid w:val="006F7635"/>
    <w:rsid w:val="006F7676"/>
    <w:rsid w:val="006F76CC"/>
    <w:rsid w:val="006F7731"/>
    <w:rsid w:val="006F7836"/>
    <w:rsid w:val="006F7849"/>
    <w:rsid w:val="006F7A06"/>
    <w:rsid w:val="006F7A18"/>
    <w:rsid w:val="006F7B9F"/>
    <w:rsid w:val="006F7C18"/>
    <w:rsid w:val="006F7C1A"/>
    <w:rsid w:val="006F7CB0"/>
    <w:rsid w:val="006F7EC1"/>
    <w:rsid w:val="006F7EE9"/>
    <w:rsid w:val="00700074"/>
    <w:rsid w:val="007000D9"/>
    <w:rsid w:val="00700134"/>
    <w:rsid w:val="007004D5"/>
    <w:rsid w:val="007006BD"/>
    <w:rsid w:val="00700734"/>
    <w:rsid w:val="00700763"/>
    <w:rsid w:val="00700867"/>
    <w:rsid w:val="007008B9"/>
    <w:rsid w:val="00700B72"/>
    <w:rsid w:val="00700DFA"/>
    <w:rsid w:val="00700E7E"/>
    <w:rsid w:val="00700EC7"/>
    <w:rsid w:val="00701068"/>
    <w:rsid w:val="00701260"/>
    <w:rsid w:val="00701261"/>
    <w:rsid w:val="0070128A"/>
    <w:rsid w:val="007012F5"/>
    <w:rsid w:val="007013CB"/>
    <w:rsid w:val="00701405"/>
    <w:rsid w:val="00701422"/>
    <w:rsid w:val="00701526"/>
    <w:rsid w:val="00701656"/>
    <w:rsid w:val="007017B3"/>
    <w:rsid w:val="0070187E"/>
    <w:rsid w:val="00701AD4"/>
    <w:rsid w:val="00701B2F"/>
    <w:rsid w:val="00701B95"/>
    <w:rsid w:val="00701E40"/>
    <w:rsid w:val="00701E7B"/>
    <w:rsid w:val="0070201B"/>
    <w:rsid w:val="0070227A"/>
    <w:rsid w:val="007023D7"/>
    <w:rsid w:val="00702869"/>
    <w:rsid w:val="00702925"/>
    <w:rsid w:val="00702975"/>
    <w:rsid w:val="00702A45"/>
    <w:rsid w:val="00702A78"/>
    <w:rsid w:val="00702DBC"/>
    <w:rsid w:val="00702DE7"/>
    <w:rsid w:val="00702E50"/>
    <w:rsid w:val="00702F83"/>
    <w:rsid w:val="00702FDB"/>
    <w:rsid w:val="00703007"/>
    <w:rsid w:val="00703133"/>
    <w:rsid w:val="00703280"/>
    <w:rsid w:val="00703327"/>
    <w:rsid w:val="00703362"/>
    <w:rsid w:val="007033BB"/>
    <w:rsid w:val="007033D9"/>
    <w:rsid w:val="0070345B"/>
    <w:rsid w:val="00703498"/>
    <w:rsid w:val="007034DE"/>
    <w:rsid w:val="00703505"/>
    <w:rsid w:val="00703566"/>
    <w:rsid w:val="007035D0"/>
    <w:rsid w:val="007035D4"/>
    <w:rsid w:val="007035E6"/>
    <w:rsid w:val="00703649"/>
    <w:rsid w:val="0070377F"/>
    <w:rsid w:val="00703A6C"/>
    <w:rsid w:val="00703A85"/>
    <w:rsid w:val="00703ABC"/>
    <w:rsid w:val="00703C22"/>
    <w:rsid w:val="00703D96"/>
    <w:rsid w:val="00703DA3"/>
    <w:rsid w:val="00703F4A"/>
    <w:rsid w:val="00703FE2"/>
    <w:rsid w:val="00704078"/>
    <w:rsid w:val="0070409C"/>
    <w:rsid w:val="007040D5"/>
    <w:rsid w:val="00704166"/>
    <w:rsid w:val="0070419A"/>
    <w:rsid w:val="007043BC"/>
    <w:rsid w:val="007043F2"/>
    <w:rsid w:val="0070449A"/>
    <w:rsid w:val="00704536"/>
    <w:rsid w:val="0070464D"/>
    <w:rsid w:val="00704825"/>
    <w:rsid w:val="00704B68"/>
    <w:rsid w:val="00704C2B"/>
    <w:rsid w:val="00704DA2"/>
    <w:rsid w:val="00704E91"/>
    <w:rsid w:val="00704EF8"/>
    <w:rsid w:val="00704F62"/>
    <w:rsid w:val="00704FF1"/>
    <w:rsid w:val="007051F6"/>
    <w:rsid w:val="0070520C"/>
    <w:rsid w:val="0070545A"/>
    <w:rsid w:val="007055A8"/>
    <w:rsid w:val="00705797"/>
    <w:rsid w:val="007057AA"/>
    <w:rsid w:val="007058B4"/>
    <w:rsid w:val="00705917"/>
    <w:rsid w:val="00705A7A"/>
    <w:rsid w:val="00705AC6"/>
    <w:rsid w:val="00705AD5"/>
    <w:rsid w:val="00705B9F"/>
    <w:rsid w:val="00705E8F"/>
    <w:rsid w:val="00705ECF"/>
    <w:rsid w:val="00705FEB"/>
    <w:rsid w:val="00706191"/>
    <w:rsid w:val="00706302"/>
    <w:rsid w:val="00706431"/>
    <w:rsid w:val="00706502"/>
    <w:rsid w:val="007065B8"/>
    <w:rsid w:val="0070662B"/>
    <w:rsid w:val="0070668B"/>
    <w:rsid w:val="007068EC"/>
    <w:rsid w:val="007069DA"/>
    <w:rsid w:val="00706B53"/>
    <w:rsid w:val="00706BE6"/>
    <w:rsid w:val="00706C92"/>
    <w:rsid w:val="00706CF5"/>
    <w:rsid w:val="00706D59"/>
    <w:rsid w:val="00706EC2"/>
    <w:rsid w:val="00706F7E"/>
    <w:rsid w:val="00707005"/>
    <w:rsid w:val="007074F4"/>
    <w:rsid w:val="007075A4"/>
    <w:rsid w:val="007076ED"/>
    <w:rsid w:val="007077B1"/>
    <w:rsid w:val="00707965"/>
    <w:rsid w:val="007079F7"/>
    <w:rsid w:val="00707B7C"/>
    <w:rsid w:val="00707BC0"/>
    <w:rsid w:val="00707C33"/>
    <w:rsid w:val="00707C41"/>
    <w:rsid w:val="00707D10"/>
    <w:rsid w:val="00707E48"/>
    <w:rsid w:val="00707E67"/>
    <w:rsid w:val="00707EC4"/>
    <w:rsid w:val="00710110"/>
    <w:rsid w:val="00710166"/>
    <w:rsid w:val="0071029B"/>
    <w:rsid w:val="007102EE"/>
    <w:rsid w:val="00710315"/>
    <w:rsid w:val="00710321"/>
    <w:rsid w:val="0071040F"/>
    <w:rsid w:val="0071053C"/>
    <w:rsid w:val="00710543"/>
    <w:rsid w:val="0071063A"/>
    <w:rsid w:val="00710981"/>
    <w:rsid w:val="00710AB1"/>
    <w:rsid w:val="00710C7F"/>
    <w:rsid w:val="00710D26"/>
    <w:rsid w:val="00710D9F"/>
    <w:rsid w:val="00710E88"/>
    <w:rsid w:val="00710EB0"/>
    <w:rsid w:val="00711194"/>
    <w:rsid w:val="007111FF"/>
    <w:rsid w:val="0071126E"/>
    <w:rsid w:val="007112E3"/>
    <w:rsid w:val="00711341"/>
    <w:rsid w:val="007115F1"/>
    <w:rsid w:val="0071163C"/>
    <w:rsid w:val="007117A5"/>
    <w:rsid w:val="007118F3"/>
    <w:rsid w:val="007119A5"/>
    <w:rsid w:val="007119FC"/>
    <w:rsid w:val="00711A9B"/>
    <w:rsid w:val="00711AEA"/>
    <w:rsid w:val="00711B20"/>
    <w:rsid w:val="00711F9A"/>
    <w:rsid w:val="0071217F"/>
    <w:rsid w:val="00712182"/>
    <w:rsid w:val="0071229F"/>
    <w:rsid w:val="0071235A"/>
    <w:rsid w:val="007123AA"/>
    <w:rsid w:val="007123AB"/>
    <w:rsid w:val="0071254E"/>
    <w:rsid w:val="007126A0"/>
    <w:rsid w:val="007127BB"/>
    <w:rsid w:val="007128E1"/>
    <w:rsid w:val="007129EF"/>
    <w:rsid w:val="00712B77"/>
    <w:rsid w:val="00712B94"/>
    <w:rsid w:val="00712D30"/>
    <w:rsid w:val="00713051"/>
    <w:rsid w:val="007130E3"/>
    <w:rsid w:val="0071311A"/>
    <w:rsid w:val="00713452"/>
    <w:rsid w:val="00713596"/>
    <w:rsid w:val="0071380D"/>
    <w:rsid w:val="00713921"/>
    <w:rsid w:val="00713998"/>
    <w:rsid w:val="00713AB6"/>
    <w:rsid w:val="00713AC5"/>
    <w:rsid w:val="00713CFA"/>
    <w:rsid w:val="00713F9D"/>
    <w:rsid w:val="00714051"/>
    <w:rsid w:val="007140AE"/>
    <w:rsid w:val="00714137"/>
    <w:rsid w:val="007143CB"/>
    <w:rsid w:val="0071446F"/>
    <w:rsid w:val="0071470C"/>
    <w:rsid w:val="00714843"/>
    <w:rsid w:val="00714847"/>
    <w:rsid w:val="00714953"/>
    <w:rsid w:val="00714A58"/>
    <w:rsid w:val="00714BBC"/>
    <w:rsid w:val="00714CA0"/>
    <w:rsid w:val="00714D2C"/>
    <w:rsid w:val="00714DCF"/>
    <w:rsid w:val="00714E1C"/>
    <w:rsid w:val="00714EEF"/>
    <w:rsid w:val="00714FCC"/>
    <w:rsid w:val="00715170"/>
    <w:rsid w:val="007151A0"/>
    <w:rsid w:val="0071526A"/>
    <w:rsid w:val="0071529B"/>
    <w:rsid w:val="0071551D"/>
    <w:rsid w:val="00715548"/>
    <w:rsid w:val="00715623"/>
    <w:rsid w:val="0071592E"/>
    <w:rsid w:val="00715B55"/>
    <w:rsid w:val="00715C17"/>
    <w:rsid w:val="00715D01"/>
    <w:rsid w:val="00715D74"/>
    <w:rsid w:val="00715F52"/>
    <w:rsid w:val="00716114"/>
    <w:rsid w:val="00716208"/>
    <w:rsid w:val="00716236"/>
    <w:rsid w:val="00716379"/>
    <w:rsid w:val="007163C1"/>
    <w:rsid w:val="007163C9"/>
    <w:rsid w:val="00716438"/>
    <w:rsid w:val="007164D9"/>
    <w:rsid w:val="00716529"/>
    <w:rsid w:val="0071661A"/>
    <w:rsid w:val="00716710"/>
    <w:rsid w:val="00716767"/>
    <w:rsid w:val="00716778"/>
    <w:rsid w:val="00716839"/>
    <w:rsid w:val="007168FD"/>
    <w:rsid w:val="007169BC"/>
    <w:rsid w:val="00716B1E"/>
    <w:rsid w:val="00716B3A"/>
    <w:rsid w:val="00716C86"/>
    <w:rsid w:val="00716D99"/>
    <w:rsid w:val="00716ED2"/>
    <w:rsid w:val="00716F51"/>
    <w:rsid w:val="0071704B"/>
    <w:rsid w:val="0071730E"/>
    <w:rsid w:val="0071751A"/>
    <w:rsid w:val="0071761E"/>
    <w:rsid w:val="007177BD"/>
    <w:rsid w:val="007178AC"/>
    <w:rsid w:val="0071793C"/>
    <w:rsid w:val="00717961"/>
    <w:rsid w:val="00717B22"/>
    <w:rsid w:val="00717C6D"/>
    <w:rsid w:val="00717C92"/>
    <w:rsid w:val="00717CAF"/>
    <w:rsid w:val="00717D3C"/>
    <w:rsid w:val="00717D9A"/>
    <w:rsid w:val="00717DA5"/>
    <w:rsid w:val="00717EA7"/>
    <w:rsid w:val="00717F25"/>
    <w:rsid w:val="007185AE"/>
    <w:rsid w:val="00720087"/>
    <w:rsid w:val="0072013B"/>
    <w:rsid w:val="007202CA"/>
    <w:rsid w:val="0072053D"/>
    <w:rsid w:val="007205E3"/>
    <w:rsid w:val="0072063B"/>
    <w:rsid w:val="00720672"/>
    <w:rsid w:val="00720734"/>
    <w:rsid w:val="0072091E"/>
    <w:rsid w:val="0072096A"/>
    <w:rsid w:val="00720983"/>
    <w:rsid w:val="00720CCB"/>
    <w:rsid w:val="00720D00"/>
    <w:rsid w:val="00720DAC"/>
    <w:rsid w:val="00720F1B"/>
    <w:rsid w:val="00721106"/>
    <w:rsid w:val="0072114D"/>
    <w:rsid w:val="00721234"/>
    <w:rsid w:val="00721421"/>
    <w:rsid w:val="0072145E"/>
    <w:rsid w:val="00721469"/>
    <w:rsid w:val="00721694"/>
    <w:rsid w:val="00721737"/>
    <w:rsid w:val="0072174F"/>
    <w:rsid w:val="00721834"/>
    <w:rsid w:val="00721A14"/>
    <w:rsid w:val="00721A23"/>
    <w:rsid w:val="00721AED"/>
    <w:rsid w:val="00721E54"/>
    <w:rsid w:val="00721F45"/>
    <w:rsid w:val="0072204D"/>
    <w:rsid w:val="007221D7"/>
    <w:rsid w:val="0072225A"/>
    <w:rsid w:val="007222AA"/>
    <w:rsid w:val="007222C7"/>
    <w:rsid w:val="007222E9"/>
    <w:rsid w:val="0072246D"/>
    <w:rsid w:val="007224F2"/>
    <w:rsid w:val="00722804"/>
    <w:rsid w:val="007229AC"/>
    <w:rsid w:val="00722B97"/>
    <w:rsid w:val="00722CD2"/>
    <w:rsid w:val="00722D91"/>
    <w:rsid w:val="00722E55"/>
    <w:rsid w:val="007230A2"/>
    <w:rsid w:val="007230A3"/>
    <w:rsid w:val="007231B3"/>
    <w:rsid w:val="007231BF"/>
    <w:rsid w:val="00723210"/>
    <w:rsid w:val="00723326"/>
    <w:rsid w:val="007233DB"/>
    <w:rsid w:val="0072350A"/>
    <w:rsid w:val="0072352B"/>
    <w:rsid w:val="00723556"/>
    <w:rsid w:val="00723618"/>
    <w:rsid w:val="0072363B"/>
    <w:rsid w:val="0072382A"/>
    <w:rsid w:val="0072388E"/>
    <w:rsid w:val="00723A1C"/>
    <w:rsid w:val="00723A5A"/>
    <w:rsid w:val="00723D04"/>
    <w:rsid w:val="00723EC0"/>
    <w:rsid w:val="00723F35"/>
    <w:rsid w:val="00724086"/>
    <w:rsid w:val="007240C0"/>
    <w:rsid w:val="00724205"/>
    <w:rsid w:val="007242B6"/>
    <w:rsid w:val="007242BA"/>
    <w:rsid w:val="0072442B"/>
    <w:rsid w:val="0072442C"/>
    <w:rsid w:val="0072446A"/>
    <w:rsid w:val="00724648"/>
    <w:rsid w:val="007248CD"/>
    <w:rsid w:val="007249BD"/>
    <w:rsid w:val="00724A7F"/>
    <w:rsid w:val="00724ADF"/>
    <w:rsid w:val="00724B31"/>
    <w:rsid w:val="00724E94"/>
    <w:rsid w:val="00725053"/>
    <w:rsid w:val="00725070"/>
    <w:rsid w:val="007250BF"/>
    <w:rsid w:val="007251E7"/>
    <w:rsid w:val="00725285"/>
    <w:rsid w:val="00725295"/>
    <w:rsid w:val="0072544E"/>
    <w:rsid w:val="007254F9"/>
    <w:rsid w:val="00725658"/>
    <w:rsid w:val="00725701"/>
    <w:rsid w:val="00725999"/>
    <w:rsid w:val="007259C9"/>
    <w:rsid w:val="00725AB0"/>
    <w:rsid w:val="00725C26"/>
    <w:rsid w:val="00725C45"/>
    <w:rsid w:val="00725E96"/>
    <w:rsid w:val="00726205"/>
    <w:rsid w:val="0072626A"/>
    <w:rsid w:val="00726367"/>
    <w:rsid w:val="00726536"/>
    <w:rsid w:val="0072661B"/>
    <w:rsid w:val="00726665"/>
    <w:rsid w:val="00726797"/>
    <w:rsid w:val="0072680D"/>
    <w:rsid w:val="00726921"/>
    <w:rsid w:val="007269FD"/>
    <w:rsid w:val="00726C52"/>
    <w:rsid w:val="00726E3F"/>
    <w:rsid w:val="00726E58"/>
    <w:rsid w:val="00727295"/>
    <w:rsid w:val="007272F5"/>
    <w:rsid w:val="007273A0"/>
    <w:rsid w:val="00727540"/>
    <w:rsid w:val="007275BF"/>
    <w:rsid w:val="00727787"/>
    <w:rsid w:val="007277C8"/>
    <w:rsid w:val="007278CC"/>
    <w:rsid w:val="00727C02"/>
    <w:rsid w:val="00727CC4"/>
    <w:rsid w:val="00727F17"/>
    <w:rsid w:val="0073001F"/>
    <w:rsid w:val="007302FB"/>
    <w:rsid w:val="00730440"/>
    <w:rsid w:val="0073052F"/>
    <w:rsid w:val="0073067B"/>
    <w:rsid w:val="007306A3"/>
    <w:rsid w:val="007306CC"/>
    <w:rsid w:val="00730903"/>
    <w:rsid w:val="00730912"/>
    <w:rsid w:val="00730935"/>
    <w:rsid w:val="00730943"/>
    <w:rsid w:val="0073096D"/>
    <w:rsid w:val="00730991"/>
    <w:rsid w:val="00730A92"/>
    <w:rsid w:val="00730DB8"/>
    <w:rsid w:val="00730DD2"/>
    <w:rsid w:val="00730E92"/>
    <w:rsid w:val="00730ED3"/>
    <w:rsid w:val="00731222"/>
    <w:rsid w:val="0073127D"/>
    <w:rsid w:val="00731505"/>
    <w:rsid w:val="007315D5"/>
    <w:rsid w:val="00731883"/>
    <w:rsid w:val="00731994"/>
    <w:rsid w:val="00731DF0"/>
    <w:rsid w:val="00731E20"/>
    <w:rsid w:val="00731E6D"/>
    <w:rsid w:val="00731EC5"/>
    <w:rsid w:val="00731F2C"/>
    <w:rsid w:val="00731FD0"/>
    <w:rsid w:val="00732158"/>
    <w:rsid w:val="00732438"/>
    <w:rsid w:val="00732505"/>
    <w:rsid w:val="00732515"/>
    <w:rsid w:val="0073274B"/>
    <w:rsid w:val="007327C4"/>
    <w:rsid w:val="007328D1"/>
    <w:rsid w:val="0073299B"/>
    <w:rsid w:val="00732A04"/>
    <w:rsid w:val="00732B47"/>
    <w:rsid w:val="00732BFB"/>
    <w:rsid w:val="00732D4C"/>
    <w:rsid w:val="00732DA8"/>
    <w:rsid w:val="00732F26"/>
    <w:rsid w:val="00732F91"/>
    <w:rsid w:val="00733108"/>
    <w:rsid w:val="00733148"/>
    <w:rsid w:val="00733177"/>
    <w:rsid w:val="00733203"/>
    <w:rsid w:val="007332E7"/>
    <w:rsid w:val="0073359F"/>
    <w:rsid w:val="00733713"/>
    <w:rsid w:val="007337A9"/>
    <w:rsid w:val="00733821"/>
    <w:rsid w:val="00733A90"/>
    <w:rsid w:val="00733B40"/>
    <w:rsid w:val="00733EEF"/>
    <w:rsid w:val="00733F19"/>
    <w:rsid w:val="0073406A"/>
    <w:rsid w:val="007340D6"/>
    <w:rsid w:val="00734105"/>
    <w:rsid w:val="00734123"/>
    <w:rsid w:val="0073423F"/>
    <w:rsid w:val="007342D3"/>
    <w:rsid w:val="007342E4"/>
    <w:rsid w:val="00734319"/>
    <w:rsid w:val="00734356"/>
    <w:rsid w:val="00734624"/>
    <w:rsid w:val="0073462C"/>
    <w:rsid w:val="0073463E"/>
    <w:rsid w:val="00734882"/>
    <w:rsid w:val="00734AD4"/>
    <w:rsid w:val="00734BB8"/>
    <w:rsid w:val="00734BE2"/>
    <w:rsid w:val="00734FBF"/>
    <w:rsid w:val="007350C4"/>
    <w:rsid w:val="007352DA"/>
    <w:rsid w:val="007353B6"/>
    <w:rsid w:val="00735536"/>
    <w:rsid w:val="0073557E"/>
    <w:rsid w:val="007356D4"/>
    <w:rsid w:val="00735794"/>
    <w:rsid w:val="007357BC"/>
    <w:rsid w:val="00735821"/>
    <w:rsid w:val="007359AA"/>
    <w:rsid w:val="00735A45"/>
    <w:rsid w:val="00735B17"/>
    <w:rsid w:val="00735B83"/>
    <w:rsid w:val="00735C78"/>
    <w:rsid w:val="00735CEA"/>
    <w:rsid w:val="00735D3A"/>
    <w:rsid w:val="00735D47"/>
    <w:rsid w:val="00735DDC"/>
    <w:rsid w:val="007361CC"/>
    <w:rsid w:val="00736277"/>
    <w:rsid w:val="007362E2"/>
    <w:rsid w:val="00736368"/>
    <w:rsid w:val="00736395"/>
    <w:rsid w:val="00736553"/>
    <w:rsid w:val="007369CE"/>
    <w:rsid w:val="00736A9F"/>
    <w:rsid w:val="00736B34"/>
    <w:rsid w:val="00736E50"/>
    <w:rsid w:val="00736F23"/>
    <w:rsid w:val="00736FC5"/>
    <w:rsid w:val="00737191"/>
    <w:rsid w:val="007371F5"/>
    <w:rsid w:val="00737276"/>
    <w:rsid w:val="007375B6"/>
    <w:rsid w:val="0073762E"/>
    <w:rsid w:val="0073777D"/>
    <w:rsid w:val="0073779E"/>
    <w:rsid w:val="0073792A"/>
    <w:rsid w:val="00737940"/>
    <w:rsid w:val="00737C8A"/>
    <w:rsid w:val="00737CDB"/>
    <w:rsid w:val="00737CFE"/>
    <w:rsid w:val="00737D7A"/>
    <w:rsid w:val="00737E3C"/>
    <w:rsid w:val="00740006"/>
    <w:rsid w:val="00740120"/>
    <w:rsid w:val="007401DB"/>
    <w:rsid w:val="0074020F"/>
    <w:rsid w:val="00740282"/>
    <w:rsid w:val="00740296"/>
    <w:rsid w:val="007402E4"/>
    <w:rsid w:val="0074030C"/>
    <w:rsid w:val="007403DD"/>
    <w:rsid w:val="0074046A"/>
    <w:rsid w:val="00740681"/>
    <w:rsid w:val="0074089B"/>
    <w:rsid w:val="007408E6"/>
    <w:rsid w:val="00740981"/>
    <w:rsid w:val="00740986"/>
    <w:rsid w:val="00740A4E"/>
    <w:rsid w:val="00740A7A"/>
    <w:rsid w:val="00740AB5"/>
    <w:rsid w:val="00740ACC"/>
    <w:rsid w:val="00740C66"/>
    <w:rsid w:val="00740CFD"/>
    <w:rsid w:val="00740F3B"/>
    <w:rsid w:val="00740FA6"/>
    <w:rsid w:val="007410EF"/>
    <w:rsid w:val="00741204"/>
    <w:rsid w:val="0074121F"/>
    <w:rsid w:val="00741300"/>
    <w:rsid w:val="007415D6"/>
    <w:rsid w:val="00741654"/>
    <w:rsid w:val="0074167F"/>
    <w:rsid w:val="00741743"/>
    <w:rsid w:val="00741865"/>
    <w:rsid w:val="007419A3"/>
    <w:rsid w:val="007419D6"/>
    <w:rsid w:val="00741A01"/>
    <w:rsid w:val="00741A6D"/>
    <w:rsid w:val="00741BFA"/>
    <w:rsid w:val="00741C39"/>
    <w:rsid w:val="00741CE9"/>
    <w:rsid w:val="00741D5C"/>
    <w:rsid w:val="00741DFA"/>
    <w:rsid w:val="00741F6F"/>
    <w:rsid w:val="00741FB7"/>
    <w:rsid w:val="007421A7"/>
    <w:rsid w:val="007422D8"/>
    <w:rsid w:val="007422EB"/>
    <w:rsid w:val="00742586"/>
    <w:rsid w:val="0074265C"/>
    <w:rsid w:val="0074269A"/>
    <w:rsid w:val="0074276F"/>
    <w:rsid w:val="0074287B"/>
    <w:rsid w:val="00742ABB"/>
    <w:rsid w:val="00742ABC"/>
    <w:rsid w:val="00742B30"/>
    <w:rsid w:val="00742BEB"/>
    <w:rsid w:val="00742BEC"/>
    <w:rsid w:val="00742D0A"/>
    <w:rsid w:val="00742E1D"/>
    <w:rsid w:val="00742E1F"/>
    <w:rsid w:val="00742EB8"/>
    <w:rsid w:val="00742F07"/>
    <w:rsid w:val="007430D0"/>
    <w:rsid w:val="007431AA"/>
    <w:rsid w:val="007432BF"/>
    <w:rsid w:val="00743508"/>
    <w:rsid w:val="0074356F"/>
    <w:rsid w:val="00743664"/>
    <w:rsid w:val="00743669"/>
    <w:rsid w:val="007436E0"/>
    <w:rsid w:val="00743838"/>
    <w:rsid w:val="007438BD"/>
    <w:rsid w:val="0074391D"/>
    <w:rsid w:val="0074395C"/>
    <w:rsid w:val="00743A4D"/>
    <w:rsid w:val="00743B09"/>
    <w:rsid w:val="00743C93"/>
    <w:rsid w:val="00743D61"/>
    <w:rsid w:val="00743D8F"/>
    <w:rsid w:val="00743DF8"/>
    <w:rsid w:val="007441A7"/>
    <w:rsid w:val="007441DB"/>
    <w:rsid w:val="00744375"/>
    <w:rsid w:val="00744480"/>
    <w:rsid w:val="00744569"/>
    <w:rsid w:val="00744776"/>
    <w:rsid w:val="00744869"/>
    <w:rsid w:val="007449C2"/>
    <w:rsid w:val="00744ABA"/>
    <w:rsid w:val="00744AFF"/>
    <w:rsid w:val="00744B9A"/>
    <w:rsid w:val="00744E95"/>
    <w:rsid w:val="00744F54"/>
    <w:rsid w:val="00745506"/>
    <w:rsid w:val="00745593"/>
    <w:rsid w:val="00745609"/>
    <w:rsid w:val="007456B3"/>
    <w:rsid w:val="0074582E"/>
    <w:rsid w:val="00745870"/>
    <w:rsid w:val="00745A68"/>
    <w:rsid w:val="00745B07"/>
    <w:rsid w:val="00745B15"/>
    <w:rsid w:val="00745CB2"/>
    <w:rsid w:val="00745DCC"/>
    <w:rsid w:val="00745DEB"/>
    <w:rsid w:val="00745E4D"/>
    <w:rsid w:val="00746025"/>
    <w:rsid w:val="00746070"/>
    <w:rsid w:val="007461EC"/>
    <w:rsid w:val="00746206"/>
    <w:rsid w:val="0074625B"/>
    <w:rsid w:val="007462C1"/>
    <w:rsid w:val="00746469"/>
    <w:rsid w:val="007464A7"/>
    <w:rsid w:val="007464AC"/>
    <w:rsid w:val="007467C2"/>
    <w:rsid w:val="0074684D"/>
    <w:rsid w:val="007469AF"/>
    <w:rsid w:val="00746BB7"/>
    <w:rsid w:val="00746BD6"/>
    <w:rsid w:val="00746D88"/>
    <w:rsid w:val="00746DB6"/>
    <w:rsid w:val="00746DBA"/>
    <w:rsid w:val="0074701E"/>
    <w:rsid w:val="0074701F"/>
    <w:rsid w:val="007470B4"/>
    <w:rsid w:val="007470C0"/>
    <w:rsid w:val="007470F5"/>
    <w:rsid w:val="00747332"/>
    <w:rsid w:val="0074738F"/>
    <w:rsid w:val="007473FF"/>
    <w:rsid w:val="00747454"/>
    <w:rsid w:val="007474F1"/>
    <w:rsid w:val="00747578"/>
    <w:rsid w:val="0074760F"/>
    <w:rsid w:val="00747788"/>
    <w:rsid w:val="00747794"/>
    <w:rsid w:val="007477B1"/>
    <w:rsid w:val="0074785C"/>
    <w:rsid w:val="00747863"/>
    <w:rsid w:val="0074797D"/>
    <w:rsid w:val="007479CE"/>
    <w:rsid w:val="00747B9C"/>
    <w:rsid w:val="00747F51"/>
    <w:rsid w:val="0075018F"/>
    <w:rsid w:val="0075029B"/>
    <w:rsid w:val="00750380"/>
    <w:rsid w:val="00750463"/>
    <w:rsid w:val="0075069E"/>
    <w:rsid w:val="00750747"/>
    <w:rsid w:val="007508A5"/>
    <w:rsid w:val="00750A21"/>
    <w:rsid w:val="00750A35"/>
    <w:rsid w:val="00750B77"/>
    <w:rsid w:val="00750BF4"/>
    <w:rsid w:val="00750C9B"/>
    <w:rsid w:val="00750F42"/>
    <w:rsid w:val="00751067"/>
    <w:rsid w:val="00751169"/>
    <w:rsid w:val="0075117D"/>
    <w:rsid w:val="007513AA"/>
    <w:rsid w:val="00751457"/>
    <w:rsid w:val="007514BF"/>
    <w:rsid w:val="00751545"/>
    <w:rsid w:val="0075155E"/>
    <w:rsid w:val="007515E1"/>
    <w:rsid w:val="007515E6"/>
    <w:rsid w:val="007516D3"/>
    <w:rsid w:val="007519DF"/>
    <w:rsid w:val="00751CEB"/>
    <w:rsid w:val="00751D96"/>
    <w:rsid w:val="00751DA0"/>
    <w:rsid w:val="00752508"/>
    <w:rsid w:val="0075252F"/>
    <w:rsid w:val="007525CE"/>
    <w:rsid w:val="00752604"/>
    <w:rsid w:val="00752702"/>
    <w:rsid w:val="00752837"/>
    <w:rsid w:val="00752950"/>
    <w:rsid w:val="00752979"/>
    <w:rsid w:val="00752989"/>
    <w:rsid w:val="007529F8"/>
    <w:rsid w:val="00752D2D"/>
    <w:rsid w:val="00752D39"/>
    <w:rsid w:val="00752DFE"/>
    <w:rsid w:val="007533B2"/>
    <w:rsid w:val="0075347C"/>
    <w:rsid w:val="00753584"/>
    <w:rsid w:val="007536DB"/>
    <w:rsid w:val="007538CC"/>
    <w:rsid w:val="00753BB7"/>
    <w:rsid w:val="00753D19"/>
    <w:rsid w:val="00753DF5"/>
    <w:rsid w:val="00753E9B"/>
    <w:rsid w:val="00753F43"/>
    <w:rsid w:val="00753FED"/>
    <w:rsid w:val="0075414B"/>
    <w:rsid w:val="007541B1"/>
    <w:rsid w:val="007544CF"/>
    <w:rsid w:val="007544F9"/>
    <w:rsid w:val="007546E9"/>
    <w:rsid w:val="0075482D"/>
    <w:rsid w:val="0075494A"/>
    <w:rsid w:val="0075495A"/>
    <w:rsid w:val="00754A71"/>
    <w:rsid w:val="00754C3C"/>
    <w:rsid w:val="00754C91"/>
    <w:rsid w:val="00754ECD"/>
    <w:rsid w:val="00754FCF"/>
    <w:rsid w:val="00755162"/>
    <w:rsid w:val="00755219"/>
    <w:rsid w:val="00755337"/>
    <w:rsid w:val="00755394"/>
    <w:rsid w:val="0075547D"/>
    <w:rsid w:val="007554D9"/>
    <w:rsid w:val="00755604"/>
    <w:rsid w:val="007556BD"/>
    <w:rsid w:val="007557C7"/>
    <w:rsid w:val="00755903"/>
    <w:rsid w:val="00755E6E"/>
    <w:rsid w:val="00755F15"/>
    <w:rsid w:val="00756049"/>
    <w:rsid w:val="00756067"/>
    <w:rsid w:val="007560C7"/>
    <w:rsid w:val="00756137"/>
    <w:rsid w:val="0075614C"/>
    <w:rsid w:val="00756165"/>
    <w:rsid w:val="00756263"/>
    <w:rsid w:val="00756318"/>
    <w:rsid w:val="0075652F"/>
    <w:rsid w:val="0075695E"/>
    <w:rsid w:val="00756A85"/>
    <w:rsid w:val="00756E21"/>
    <w:rsid w:val="00756EE4"/>
    <w:rsid w:val="00756F69"/>
    <w:rsid w:val="00756F6C"/>
    <w:rsid w:val="00756FC7"/>
    <w:rsid w:val="00756FE2"/>
    <w:rsid w:val="00757148"/>
    <w:rsid w:val="00757322"/>
    <w:rsid w:val="0075735C"/>
    <w:rsid w:val="007573CB"/>
    <w:rsid w:val="007574D2"/>
    <w:rsid w:val="007574FA"/>
    <w:rsid w:val="007574FD"/>
    <w:rsid w:val="00757596"/>
    <w:rsid w:val="007575BA"/>
    <w:rsid w:val="007575CA"/>
    <w:rsid w:val="00757649"/>
    <w:rsid w:val="00757683"/>
    <w:rsid w:val="00757921"/>
    <w:rsid w:val="00757A00"/>
    <w:rsid w:val="00757AAE"/>
    <w:rsid w:val="00757AF5"/>
    <w:rsid w:val="00757D0B"/>
    <w:rsid w:val="00757EE9"/>
    <w:rsid w:val="00757F0D"/>
    <w:rsid w:val="00757F5A"/>
    <w:rsid w:val="00760016"/>
    <w:rsid w:val="00760310"/>
    <w:rsid w:val="0076032A"/>
    <w:rsid w:val="00760364"/>
    <w:rsid w:val="00760368"/>
    <w:rsid w:val="00760542"/>
    <w:rsid w:val="007606B1"/>
    <w:rsid w:val="00760790"/>
    <w:rsid w:val="0076079A"/>
    <w:rsid w:val="007608CC"/>
    <w:rsid w:val="00760AA7"/>
    <w:rsid w:val="00760C6F"/>
    <w:rsid w:val="00760CCF"/>
    <w:rsid w:val="00760D96"/>
    <w:rsid w:val="00760DC3"/>
    <w:rsid w:val="00760DD9"/>
    <w:rsid w:val="00760E8F"/>
    <w:rsid w:val="00760F7E"/>
    <w:rsid w:val="00761128"/>
    <w:rsid w:val="0076125B"/>
    <w:rsid w:val="007613CB"/>
    <w:rsid w:val="00761430"/>
    <w:rsid w:val="007614A8"/>
    <w:rsid w:val="0076158E"/>
    <w:rsid w:val="007615E0"/>
    <w:rsid w:val="0076164E"/>
    <w:rsid w:val="007616D8"/>
    <w:rsid w:val="00761848"/>
    <w:rsid w:val="00761850"/>
    <w:rsid w:val="00761863"/>
    <w:rsid w:val="00761BD3"/>
    <w:rsid w:val="00761DE5"/>
    <w:rsid w:val="00762192"/>
    <w:rsid w:val="007622C8"/>
    <w:rsid w:val="007623E9"/>
    <w:rsid w:val="0076243D"/>
    <w:rsid w:val="00762488"/>
    <w:rsid w:val="007624E3"/>
    <w:rsid w:val="007624F2"/>
    <w:rsid w:val="00762569"/>
    <w:rsid w:val="00762594"/>
    <w:rsid w:val="007626AA"/>
    <w:rsid w:val="00762944"/>
    <w:rsid w:val="00762AE1"/>
    <w:rsid w:val="00763142"/>
    <w:rsid w:val="0076315F"/>
    <w:rsid w:val="00763186"/>
    <w:rsid w:val="007633C5"/>
    <w:rsid w:val="007634A5"/>
    <w:rsid w:val="0076353B"/>
    <w:rsid w:val="00763561"/>
    <w:rsid w:val="00763628"/>
    <w:rsid w:val="007636C5"/>
    <w:rsid w:val="00763BE9"/>
    <w:rsid w:val="00763DBA"/>
    <w:rsid w:val="00763E1A"/>
    <w:rsid w:val="00763E1B"/>
    <w:rsid w:val="00763EA8"/>
    <w:rsid w:val="00763FDB"/>
    <w:rsid w:val="007640B1"/>
    <w:rsid w:val="007642A8"/>
    <w:rsid w:val="007642AD"/>
    <w:rsid w:val="0076431C"/>
    <w:rsid w:val="007644E8"/>
    <w:rsid w:val="007646D0"/>
    <w:rsid w:val="007647C1"/>
    <w:rsid w:val="007648BE"/>
    <w:rsid w:val="00764935"/>
    <w:rsid w:val="00764938"/>
    <w:rsid w:val="007649B1"/>
    <w:rsid w:val="00764A52"/>
    <w:rsid w:val="00764B15"/>
    <w:rsid w:val="00764CAD"/>
    <w:rsid w:val="00764D72"/>
    <w:rsid w:val="00764ED1"/>
    <w:rsid w:val="00765357"/>
    <w:rsid w:val="007656DF"/>
    <w:rsid w:val="0076586D"/>
    <w:rsid w:val="007658AC"/>
    <w:rsid w:val="00765AA2"/>
    <w:rsid w:val="00765B40"/>
    <w:rsid w:val="00765BF5"/>
    <w:rsid w:val="00765D69"/>
    <w:rsid w:val="00765DD0"/>
    <w:rsid w:val="00765F53"/>
    <w:rsid w:val="0076613D"/>
    <w:rsid w:val="00766199"/>
    <w:rsid w:val="007661E4"/>
    <w:rsid w:val="007661F3"/>
    <w:rsid w:val="0076628B"/>
    <w:rsid w:val="007662A4"/>
    <w:rsid w:val="007662CC"/>
    <w:rsid w:val="007663AC"/>
    <w:rsid w:val="007663C6"/>
    <w:rsid w:val="007663E2"/>
    <w:rsid w:val="00766583"/>
    <w:rsid w:val="0076688F"/>
    <w:rsid w:val="0076689D"/>
    <w:rsid w:val="0076699E"/>
    <w:rsid w:val="007669CE"/>
    <w:rsid w:val="00766BC3"/>
    <w:rsid w:val="00766BF3"/>
    <w:rsid w:val="00766D5B"/>
    <w:rsid w:val="00766DAB"/>
    <w:rsid w:val="00766DEB"/>
    <w:rsid w:val="00766F9B"/>
    <w:rsid w:val="00766FF2"/>
    <w:rsid w:val="0076703D"/>
    <w:rsid w:val="00767307"/>
    <w:rsid w:val="007673BB"/>
    <w:rsid w:val="0076745C"/>
    <w:rsid w:val="007674C8"/>
    <w:rsid w:val="00767555"/>
    <w:rsid w:val="0076762D"/>
    <w:rsid w:val="00767666"/>
    <w:rsid w:val="00767713"/>
    <w:rsid w:val="00767838"/>
    <w:rsid w:val="00767A7C"/>
    <w:rsid w:val="00767B5C"/>
    <w:rsid w:val="00767CB8"/>
    <w:rsid w:val="00767CD7"/>
    <w:rsid w:val="00767DC3"/>
    <w:rsid w:val="00767DCD"/>
    <w:rsid w:val="00767EFE"/>
    <w:rsid w:val="0076B868"/>
    <w:rsid w:val="0077001C"/>
    <w:rsid w:val="00770162"/>
    <w:rsid w:val="0077020A"/>
    <w:rsid w:val="00770220"/>
    <w:rsid w:val="00770268"/>
    <w:rsid w:val="007702C9"/>
    <w:rsid w:val="007704CD"/>
    <w:rsid w:val="007704F5"/>
    <w:rsid w:val="00770541"/>
    <w:rsid w:val="007705D8"/>
    <w:rsid w:val="00770635"/>
    <w:rsid w:val="00770743"/>
    <w:rsid w:val="0077079E"/>
    <w:rsid w:val="00770974"/>
    <w:rsid w:val="00770C2A"/>
    <w:rsid w:val="00770DAE"/>
    <w:rsid w:val="00770E33"/>
    <w:rsid w:val="00770E73"/>
    <w:rsid w:val="00770E7E"/>
    <w:rsid w:val="00770F57"/>
    <w:rsid w:val="00770F9B"/>
    <w:rsid w:val="00771071"/>
    <w:rsid w:val="0077107F"/>
    <w:rsid w:val="0077125B"/>
    <w:rsid w:val="007712B6"/>
    <w:rsid w:val="00771502"/>
    <w:rsid w:val="00771599"/>
    <w:rsid w:val="0077169C"/>
    <w:rsid w:val="00771706"/>
    <w:rsid w:val="0077181D"/>
    <w:rsid w:val="0077184D"/>
    <w:rsid w:val="00771BEA"/>
    <w:rsid w:val="00771C87"/>
    <w:rsid w:val="00771E24"/>
    <w:rsid w:val="00771F74"/>
    <w:rsid w:val="00772069"/>
    <w:rsid w:val="00772310"/>
    <w:rsid w:val="007723B4"/>
    <w:rsid w:val="007723E5"/>
    <w:rsid w:val="00772426"/>
    <w:rsid w:val="0077245F"/>
    <w:rsid w:val="007724A2"/>
    <w:rsid w:val="007724FB"/>
    <w:rsid w:val="0077254F"/>
    <w:rsid w:val="00772591"/>
    <w:rsid w:val="0077260E"/>
    <w:rsid w:val="007729B4"/>
    <w:rsid w:val="00772A4E"/>
    <w:rsid w:val="00772C40"/>
    <w:rsid w:val="00772D0C"/>
    <w:rsid w:val="00772D97"/>
    <w:rsid w:val="00772DC3"/>
    <w:rsid w:val="00772E4B"/>
    <w:rsid w:val="00772F3F"/>
    <w:rsid w:val="00772F90"/>
    <w:rsid w:val="0077316B"/>
    <w:rsid w:val="007731C3"/>
    <w:rsid w:val="007731EB"/>
    <w:rsid w:val="007732C9"/>
    <w:rsid w:val="00773338"/>
    <w:rsid w:val="00773498"/>
    <w:rsid w:val="00773536"/>
    <w:rsid w:val="0077357C"/>
    <w:rsid w:val="00773624"/>
    <w:rsid w:val="00773679"/>
    <w:rsid w:val="00773782"/>
    <w:rsid w:val="00773AFB"/>
    <w:rsid w:val="00773E27"/>
    <w:rsid w:val="00773E45"/>
    <w:rsid w:val="00773EFD"/>
    <w:rsid w:val="00773F1E"/>
    <w:rsid w:val="00774262"/>
    <w:rsid w:val="007743F7"/>
    <w:rsid w:val="00774472"/>
    <w:rsid w:val="0077452E"/>
    <w:rsid w:val="0077463C"/>
    <w:rsid w:val="007746F7"/>
    <w:rsid w:val="00774775"/>
    <w:rsid w:val="007748B2"/>
    <w:rsid w:val="0077496E"/>
    <w:rsid w:val="00774C7C"/>
    <w:rsid w:val="00774DDE"/>
    <w:rsid w:val="00774EAD"/>
    <w:rsid w:val="00774FB7"/>
    <w:rsid w:val="00775324"/>
    <w:rsid w:val="0077545D"/>
    <w:rsid w:val="00775468"/>
    <w:rsid w:val="00775584"/>
    <w:rsid w:val="00775741"/>
    <w:rsid w:val="0077575A"/>
    <w:rsid w:val="00775BB6"/>
    <w:rsid w:val="00775BE2"/>
    <w:rsid w:val="00775F3C"/>
    <w:rsid w:val="00776024"/>
    <w:rsid w:val="007760FA"/>
    <w:rsid w:val="0077615A"/>
    <w:rsid w:val="00776172"/>
    <w:rsid w:val="007761AA"/>
    <w:rsid w:val="00776204"/>
    <w:rsid w:val="00776367"/>
    <w:rsid w:val="00776689"/>
    <w:rsid w:val="007766B9"/>
    <w:rsid w:val="0077675A"/>
    <w:rsid w:val="007769B7"/>
    <w:rsid w:val="00776A3A"/>
    <w:rsid w:val="00776ABF"/>
    <w:rsid w:val="00776B8F"/>
    <w:rsid w:val="00776BD3"/>
    <w:rsid w:val="00776D6C"/>
    <w:rsid w:val="00776DE6"/>
    <w:rsid w:val="00776DEE"/>
    <w:rsid w:val="00777068"/>
    <w:rsid w:val="007771D8"/>
    <w:rsid w:val="00777230"/>
    <w:rsid w:val="00777401"/>
    <w:rsid w:val="007774E2"/>
    <w:rsid w:val="0077755F"/>
    <w:rsid w:val="0077757F"/>
    <w:rsid w:val="007776A7"/>
    <w:rsid w:val="007777A1"/>
    <w:rsid w:val="00777A09"/>
    <w:rsid w:val="00777A33"/>
    <w:rsid w:val="00777A6D"/>
    <w:rsid w:val="00777B5E"/>
    <w:rsid w:val="00777BF8"/>
    <w:rsid w:val="00777C63"/>
    <w:rsid w:val="00777CB6"/>
    <w:rsid w:val="00777E92"/>
    <w:rsid w:val="00777F71"/>
    <w:rsid w:val="0078015E"/>
    <w:rsid w:val="0078022B"/>
    <w:rsid w:val="007802F6"/>
    <w:rsid w:val="00780315"/>
    <w:rsid w:val="00780541"/>
    <w:rsid w:val="00780695"/>
    <w:rsid w:val="0078069D"/>
    <w:rsid w:val="007807A9"/>
    <w:rsid w:val="00780A0F"/>
    <w:rsid w:val="00780A9F"/>
    <w:rsid w:val="00780BC9"/>
    <w:rsid w:val="00780C0B"/>
    <w:rsid w:val="00780C34"/>
    <w:rsid w:val="00780CD0"/>
    <w:rsid w:val="00780DFB"/>
    <w:rsid w:val="00780E13"/>
    <w:rsid w:val="00780EA7"/>
    <w:rsid w:val="00780FB6"/>
    <w:rsid w:val="00780FC9"/>
    <w:rsid w:val="00781004"/>
    <w:rsid w:val="00781075"/>
    <w:rsid w:val="00781596"/>
    <w:rsid w:val="007815AA"/>
    <w:rsid w:val="007815BB"/>
    <w:rsid w:val="007817C3"/>
    <w:rsid w:val="00781855"/>
    <w:rsid w:val="0078187A"/>
    <w:rsid w:val="00781884"/>
    <w:rsid w:val="007818BF"/>
    <w:rsid w:val="0078190D"/>
    <w:rsid w:val="00781D48"/>
    <w:rsid w:val="00781F99"/>
    <w:rsid w:val="007820C0"/>
    <w:rsid w:val="0078219B"/>
    <w:rsid w:val="007822CD"/>
    <w:rsid w:val="00782300"/>
    <w:rsid w:val="00782302"/>
    <w:rsid w:val="0078238B"/>
    <w:rsid w:val="007823D7"/>
    <w:rsid w:val="007824A2"/>
    <w:rsid w:val="007825B8"/>
    <w:rsid w:val="00782977"/>
    <w:rsid w:val="00782AC4"/>
    <w:rsid w:val="00782C29"/>
    <w:rsid w:val="00782C4B"/>
    <w:rsid w:val="00782C92"/>
    <w:rsid w:val="00782E5F"/>
    <w:rsid w:val="0078308E"/>
    <w:rsid w:val="007830AB"/>
    <w:rsid w:val="007830EF"/>
    <w:rsid w:val="007831DD"/>
    <w:rsid w:val="00783295"/>
    <w:rsid w:val="00783353"/>
    <w:rsid w:val="00783420"/>
    <w:rsid w:val="007835DA"/>
    <w:rsid w:val="00783DBF"/>
    <w:rsid w:val="00783F4D"/>
    <w:rsid w:val="00783FEB"/>
    <w:rsid w:val="0078403E"/>
    <w:rsid w:val="00784251"/>
    <w:rsid w:val="00784272"/>
    <w:rsid w:val="007842B4"/>
    <w:rsid w:val="007842FE"/>
    <w:rsid w:val="00784413"/>
    <w:rsid w:val="00784480"/>
    <w:rsid w:val="00784553"/>
    <w:rsid w:val="007846DA"/>
    <w:rsid w:val="007846DE"/>
    <w:rsid w:val="0078474C"/>
    <w:rsid w:val="007847BD"/>
    <w:rsid w:val="00784915"/>
    <w:rsid w:val="007849C9"/>
    <w:rsid w:val="00784AC7"/>
    <w:rsid w:val="00784DA2"/>
    <w:rsid w:val="007850F3"/>
    <w:rsid w:val="007851AE"/>
    <w:rsid w:val="00785334"/>
    <w:rsid w:val="007855D8"/>
    <w:rsid w:val="00785641"/>
    <w:rsid w:val="0078572D"/>
    <w:rsid w:val="00785825"/>
    <w:rsid w:val="007858AA"/>
    <w:rsid w:val="00785B1E"/>
    <w:rsid w:val="00785B57"/>
    <w:rsid w:val="00785CF6"/>
    <w:rsid w:val="00785D14"/>
    <w:rsid w:val="00785DBE"/>
    <w:rsid w:val="00785E76"/>
    <w:rsid w:val="00785F51"/>
    <w:rsid w:val="00785F65"/>
    <w:rsid w:val="0078605D"/>
    <w:rsid w:val="00786190"/>
    <w:rsid w:val="007862A6"/>
    <w:rsid w:val="007862B1"/>
    <w:rsid w:val="00786354"/>
    <w:rsid w:val="0078636B"/>
    <w:rsid w:val="007868F1"/>
    <w:rsid w:val="00786BAC"/>
    <w:rsid w:val="00786CD0"/>
    <w:rsid w:val="00786DBD"/>
    <w:rsid w:val="00786F6B"/>
    <w:rsid w:val="00786F97"/>
    <w:rsid w:val="007870F4"/>
    <w:rsid w:val="00787326"/>
    <w:rsid w:val="0078737E"/>
    <w:rsid w:val="00787464"/>
    <w:rsid w:val="007874D7"/>
    <w:rsid w:val="00787500"/>
    <w:rsid w:val="00787744"/>
    <w:rsid w:val="007877E8"/>
    <w:rsid w:val="00787A58"/>
    <w:rsid w:val="00787AA9"/>
    <w:rsid w:val="00787F78"/>
    <w:rsid w:val="00787FC6"/>
    <w:rsid w:val="0079011A"/>
    <w:rsid w:val="007901C3"/>
    <w:rsid w:val="007901FD"/>
    <w:rsid w:val="0079034D"/>
    <w:rsid w:val="00790590"/>
    <w:rsid w:val="007905A2"/>
    <w:rsid w:val="007905E2"/>
    <w:rsid w:val="00790674"/>
    <w:rsid w:val="007906EA"/>
    <w:rsid w:val="007908A9"/>
    <w:rsid w:val="0079094D"/>
    <w:rsid w:val="00790B17"/>
    <w:rsid w:val="00790B1A"/>
    <w:rsid w:val="00790C04"/>
    <w:rsid w:val="00790C0D"/>
    <w:rsid w:val="00790C57"/>
    <w:rsid w:val="00790CD6"/>
    <w:rsid w:val="00790DD7"/>
    <w:rsid w:val="00790E07"/>
    <w:rsid w:val="00790E55"/>
    <w:rsid w:val="00790E80"/>
    <w:rsid w:val="00790EDF"/>
    <w:rsid w:val="00791110"/>
    <w:rsid w:val="007911D4"/>
    <w:rsid w:val="00791256"/>
    <w:rsid w:val="007912B9"/>
    <w:rsid w:val="007912DB"/>
    <w:rsid w:val="007912FC"/>
    <w:rsid w:val="00791470"/>
    <w:rsid w:val="00791502"/>
    <w:rsid w:val="0079154A"/>
    <w:rsid w:val="00791550"/>
    <w:rsid w:val="007915AE"/>
    <w:rsid w:val="00791639"/>
    <w:rsid w:val="00791BAA"/>
    <w:rsid w:val="00791CA7"/>
    <w:rsid w:val="00791CF1"/>
    <w:rsid w:val="00791E2B"/>
    <w:rsid w:val="00791E5A"/>
    <w:rsid w:val="00791F12"/>
    <w:rsid w:val="007920E6"/>
    <w:rsid w:val="00792263"/>
    <w:rsid w:val="007922AF"/>
    <w:rsid w:val="00792465"/>
    <w:rsid w:val="007924B8"/>
    <w:rsid w:val="00792979"/>
    <w:rsid w:val="00792BB8"/>
    <w:rsid w:val="00792DAD"/>
    <w:rsid w:val="00792DBD"/>
    <w:rsid w:val="00792E0A"/>
    <w:rsid w:val="00793029"/>
    <w:rsid w:val="00793158"/>
    <w:rsid w:val="007931BD"/>
    <w:rsid w:val="007934AD"/>
    <w:rsid w:val="00793768"/>
    <w:rsid w:val="00793856"/>
    <w:rsid w:val="0079385C"/>
    <w:rsid w:val="00793C08"/>
    <w:rsid w:val="00793E1D"/>
    <w:rsid w:val="00793EA9"/>
    <w:rsid w:val="007940A8"/>
    <w:rsid w:val="007941E6"/>
    <w:rsid w:val="007941FC"/>
    <w:rsid w:val="0079430D"/>
    <w:rsid w:val="0079442C"/>
    <w:rsid w:val="00794516"/>
    <w:rsid w:val="0079482A"/>
    <w:rsid w:val="007948A1"/>
    <w:rsid w:val="00794A05"/>
    <w:rsid w:val="00794D29"/>
    <w:rsid w:val="00794D7D"/>
    <w:rsid w:val="00794DDF"/>
    <w:rsid w:val="00794E24"/>
    <w:rsid w:val="0079510B"/>
    <w:rsid w:val="007952FC"/>
    <w:rsid w:val="00795402"/>
    <w:rsid w:val="00795445"/>
    <w:rsid w:val="0079557F"/>
    <w:rsid w:val="00795641"/>
    <w:rsid w:val="0079570C"/>
    <w:rsid w:val="00795794"/>
    <w:rsid w:val="007957F7"/>
    <w:rsid w:val="00795A39"/>
    <w:rsid w:val="00795CA5"/>
    <w:rsid w:val="00795CC9"/>
    <w:rsid w:val="00795D86"/>
    <w:rsid w:val="00795EDE"/>
    <w:rsid w:val="00795FF6"/>
    <w:rsid w:val="007960B3"/>
    <w:rsid w:val="0079627B"/>
    <w:rsid w:val="007963E4"/>
    <w:rsid w:val="0079649F"/>
    <w:rsid w:val="007964F2"/>
    <w:rsid w:val="007965C4"/>
    <w:rsid w:val="007965D6"/>
    <w:rsid w:val="0079660E"/>
    <w:rsid w:val="0079674D"/>
    <w:rsid w:val="00796A26"/>
    <w:rsid w:val="00796C6D"/>
    <w:rsid w:val="00796FA5"/>
    <w:rsid w:val="00796FBA"/>
    <w:rsid w:val="0079740E"/>
    <w:rsid w:val="0079748F"/>
    <w:rsid w:val="00797540"/>
    <w:rsid w:val="00797720"/>
    <w:rsid w:val="007979E9"/>
    <w:rsid w:val="00797D34"/>
    <w:rsid w:val="00797E15"/>
    <w:rsid w:val="00797E6B"/>
    <w:rsid w:val="00797FDE"/>
    <w:rsid w:val="0079C2BD"/>
    <w:rsid w:val="0079CEEC"/>
    <w:rsid w:val="007A0103"/>
    <w:rsid w:val="007A0279"/>
    <w:rsid w:val="007A0367"/>
    <w:rsid w:val="007A03B3"/>
    <w:rsid w:val="007A055D"/>
    <w:rsid w:val="007A056C"/>
    <w:rsid w:val="007A058C"/>
    <w:rsid w:val="007A0745"/>
    <w:rsid w:val="007A07A0"/>
    <w:rsid w:val="007A07B6"/>
    <w:rsid w:val="007A07DD"/>
    <w:rsid w:val="007A0833"/>
    <w:rsid w:val="007A0908"/>
    <w:rsid w:val="007A0ACA"/>
    <w:rsid w:val="007A0B3B"/>
    <w:rsid w:val="007A0B4D"/>
    <w:rsid w:val="007A0CB3"/>
    <w:rsid w:val="007A0DEF"/>
    <w:rsid w:val="007A0E89"/>
    <w:rsid w:val="007A10D1"/>
    <w:rsid w:val="007A12F8"/>
    <w:rsid w:val="007A1819"/>
    <w:rsid w:val="007A19AC"/>
    <w:rsid w:val="007A1A13"/>
    <w:rsid w:val="007A1D0E"/>
    <w:rsid w:val="007A1DC3"/>
    <w:rsid w:val="007A1E6D"/>
    <w:rsid w:val="007A1F68"/>
    <w:rsid w:val="007A226D"/>
    <w:rsid w:val="007A2591"/>
    <w:rsid w:val="007A26C9"/>
    <w:rsid w:val="007A26D0"/>
    <w:rsid w:val="007A2752"/>
    <w:rsid w:val="007A2820"/>
    <w:rsid w:val="007A28DB"/>
    <w:rsid w:val="007A28EE"/>
    <w:rsid w:val="007A2905"/>
    <w:rsid w:val="007A29AD"/>
    <w:rsid w:val="007A2AC0"/>
    <w:rsid w:val="007A2CCA"/>
    <w:rsid w:val="007A2D7E"/>
    <w:rsid w:val="007A3130"/>
    <w:rsid w:val="007A3179"/>
    <w:rsid w:val="007A3272"/>
    <w:rsid w:val="007A32A3"/>
    <w:rsid w:val="007A3366"/>
    <w:rsid w:val="007A3398"/>
    <w:rsid w:val="007A34F1"/>
    <w:rsid w:val="007A3615"/>
    <w:rsid w:val="007A3649"/>
    <w:rsid w:val="007A36B4"/>
    <w:rsid w:val="007A38BC"/>
    <w:rsid w:val="007A39D6"/>
    <w:rsid w:val="007A3B4C"/>
    <w:rsid w:val="007A3C28"/>
    <w:rsid w:val="007A3CB4"/>
    <w:rsid w:val="007A3DAA"/>
    <w:rsid w:val="007A3E8F"/>
    <w:rsid w:val="007A3F31"/>
    <w:rsid w:val="007A40B9"/>
    <w:rsid w:val="007A415E"/>
    <w:rsid w:val="007A439A"/>
    <w:rsid w:val="007A442A"/>
    <w:rsid w:val="007A4585"/>
    <w:rsid w:val="007A45DB"/>
    <w:rsid w:val="007A46EF"/>
    <w:rsid w:val="007A4834"/>
    <w:rsid w:val="007A4851"/>
    <w:rsid w:val="007A49A9"/>
    <w:rsid w:val="007A4B11"/>
    <w:rsid w:val="007A4BA5"/>
    <w:rsid w:val="007A4C4D"/>
    <w:rsid w:val="007A4F54"/>
    <w:rsid w:val="007A5177"/>
    <w:rsid w:val="007A54D1"/>
    <w:rsid w:val="007A56E0"/>
    <w:rsid w:val="007A57A1"/>
    <w:rsid w:val="007A58B9"/>
    <w:rsid w:val="007A590B"/>
    <w:rsid w:val="007A5B6E"/>
    <w:rsid w:val="007A5B95"/>
    <w:rsid w:val="007A5CDF"/>
    <w:rsid w:val="007A5DA5"/>
    <w:rsid w:val="007A5F25"/>
    <w:rsid w:val="007A60F1"/>
    <w:rsid w:val="007A6107"/>
    <w:rsid w:val="007A61F5"/>
    <w:rsid w:val="007A6382"/>
    <w:rsid w:val="007A6464"/>
    <w:rsid w:val="007A663F"/>
    <w:rsid w:val="007A6669"/>
    <w:rsid w:val="007A66BF"/>
    <w:rsid w:val="007A6703"/>
    <w:rsid w:val="007A6BC1"/>
    <w:rsid w:val="007A6D2A"/>
    <w:rsid w:val="007A6EBF"/>
    <w:rsid w:val="007A7039"/>
    <w:rsid w:val="007A71B4"/>
    <w:rsid w:val="007A7414"/>
    <w:rsid w:val="007A7587"/>
    <w:rsid w:val="007A77BB"/>
    <w:rsid w:val="007A7941"/>
    <w:rsid w:val="007A7AB8"/>
    <w:rsid w:val="007A7B37"/>
    <w:rsid w:val="007A7B68"/>
    <w:rsid w:val="007A7C20"/>
    <w:rsid w:val="007A7C33"/>
    <w:rsid w:val="007A7C8F"/>
    <w:rsid w:val="007A7CF2"/>
    <w:rsid w:val="007A7DB1"/>
    <w:rsid w:val="007A7E8D"/>
    <w:rsid w:val="007A7EC4"/>
    <w:rsid w:val="007A7EC6"/>
    <w:rsid w:val="007A7FB8"/>
    <w:rsid w:val="007AA63C"/>
    <w:rsid w:val="007B0089"/>
    <w:rsid w:val="007B0162"/>
    <w:rsid w:val="007B0196"/>
    <w:rsid w:val="007B032A"/>
    <w:rsid w:val="007B0818"/>
    <w:rsid w:val="007B0824"/>
    <w:rsid w:val="007B08F7"/>
    <w:rsid w:val="007B08FA"/>
    <w:rsid w:val="007B091B"/>
    <w:rsid w:val="007B0A54"/>
    <w:rsid w:val="007B0A91"/>
    <w:rsid w:val="007B0FF0"/>
    <w:rsid w:val="007B1092"/>
    <w:rsid w:val="007B1149"/>
    <w:rsid w:val="007B1220"/>
    <w:rsid w:val="007B1238"/>
    <w:rsid w:val="007B1267"/>
    <w:rsid w:val="007B13C2"/>
    <w:rsid w:val="007B1472"/>
    <w:rsid w:val="007B14E7"/>
    <w:rsid w:val="007B15C4"/>
    <w:rsid w:val="007B17A1"/>
    <w:rsid w:val="007B1803"/>
    <w:rsid w:val="007B18BE"/>
    <w:rsid w:val="007B195D"/>
    <w:rsid w:val="007B19D5"/>
    <w:rsid w:val="007B1A7C"/>
    <w:rsid w:val="007B1B14"/>
    <w:rsid w:val="007B1BD7"/>
    <w:rsid w:val="007B1C12"/>
    <w:rsid w:val="007B1C25"/>
    <w:rsid w:val="007B1C8D"/>
    <w:rsid w:val="007B1C90"/>
    <w:rsid w:val="007B1DED"/>
    <w:rsid w:val="007B1E85"/>
    <w:rsid w:val="007B1F69"/>
    <w:rsid w:val="007B207A"/>
    <w:rsid w:val="007B222A"/>
    <w:rsid w:val="007B246C"/>
    <w:rsid w:val="007B24EA"/>
    <w:rsid w:val="007B2519"/>
    <w:rsid w:val="007B256A"/>
    <w:rsid w:val="007B2656"/>
    <w:rsid w:val="007B2665"/>
    <w:rsid w:val="007B269B"/>
    <w:rsid w:val="007B27BC"/>
    <w:rsid w:val="007B2977"/>
    <w:rsid w:val="007B29ED"/>
    <w:rsid w:val="007B2BF2"/>
    <w:rsid w:val="007B2CA1"/>
    <w:rsid w:val="007B2E15"/>
    <w:rsid w:val="007B2E5F"/>
    <w:rsid w:val="007B2FE9"/>
    <w:rsid w:val="007B30B6"/>
    <w:rsid w:val="007B3148"/>
    <w:rsid w:val="007B320B"/>
    <w:rsid w:val="007B32F0"/>
    <w:rsid w:val="007B3349"/>
    <w:rsid w:val="007B33D5"/>
    <w:rsid w:val="007B3444"/>
    <w:rsid w:val="007B3636"/>
    <w:rsid w:val="007B374F"/>
    <w:rsid w:val="007B3C42"/>
    <w:rsid w:val="007B3EFD"/>
    <w:rsid w:val="007B3F01"/>
    <w:rsid w:val="007B3F0D"/>
    <w:rsid w:val="007B3F2C"/>
    <w:rsid w:val="007B4188"/>
    <w:rsid w:val="007B4209"/>
    <w:rsid w:val="007B4342"/>
    <w:rsid w:val="007B4364"/>
    <w:rsid w:val="007B43D3"/>
    <w:rsid w:val="007B445E"/>
    <w:rsid w:val="007B4525"/>
    <w:rsid w:val="007B46D7"/>
    <w:rsid w:val="007B480D"/>
    <w:rsid w:val="007B4897"/>
    <w:rsid w:val="007B48E5"/>
    <w:rsid w:val="007B491F"/>
    <w:rsid w:val="007B497B"/>
    <w:rsid w:val="007B4A18"/>
    <w:rsid w:val="007B4B5B"/>
    <w:rsid w:val="007B4B85"/>
    <w:rsid w:val="007B4D1D"/>
    <w:rsid w:val="007B4EA1"/>
    <w:rsid w:val="007B4F28"/>
    <w:rsid w:val="007B5025"/>
    <w:rsid w:val="007B5076"/>
    <w:rsid w:val="007B507E"/>
    <w:rsid w:val="007B50BE"/>
    <w:rsid w:val="007B5206"/>
    <w:rsid w:val="007B5432"/>
    <w:rsid w:val="007B55C1"/>
    <w:rsid w:val="007B57E3"/>
    <w:rsid w:val="007B588F"/>
    <w:rsid w:val="007B599B"/>
    <w:rsid w:val="007B5B31"/>
    <w:rsid w:val="007B5BA1"/>
    <w:rsid w:val="007B5DC4"/>
    <w:rsid w:val="007B5DDB"/>
    <w:rsid w:val="007B5E25"/>
    <w:rsid w:val="007B5EE0"/>
    <w:rsid w:val="007B5FEC"/>
    <w:rsid w:val="007B614D"/>
    <w:rsid w:val="007B629D"/>
    <w:rsid w:val="007B632F"/>
    <w:rsid w:val="007B63FF"/>
    <w:rsid w:val="007B64D5"/>
    <w:rsid w:val="007B6643"/>
    <w:rsid w:val="007B6830"/>
    <w:rsid w:val="007B6938"/>
    <w:rsid w:val="007B69D3"/>
    <w:rsid w:val="007B69FA"/>
    <w:rsid w:val="007B6A05"/>
    <w:rsid w:val="007B6A3B"/>
    <w:rsid w:val="007B6A60"/>
    <w:rsid w:val="007B6C2E"/>
    <w:rsid w:val="007B6D96"/>
    <w:rsid w:val="007B6E5D"/>
    <w:rsid w:val="007B6EC4"/>
    <w:rsid w:val="007B7010"/>
    <w:rsid w:val="007B70B1"/>
    <w:rsid w:val="007B7354"/>
    <w:rsid w:val="007B7380"/>
    <w:rsid w:val="007B73D1"/>
    <w:rsid w:val="007B73F1"/>
    <w:rsid w:val="007B741D"/>
    <w:rsid w:val="007B74F5"/>
    <w:rsid w:val="007B74FC"/>
    <w:rsid w:val="007B7727"/>
    <w:rsid w:val="007B7752"/>
    <w:rsid w:val="007B7875"/>
    <w:rsid w:val="007B7958"/>
    <w:rsid w:val="007B7B41"/>
    <w:rsid w:val="007B7B5C"/>
    <w:rsid w:val="007B7C06"/>
    <w:rsid w:val="007B7C3C"/>
    <w:rsid w:val="007B7C96"/>
    <w:rsid w:val="007B7DB3"/>
    <w:rsid w:val="007B7E52"/>
    <w:rsid w:val="007C0079"/>
    <w:rsid w:val="007C0114"/>
    <w:rsid w:val="007C0413"/>
    <w:rsid w:val="007C049F"/>
    <w:rsid w:val="007C06C4"/>
    <w:rsid w:val="007C06E2"/>
    <w:rsid w:val="007C0744"/>
    <w:rsid w:val="007C07E3"/>
    <w:rsid w:val="007C0D67"/>
    <w:rsid w:val="007C0DEE"/>
    <w:rsid w:val="007C0EAB"/>
    <w:rsid w:val="007C0FBA"/>
    <w:rsid w:val="007C10CE"/>
    <w:rsid w:val="007C1271"/>
    <w:rsid w:val="007C12CA"/>
    <w:rsid w:val="007C135B"/>
    <w:rsid w:val="007C13F0"/>
    <w:rsid w:val="007C13F2"/>
    <w:rsid w:val="007C164C"/>
    <w:rsid w:val="007C1697"/>
    <w:rsid w:val="007C1766"/>
    <w:rsid w:val="007C17B0"/>
    <w:rsid w:val="007C17DC"/>
    <w:rsid w:val="007C180B"/>
    <w:rsid w:val="007C1863"/>
    <w:rsid w:val="007C18E8"/>
    <w:rsid w:val="007C1949"/>
    <w:rsid w:val="007C196F"/>
    <w:rsid w:val="007C19A2"/>
    <w:rsid w:val="007C1A7A"/>
    <w:rsid w:val="007C1C0B"/>
    <w:rsid w:val="007C1C2F"/>
    <w:rsid w:val="007C1C93"/>
    <w:rsid w:val="007C1CF1"/>
    <w:rsid w:val="007C1D44"/>
    <w:rsid w:val="007C1DAF"/>
    <w:rsid w:val="007C1E9D"/>
    <w:rsid w:val="007C1ECB"/>
    <w:rsid w:val="007C1ED9"/>
    <w:rsid w:val="007C1FC2"/>
    <w:rsid w:val="007C2047"/>
    <w:rsid w:val="007C2287"/>
    <w:rsid w:val="007C24BC"/>
    <w:rsid w:val="007C261A"/>
    <w:rsid w:val="007C28E8"/>
    <w:rsid w:val="007C2C7C"/>
    <w:rsid w:val="007C2C7E"/>
    <w:rsid w:val="007C2D94"/>
    <w:rsid w:val="007C2E2F"/>
    <w:rsid w:val="007C2ED6"/>
    <w:rsid w:val="007C3030"/>
    <w:rsid w:val="007C35D0"/>
    <w:rsid w:val="007C3613"/>
    <w:rsid w:val="007C3661"/>
    <w:rsid w:val="007C3A78"/>
    <w:rsid w:val="007C3B6E"/>
    <w:rsid w:val="007C3C1A"/>
    <w:rsid w:val="007C3C1F"/>
    <w:rsid w:val="007C3C76"/>
    <w:rsid w:val="007C3D12"/>
    <w:rsid w:val="007C3D1D"/>
    <w:rsid w:val="007C3E2D"/>
    <w:rsid w:val="007C3F9B"/>
    <w:rsid w:val="007C3FE8"/>
    <w:rsid w:val="007C4129"/>
    <w:rsid w:val="007C4168"/>
    <w:rsid w:val="007C4183"/>
    <w:rsid w:val="007C41D5"/>
    <w:rsid w:val="007C420B"/>
    <w:rsid w:val="007C4263"/>
    <w:rsid w:val="007C4286"/>
    <w:rsid w:val="007C436E"/>
    <w:rsid w:val="007C4514"/>
    <w:rsid w:val="007C4633"/>
    <w:rsid w:val="007C4652"/>
    <w:rsid w:val="007C4755"/>
    <w:rsid w:val="007C47C1"/>
    <w:rsid w:val="007C48FE"/>
    <w:rsid w:val="007C4938"/>
    <w:rsid w:val="007C4BE3"/>
    <w:rsid w:val="007C4CC6"/>
    <w:rsid w:val="007C4CC8"/>
    <w:rsid w:val="007C4CD3"/>
    <w:rsid w:val="007C4DFC"/>
    <w:rsid w:val="007C5104"/>
    <w:rsid w:val="007C514D"/>
    <w:rsid w:val="007C51B6"/>
    <w:rsid w:val="007C5421"/>
    <w:rsid w:val="007C5496"/>
    <w:rsid w:val="007C5646"/>
    <w:rsid w:val="007C5835"/>
    <w:rsid w:val="007C584D"/>
    <w:rsid w:val="007C5A05"/>
    <w:rsid w:val="007C5A14"/>
    <w:rsid w:val="007C5A29"/>
    <w:rsid w:val="007C5B30"/>
    <w:rsid w:val="007C5CBF"/>
    <w:rsid w:val="007C5CC0"/>
    <w:rsid w:val="007C5D9F"/>
    <w:rsid w:val="007C5FA4"/>
    <w:rsid w:val="007C61D5"/>
    <w:rsid w:val="007C630A"/>
    <w:rsid w:val="007C63CF"/>
    <w:rsid w:val="007C65C8"/>
    <w:rsid w:val="007C6610"/>
    <w:rsid w:val="007C6656"/>
    <w:rsid w:val="007C6826"/>
    <w:rsid w:val="007C6833"/>
    <w:rsid w:val="007C696C"/>
    <w:rsid w:val="007C6BD5"/>
    <w:rsid w:val="007C6BE6"/>
    <w:rsid w:val="007C6EBF"/>
    <w:rsid w:val="007C6F05"/>
    <w:rsid w:val="007C7034"/>
    <w:rsid w:val="007C7104"/>
    <w:rsid w:val="007C7196"/>
    <w:rsid w:val="007C71E8"/>
    <w:rsid w:val="007C72B3"/>
    <w:rsid w:val="007C731A"/>
    <w:rsid w:val="007C73C6"/>
    <w:rsid w:val="007C7493"/>
    <w:rsid w:val="007C759B"/>
    <w:rsid w:val="007C75D1"/>
    <w:rsid w:val="007C7784"/>
    <w:rsid w:val="007C7BCF"/>
    <w:rsid w:val="007C7C7E"/>
    <w:rsid w:val="007C7CDD"/>
    <w:rsid w:val="007C7CF1"/>
    <w:rsid w:val="007CA3EB"/>
    <w:rsid w:val="007D01E5"/>
    <w:rsid w:val="007D0436"/>
    <w:rsid w:val="007D064F"/>
    <w:rsid w:val="007D065A"/>
    <w:rsid w:val="007D0745"/>
    <w:rsid w:val="007D07D1"/>
    <w:rsid w:val="007D08B1"/>
    <w:rsid w:val="007D0917"/>
    <w:rsid w:val="007D0AB7"/>
    <w:rsid w:val="007D0ABC"/>
    <w:rsid w:val="007D0BEF"/>
    <w:rsid w:val="007D0C70"/>
    <w:rsid w:val="007D0CAD"/>
    <w:rsid w:val="007D0D80"/>
    <w:rsid w:val="007D0E94"/>
    <w:rsid w:val="007D0FBD"/>
    <w:rsid w:val="007D0FD5"/>
    <w:rsid w:val="007D1052"/>
    <w:rsid w:val="007D10AF"/>
    <w:rsid w:val="007D1393"/>
    <w:rsid w:val="007D1436"/>
    <w:rsid w:val="007D1551"/>
    <w:rsid w:val="007D15BE"/>
    <w:rsid w:val="007D160F"/>
    <w:rsid w:val="007D16F5"/>
    <w:rsid w:val="007D1869"/>
    <w:rsid w:val="007D1887"/>
    <w:rsid w:val="007D19EA"/>
    <w:rsid w:val="007D1BED"/>
    <w:rsid w:val="007D1FC0"/>
    <w:rsid w:val="007D1FDE"/>
    <w:rsid w:val="007D20F1"/>
    <w:rsid w:val="007D219F"/>
    <w:rsid w:val="007D2220"/>
    <w:rsid w:val="007D2270"/>
    <w:rsid w:val="007D231E"/>
    <w:rsid w:val="007D232A"/>
    <w:rsid w:val="007D23AA"/>
    <w:rsid w:val="007D242E"/>
    <w:rsid w:val="007D2453"/>
    <w:rsid w:val="007D252A"/>
    <w:rsid w:val="007D258D"/>
    <w:rsid w:val="007D2635"/>
    <w:rsid w:val="007D2726"/>
    <w:rsid w:val="007D27FD"/>
    <w:rsid w:val="007D2880"/>
    <w:rsid w:val="007D297B"/>
    <w:rsid w:val="007D29A4"/>
    <w:rsid w:val="007D29BA"/>
    <w:rsid w:val="007D2A0C"/>
    <w:rsid w:val="007D2BDA"/>
    <w:rsid w:val="007D2CA7"/>
    <w:rsid w:val="007D2CA8"/>
    <w:rsid w:val="007D2CFD"/>
    <w:rsid w:val="007D2D0E"/>
    <w:rsid w:val="007D2DC5"/>
    <w:rsid w:val="007D3073"/>
    <w:rsid w:val="007D3795"/>
    <w:rsid w:val="007D3C29"/>
    <w:rsid w:val="007D3EC0"/>
    <w:rsid w:val="007D3EC3"/>
    <w:rsid w:val="007D3F4F"/>
    <w:rsid w:val="007D3F5E"/>
    <w:rsid w:val="007D3FCA"/>
    <w:rsid w:val="007D403E"/>
    <w:rsid w:val="007D404E"/>
    <w:rsid w:val="007D40B3"/>
    <w:rsid w:val="007D4221"/>
    <w:rsid w:val="007D4296"/>
    <w:rsid w:val="007D429F"/>
    <w:rsid w:val="007D42CC"/>
    <w:rsid w:val="007D430C"/>
    <w:rsid w:val="007D43EC"/>
    <w:rsid w:val="007D44BA"/>
    <w:rsid w:val="007D45C3"/>
    <w:rsid w:val="007D4630"/>
    <w:rsid w:val="007D47C6"/>
    <w:rsid w:val="007D47E9"/>
    <w:rsid w:val="007D482A"/>
    <w:rsid w:val="007D4BB3"/>
    <w:rsid w:val="007D4BC4"/>
    <w:rsid w:val="007D4C85"/>
    <w:rsid w:val="007D4C8E"/>
    <w:rsid w:val="007D4F61"/>
    <w:rsid w:val="007D4F94"/>
    <w:rsid w:val="007D5377"/>
    <w:rsid w:val="007D5392"/>
    <w:rsid w:val="007D53F3"/>
    <w:rsid w:val="007D55E9"/>
    <w:rsid w:val="007D5982"/>
    <w:rsid w:val="007D59A8"/>
    <w:rsid w:val="007D5D90"/>
    <w:rsid w:val="007D5EC2"/>
    <w:rsid w:val="007D6291"/>
    <w:rsid w:val="007D6479"/>
    <w:rsid w:val="007D67DE"/>
    <w:rsid w:val="007D6944"/>
    <w:rsid w:val="007D6C7F"/>
    <w:rsid w:val="007D6D9D"/>
    <w:rsid w:val="007D6DD0"/>
    <w:rsid w:val="007D6F9B"/>
    <w:rsid w:val="007D6FCC"/>
    <w:rsid w:val="007D703A"/>
    <w:rsid w:val="007D71CA"/>
    <w:rsid w:val="007D71DD"/>
    <w:rsid w:val="007D71F7"/>
    <w:rsid w:val="007D7379"/>
    <w:rsid w:val="007D7623"/>
    <w:rsid w:val="007D77E6"/>
    <w:rsid w:val="007D7985"/>
    <w:rsid w:val="007D7A8D"/>
    <w:rsid w:val="007D7B54"/>
    <w:rsid w:val="007D7BBA"/>
    <w:rsid w:val="007D7C67"/>
    <w:rsid w:val="007D7F41"/>
    <w:rsid w:val="007DD786"/>
    <w:rsid w:val="007E0062"/>
    <w:rsid w:val="007E0174"/>
    <w:rsid w:val="007E01B5"/>
    <w:rsid w:val="007E01B9"/>
    <w:rsid w:val="007E02B1"/>
    <w:rsid w:val="007E02D3"/>
    <w:rsid w:val="007E0870"/>
    <w:rsid w:val="007E0880"/>
    <w:rsid w:val="007E0947"/>
    <w:rsid w:val="007E09EF"/>
    <w:rsid w:val="007E0AD8"/>
    <w:rsid w:val="007E0BA5"/>
    <w:rsid w:val="007E0C6F"/>
    <w:rsid w:val="007E0D3A"/>
    <w:rsid w:val="007E0D44"/>
    <w:rsid w:val="007E0E55"/>
    <w:rsid w:val="007E0E89"/>
    <w:rsid w:val="007E0F52"/>
    <w:rsid w:val="007E105B"/>
    <w:rsid w:val="007E105E"/>
    <w:rsid w:val="007E10CC"/>
    <w:rsid w:val="007E1123"/>
    <w:rsid w:val="007E11BE"/>
    <w:rsid w:val="007E11F1"/>
    <w:rsid w:val="007E12CD"/>
    <w:rsid w:val="007E16D8"/>
    <w:rsid w:val="007E17D7"/>
    <w:rsid w:val="007E18DD"/>
    <w:rsid w:val="007E1A51"/>
    <w:rsid w:val="007E1C09"/>
    <w:rsid w:val="007E1CD6"/>
    <w:rsid w:val="007E1D45"/>
    <w:rsid w:val="007E1D49"/>
    <w:rsid w:val="007E1DCE"/>
    <w:rsid w:val="007E2025"/>
    <w:rsid w:val="007E20EE"/>
    <w:rsid w:val="007E223A"/>
    <w:rsid w:val="007E23B9"/>
    <w:rsid w:val="007E265F"/>
    <w:rsid w:val="007E2662"/>
    <w:rsid w:val="007E26A2"/>
    <w:rsid w:val="007E2709"/>
    <w:rsid w:val="007E278C"/>
    <w:rsid w:val="007E2795"/>
    <w:rsid w:val="007E2850"/>
    <w:rsid w:val="007E29B3"/>
    <w:rsid w:val="007E2A8F"/>
    <w:rsid w:val="007E2D51"/>
    <w:rsid w:val="007E30DF"/>
    <w:rsid w:val="007E3364"/>
    <w:rsid w:val="007E33CE"/>
    <w:rsid w:val="007E33D1"/>
    <w:rsid w:val="007E36C0"/>
    <w:rsid w:val="007E3781"/>
    <w:rsid w:val="007E39C1"/>
    <w:rsid w:val="007E3A52"/>
    <w:rsid w:val="007E3C20"/>
    <w:rsid w:val="007E3C9A"/>
    <w:rsid w:val="007E3CFC"/>
    <w:rsid w:val="007E3F39"/>
    <w:rsid w:val="007E412D"/>
    <w:rsid w:val="007E41A7"/>
    <w:rsid w:val="007E42D6"/>
    <w:rsid w:val="007E4360"/>
    <w:rsid w:val="007E447C"/>
    <w:rsid w:val="007E451A"/>
    <w:rsid w:val="007E452F"/>
    <w:rsid w:val="007E4588"/>
    <w:rsid w:val="007E467F"/>
    <w:rsid w:val="007E473E"/>
    <w:rsid w:val="007E487B"/>
    <w:rsid w:val="007E4ACC"/>
    <w:rsid w:val="007E4B23"/>
    <w:rsid w:val="007E4BAA"/>
    <w:rsid w:val="007E4CD9"/>
    <w:rsid w:val="007E4CFE"/>
    <w:rsid w:val="007E4E61"/>
    <w:rsid w:val="007E4E89"/>
    <w:rsid w:val="007E4FAF"/>
    <w:rsid w:val="007E51E3"/>
    <w:rsid w:val="007E5251"/>
    <w:rsid w:val="007E5256"/>
    <w:rsid w:val="007E55B8"/>
    <w:rsid w:val="007E56A5"/>
    <w:rsid w:val="007E57D3"/>
    <w:rsid w:val="007E58D8"/>
    <w:rsid w:val="007E5980"/>
    <w:rsid w:val="007E5C4D"/>
    <w:rsid w:val="007E5E6D"/>
    <w:rsid w:val="007E604C"/>
    <w:rsid w:val="007E607C"/>
    <w:rsid w:val="007E6080"/>
    <w:rsid w:val="007E631C"/>
    <w:rsid w:val="007E6464"/>
    <w:rsid w:val="007E66AA"/>
    <w:rsid w:val="007E671C"/>
    <w:rsid w:val="007E677C"/>
    <w:rsid w:val="007E692C"/>
    <w:rsid w:val="007E6A99"/>
    <w:rsid w:val="007E6B68"/>
    <w:rsid w:val="007E6C71"/>
    <w:rsid w:val="007E6C88"/>
    <w:rsid w:val="007E6D1A"/>
    <w:rsid w:val="007E6E26"/>
    <w:rsid w:val="007E6EAC"/>
    <w:rsid w:val="007E7296"/>
    <w:rsid w:val="007E755D"/>
    <w:rsid w:val="007E7703"/>
    <w:rsid w:val="007E7807"/>
    <w:rsid w:val="007E785B"/>
    <w:rsid w:val="007E7899"/>
    <w:rsid w:val="007E79D0"/>
    <w:rsid w:val="007E7A32"/>
    <w:rsid w:val="007E7AB5"/>
    <w:rsid w:val="007E7EED"/>
    <w:rsid w:val="007E7EF4"/>
    <w:rsid w:val="007E7F1B"/>
    <w:rsid w:val="007E7F23"/>
    <w:rsid w:val="007E7F32"/>
    <w:rsid w:val="007EA8AD"/>
    <w:rsid w:val="007F010F"/>
    <w:rsid w:val="007F01EE"/>
    <w:rsid w:val="007F02CC"/>
    <w:rsid w:val="007F0471"/>
    <w:rsid w:val="007F050F"/>
    <w:rsid w:val="007F060A"/>
    <w:rsid w:val="007F0734"/>
    <w:rsid w:val="007F0867"/>
    <w:rsid w:val="007F0871"/>
    <w:rsid w:val="007F0B85"/>
    <w:rsid w:val="007F0B89"/>
    <w:rsid w:val="007F0B8B"/>
    <w:rsid w:val="007F0CE4"/>
    <w:rsid w:val="007F1052"/>
    <w:rsid w:val="007F1245"/>
    <w:rsid w:val="007F1360"/>
    <w:rsid w:val="007F1456"/>
    <w:rsid w:val="007F147C"/>
    <w:rsid w:val="007F158D"/>
    <w:rsid w:val="007F16D6"/>
    <w:rsid w:val="007F18D5"/>
    <w:rsid w:val="007F19CD"/>
    <w:rsid w:val="007F1A64"/>
    <w:rsid w:val="007F1BC9"/>
    <w:rsid w:val="007F1CB0"/>
    <w:rsid w:val="007F1DD4"/>
    <w:rsid w:val="007F1E59"/>
    <w:rsid w:val="007F1FB8"/>
    <w:rsid w:val="007F1FD1"/>
    <w:rsid w:val="007F2017"/>
    <w:rsid w:val="007F2021"/>
    <w:rsid w:val="007F20C9"/>
    <w:rsid w:val="007F2184"/>
    <w:rsid w:val="007F2215"/>
    <w:rsid w:val="007F2249"/>
    <w:rsid w:val="007F23E7"/>
    <w:rsid w:val="007F277E"/>
    <w:rsid w:val="007F27D1"/>
    <w:rsid w:val="007F27D7"/>
    <w:rsid w:val="007F27E2"/>
    <w:rsid w:val="007F2941"/>
    <w:rsid w:val="007F298F"/>
    <w:rsid w:val="007F299C"/>
    <w:rsid w:val="007F29F9"/>
    <w:rsid w:val="007F2AA2"/>
    <w:rsid w:val="007F2CE7"/>
    <w:rsid w:val="007F2DE8"/>
    <w:rsid w:val="007F2EDE"/>
    <w:rsid w:val="007F2EE7"/>
    <w:rsid w:val="007F2F7B"/>
    <w:rsid w:val="007F30F6"/>
    <w:rsid w:val="007F3186"/>
    <w:rsid w:val="007F319E"/>
    <w:rsid w:val="007F3457"/>
    <w:rsid w:val="007F350A"/>
    <w:rsid w:val="007F354B"/>
    <w:rsid w:val="007F3756"/>
    <w:rsid w:val="007F38AA"/>
    <w:rsid w:val="007F39E3"/>
    <w:rsid w:val="007F3AAA"/>
    <w:rsid w:val="007F3CAF"/>
    <w:rsid w:val="007F3D6E"/>
    <w:rsid w:val="007F3DA1"/>
    <w:rsid w:val="007F3E3F"/>
    <w:rsid w:val="007F3FD2"/>
    <w:rsid w:val="007F3FF6"/>
    <w:rsid w:val="007F4106"/>
    <w:rsid w:val="007F4214"/>
    <w:rsid w:val="007F42CF"/>
    <w:rsid w:val="007F45EB"/>
    <w:rsid w:val="007F4784"/>
    <w:rsid w:val="007F47CD"/>
    <w:rsid w:val="007F485E"/>
    <w:rsid w:val="007F4AB7"/>
    <w:rsid w:val="007F4B4E"/>
    <w:rsid w:val="007F4B8E"/>
    <w:rsid w:val="007F4D2E"/>
    <w:rsid w:val="007F4EA9"/>
    <w:rsid w:val="007F5160"/>
    <w:rsid w:val="007F51AA"/>
    <w:rsid w:val="007F52A1"/>
    <w:rsid w:val="007F52BC"/>
    <w:rsid w:val="007F52CB"/>
    <w:rsid w:val="007F5389"/>
    <w:rsid w:val="007F53D8"/>
    <w:rsid w:val="007F556C"/>
    <w:rsid w:val="007F56D5"/>
    <w:rsid w:val="007F5876"/>
    <w:rsid w:val="007F5BA7"/>
    <w:rsid w:val="007F5BE2"/>
    <w:rsid w:val="007F5CE5"/>
    <w:rsid w:val="007F5D5C"/>
    <w:rsid w:val="007F5D70"/>
    <w:rsid w:val="007F5D96"/>
    <w:rsid w:val="007F5DAD"/>
    <w:rsid w:val="007F628E"/>
    <w:rsid w:val="007F6340"/>
    <w:rsid w:val="007F64C0"/>
    <w:rsid w:val="007F67B0"/>
    <w:rsid w:val="007F6800"/>
    <w:rsid w:val="007F6888"/>
    <w:rsid w:val="007F6A39"/>
    <w:rsid w:val="007F6DD8"/>
    <w:rsid w:val="007F7129"/>
    <w:rsid w:val="007F7212"/>
    <w:rsid w:val="007F74B3"/>
    <w:rsid w:val="007F7644"/>
    <w:rsid w:val="007F76F4"/>
    <w:rsid w:val="007F7906"/>
    <w:rsid w:val="007F7AB8"/>
    <w:rsid w:val="007F7BC3"/>
    <w:rsid w:val="007F7CCA"/>
    <w:rsid w:val="007F7D3C"/>
    <w:rsid w:val="007F7DEB"/>
    <w:rsid w:val="00800068"/>
    <w:rsid w:val="00800094"/>
    <w:rsid w:val="008000B9"/>
    <w:rsid w:val="008000C7"/>
    <w:rsid w:val="00800124"/>
    <w:rsid w:val="00800130"/>
    <w:rsid w:val="00800438"/>
    <w:rsid w:val="0080049D"/>
    <w:rsid w:val="0080068F"/>
    <w:rsid w:val="00800692"/>
    <w:rsid w:val="0080069C"/>
    <w:rsid w:val="0080080B"/>
    <w:rsid w:val="00800855"/>
    <w:rsid w:val="008008E9"/>
    <w:rsid w:val="00800953"/>
    <w:rsid w:val="00800A48"/>
    <w:rsid w:val="00800AF3"/>
    <w:rsid w:val="00800D76"/>
    <w:rsid w:val="00800E2C"/>
    <w:rsid w:val="00800E5C"/>
    <w:rsid w:val="00801543"/>
    <w:rsid w:val="008015A1"/>
    <w:rsid w:val="008015C6"/>
    <w:rsid w:val="0080173D"/>
    <w:rsid w:val="00801B84"/>
    <w:rsid w:val="00801D84"/>
    <w:rsid w:val="00801E48"/>
    <w:rsid w:val="00801F1B"/>
    <w:rsid w:val="0080207D"/>
    <w:rsid w:val="008020AC"/>
    <w:rsid w:val="008020FB"/>
    <w:rsid w:val="00802254"/>
    <w:rsid w:val="008023B7"/>
    <w:rsid w:val="00802458"/>
    <w:rsid w:val="00802759"/>
    <w:rsid w:val="008029AE"/>
    <w:rsid w:val="00802AB6"/>
    <w:rsid w:val="00802D1D"/>
    <w:rsid w:val="00802DE8"/>
    <w:rsid w:val="00802E46"/>
    <w:rsid w:val="00802FC6"/>
    <w:rsid w:val="0080347C"/>
    <w:rsid w:val="00803484"/>
    <w:rsid w:val="00803840"/>
    <w:rsid w:val="00803A4D"/>
    <w:rsid w:val="00803A5E"/>
    <w:rsid w:val="00803AD2"/>
    <w:rsid w:val="00803C5F"/>
    <w:rsid w:val="00803C64"/>
    <w:rsid w:val="00803CF3"/>
    <w:rsid w:val="00803D3C"/>
    <w:rsid w:val="00803DA1"/>
    <w:rsid w:val="008040A9"/>
    <w:rsid w:val="0080428D"/>
    <w:rsid w:val="008042F5"/>
    <w:rsid w:val="008043A8"/>
    <w:rsid w:val="008043D6"/>
    <w:rsid w:val="00804412"/>
    <w:rsid w:val="008044DD"/>
    <w:rsid w:val="00804503"/>
    <w:rsid w:val="00804528"/>
    <w:rsid w:val="00804585"/>
    <w:rsid w:val="008048DE"/>
    <w:rsid w:val="0080496F"/>
    <w:rsid w:val="00804A1F"/>
    <w:rsid w:val="00804A41"/>
    <w:rsid w:val="00804BF9"/>
    <w:rsid w:val="00804E3B"/>
    <w:rsid w:val="00804F01"/>
    <w:rsid w:val="00805020"/>
    <w:rsid w:val="00805127"/>
    <w:rsid w:val="00805335"/>
    <w:rsid w:val="00805443"/>
    <w:rsid w:val="00805616"/>
    <w:rsid w:val="0080588F"/>
    <w:rsid w:val="0080599C"/>
    <w:rsid w:val="008059C8"/>
    <w:rsid w:val="00805A03"/>
    <w:rsid w:val="00805B7E"/>
    <w:rsid w:val="00805D39"/>
    <w:rsid w:val="00805D77"/>
    <w:rsid w:val="00805D96"/>
    <w:rsid w:val="00805F30"/>
    <w:rsid w:val="00806049"/>
    <w:rsid w:val="00806082"/>
    <w:rsid w:val="008060AA"/>
    <w:rsid w:val="0080626E"/>
    <w:rsid w:val="008063F4"/>
    <w:rsid w:val="008067D1"/>
    <w:rsid w:val="00806919"/>
    <w:rsid w:val="00806BB9"/>
    <w:rsid w:val="00806C70"/>
    <w:rsid w:val="00806D65"/>
    <w:rsid w:val="00806D6C"/>
    <w:rsid w:val="00807052"/>
    <w:rsid w:val="008071C6"/>
    <w:rsid w:val="00807296"/>
    <w:rsid w:val="008073CF"/>
    <w:rsid w:val="008074AB"/>
    <w:rsid w:val="008074BF"/>
    <w:rsid w:val="008074F3"/>
    <w:rsid w:val="0080773A"/>
    <w:rsid w:val="0080780A"/>
    <w:rsid w:val="00807829"/>
    <w:rsid w:val="00807A8E"/>
    <w:rsid w:val="00807AA7"/>
    <w:rsid w:val="00807B86"/>
    <w:rsid w:val="00807EAF"/>
    <w:rsid w:val="00807FD1"/>
    <w:rsid w:val="008101F5"/>
    <w:rsid w:val="00810283"/>
    <w:rsid w:val="00810377"/>
    <w:rsid w:val="008103CC"/>
    <w:rsid w:val="008104E4"/>
    <w:rsid w:val="008105F6"/>
    <w:rsid w:val="008107B8"/>
    <w:rsid w:val="008107C0"/>
    <w:rsid w:val="00810AE6"/>
    <w:rsid w:val="00810CBF"/>
    <w:rsid w:val="00810CE4"/>
    <w:rsid w:val="00810DAA"/>
    <w:rsid w:val="00810EF1"/>
    <w:rsid w:val="00810F35"/>
    <w:rsid w:val="0081108D"/>
    <w:rsid w:val="0081114F"/>
    <w:rsid w:val="008114C3"/>
    <w:rsid w:val="0081184D"/>
    <w:rsid w:val="00811866"/>
    <w:rsid w:val="00811AB9"/>
    <w:rsid w:val="00811B1E"/>
    <w:rsid w:val="00811D61"/>
    <w:rsid w:val="00811EC0"/>
    <w:rsid w:val="00811F78"/>
    <w:rsid w:val="0081208A"/>
    <w:rsid w:val="00812146"/>
    <w:rsid w:val="00812295"/>
    <w:rsid w:val="00812357"/>
    <w:rsid w:val="008125EF"/>
    <w:rsid w:val="00812668"/>
    <w:rsid w:val="00812732"/>
    <w:rsid w:val="0081282D"/>
    <w:rsid w:val="00812914"/>
    <w:rsid w:val="008129D4"/>
    <w:rsid w:val="00812AB4"/>
    <w:rsid w:val="00812AC2"/>
    <w:rsid w:val="00812E8E"/>
    <w:rsid w:val="00812EB2"/>
    <w:rsid w:val="00812EC0"/>
    <w:rsid w:val="00812F87"/>
    <w:rsid w:val="00812FE2"/>
    <w:rsid w:val="00812FEA"/>
    <w:rsid w:val="0081305C"/>
    <w:rsid w:val="00813160"/>
    <w:rsid w:val="0081322F"/>
    <w:rsid w:val="00813234"/>
    <w:rsid w:val="0081328A"/>
    <w:rsid w:val="00813512"/>
    <w:rsid w:val="0081358F"/>
    <w:rsid w:val="0081359A"/>
    <w:rsid w:val="00813630"/>
    <w:rsid w:val="00813651"/>
    <w:rsid w:val="008136B7"/>
    <w:rsid w:val="008136E9"/>
    <w:rsid w:val="00813846"/>
    <w:rsid w:val="008139A3"/>
    <w:rsid w:val="00813A0A"/>
    <w:rsid w:val="00813AC5"/>
    <w:rsid w:val="00813C62"/>
    <w:rsid w:val="00813D8C"/>
    <w:rsid w:val="00813E3F"/>
    <w:rsid w:val="00813FF0"/>
    <w:rsid w:val="00814013"/>
    <w:rsid w:val="0081409D"/>
    <w:rsid w:val="00814283"/>
    <w:rsid w:val="008143B8"/>
    <w:rsid w:val="008144C1"/>
    <w:rsid w:val="008144D3"/>
    <w:rsid w:val="00814682"/>
    <w:rsid w:val="00814746"/>
    <w:rsid w:val="008147A9"/>
    <w:rsid w:val="008147BA"/>
    <w:rsid w:val="008147C6"/>
    <w:rsid w:val="00814976"/>
    <w:rsid w:val="00814B7C"/>
    <w:rsid w:val="00814CDB"/>
    <w:rsid w:val="00815020"/>
    <w:rsid w:val="00815092"/>
    <w:rsid w:val="0081539D"/>
    <w:rsid w:val="008153C1"/>
    <w:rsid w:val="00815452"/>
    <w:rsid w:val="00815480"/>
    <w:rsid w:val="008156FC"/>
    <w:rsid w:val="00815CD0"/>
    <w:rsid w:val="00815D49"/>
    <w:rsid w:val="00815D8B"/>
    <w:rsid w:val="00815E81"/>
    <w:rsid w:val="00815FD2"/>
    <w:rsid w:val="0081617B"/>
    <w:rsid w:val="008161E8"/>
    <w:rsid w:val="00816413"/>
    <w:rsid w:val="0081649C"/>
    <w:rsid w:val="008164A5"/>
    <w:rsid w:val="008165D2"/>
    <w:rsid w:val="00816791"/>
    <w:rsid w:val="008167EC"/>
    <w:rsid w:val="0081688C"/>
    <w:rsid w:val="00816D2A"/>
    <w:rsid w:val="00816EB8"/>
    <w:rsid w:val="00816EFD"/>
    <w:rsid w:val="00816F7F"/>
    <w:rsid w:val="00816FEE"/>
    <w:rsid w:val="00817089"/>
    <w:rsid w:val="008171FF"/>
    <w:rsid w:val="0081746A"/>
    <w:rsid w:val="0081750F"/>
    <w:rsid w:val="00817538"/>
    <w:rsid w:val="0081757C"/>
    <w:rsid w:val="00817638"/>
    <w:rsid w:val="00817780"/>
    <w:rsid w:val="0081781E"/>
    <w:rsid w:val="00817859"/>
    <w:rsid w:val="00817961"/>
    <w:rsid w:val="00817A14"/>
    <w:rsid w:val="00817AE7"/>
    <w:rsid w:val="00817B09"/>
    <w:rsid w:val="00817B5E"/>
    <w:rsid w:val="00817CF6"/>
    <w:rsid w:val="00817DC2"/>
    <w:rsid w:val="00817E09"/>
    <w:rsid w:val="00817E6C"/>
    <w:rsid w:val="00817EED"/>
    <w:rsid w:val="00817F89"/>
    <w:rsid w:val="0081FC1C"/>
    <w:rsid w:val="00820121"/>
    <w:rsid w:val="0082021B"/>
    <w:rsid w:val="00820474"/>
    <w:rsid w:val="008204D4"/>
    <w:rsid w:val="008204DE"/>
    <w:rsid w:val="008205AE"/>
    <w:rsid w:val="008205E4"/>
    <w:rsid w:val="008205FC"/>
    <w:rsid w:val="0082082D"/>
    <w:rsid w:val="008209A3"/>
    <w:rsid w:val="00820C43"/>
    <w:rsid w:val="00820FDE"/>
    <w:rsid w:val="008212FD"/>
    <w:rsid w:val="00821359"/>
    <w:rsid w:val="0082141D"/>
    <w:rsid w:val="008215E0"/>
    <w:rsid w:val="00821928"/>
    <w:rsid w:val="008219EF"/>
    <w:rsid w:val="00821B46"/>
    <w:rsid w:val="00821B7F"/>
    <w:rsid w:val="00821C83"/>
    <w:rsid w:val="00821D15"/>
    <w:rsid w:val="00821D69"/>
    <w:rsid w:val="00821D6C"/>
    <w:rsid w:val="00821E6F"/>
    <w:rsid w:val="00821EC6"/>
    <w:rsid w:val="00822208"/>
    <w:rsid w:val="0082255A"/>
    <w:rsid w:val="00822602"/>
    <w:rsid w:val="00822806"/>
    <w:rsid w:val="0082285D"/>
    <w:rsid w:val="00822964"/>
    <w:rsid w:val="00822973"/>
    <w:rsid w:val="00822C66"/>
    <w:rsid w:val="00822CFC"/>
    <w:rsid w:val="00822E2D"/>
    <w:rsid w:val="00822E36"/>
    <w:rsid w:val="00823127"/>
    <w:rsid w:val="00823169"/>
    <w:rsid w:val="0082327F"/>
    <w:rsid w:val="008232AA"/>
    <w:rsid w:val="008233B3"/>
    <w:rsid w:val="00823449"/>
    <w:rsid w:val="00823518"/>
    <w:rsid w:val="008235BE"/>
    <w:rsid w:val="008236C1"/>
    <w:rsid w:val="0082377D"/>
    <w:rsid w:val="00823793"/>
    <w:rsid w:val="008239EC"/>
    <w:rsid w:val="00823B39"/>
    <w:rsid w:val="00823B5A"/>
    <w:rsid w:val="00823BBA"/>
    <w:rsid w:val="00823D83"/>
    <w:rsid w:val="00823E13"/>
    <w:rsid w:val="00823F71"/>
    <w:rsid w:val="00823FED"/>
    <w:rsid w:val="008240A7"/>
    <w:rsid w:val="00824276"/>
    <w:rsid w:val="00824471"/>
    <w:rsid w:val="00824598"/>
    <w:rsid w:val="008245B4"/>
    <w:rsid w:val="0082460C"/>
    <w:rsid w:val="008247DF"/>
    <w:rsid w:val="0082490F"/>
    <w:rsid w:val="0082499C"/>
    <w:rsid w:val="008249A8"/>
    <w:rsid w:val="00824A32"/>
    <w:rsid w:val="00824C49"/>
    <w:rsid w:val="00824CAE"/>
    <w:rsid w:val="00824CC7"/>
    <w:rsid w:val="00824D9F"/>
    <w:rsid w:val="00824E9B"/>
    <w:rsid w:val="0082500F"/>
    <w:rsid w:val="008250DB"/>
    <w:rsid w:val="008253B0"/>
    <w:rsid w:val="008254B9"/>
    <w:rsid w:val="008255B5"/>
    <w:rsid w:val="0082565C"/>
    <w:rsid w:val="00825776"/>
    <w:rsid w:val="00825893"/>
    <w:rsid w:val="008258E1"/>
    <w:rsid w:val="00825AA6"/>
    <w:rsid w:val="00825B0C"/>
    <w:rsid w:val="00825BD4"/>
    <w:rsid w:val="00825C82"/>
    <w:rsid w:val="00825EFC"/>
    <w:rsid w:val="00825F33"/>
    <w:rsid w:val="00825F66"/>
    <w:rsid w:val="0082637E"/>
    <w:rsid w:val="00826410"/>
    <w:rsid w:val="00826489"/>
    <w:rsid w:val="008265A4"/>
    <w:rsid w:val="00826737"/>
    <w:rsid w:val="00826999"/>
    <w:rsid w:val="00826BF6"/>
    <w:rsid w:val="00826C16"/>
    <w:rsid w:val="00826C2D"/>
    <w:rsid w:val="00826CEC"/>
    <w:rsid w:val="00826CFB"/>
    <w:rsid w:val="00826DAB"/>
    <w:rsid w:val="00826F83"/>
    <w:rsid w:val="0082700C"/>
    <w:rsid w:val="00827041"/>
    <w:rsid w:val="00827152"/>
    <w:rsid w:val="008272C1"/>
    <w:rsid w:val="0082740D"/>
    <w:rsid w:val="0082743B"/>
    <w:rsid w:val="00827499"/>
    <w:rsid w:val="008275A7"/>
    <w:rsid w:val="008275AD"/>
    <w:rsid w:val="0082772B"/>
    <w:rsid w:val="00827C3B"/>
    <w:rsid w:val="00827D21"/>
    <w:rsid w:val="00827D7F"/>
    <w:rsid w:val="00827D8A"/>
    <w:rsid w:val="00827F46"/>
    <w:rsid w:val="0082C161"/>
    <w:rsid w:val="00830036"/>
    <w:rsid w:val="00830110"/>
    <w:rsid w:val="0083029A"/>
    <w:rsid w:val="008302F0"/>
    <w:rsid w:val="008303A5"/>
    <w:rsid w:val="008303FC"/>
    <w:rsid w:val="00830425"/>
    <w:rsid w:val="0083042A"/>
    <w:rsid w:val="008305F8"/>
    <w:rsid w:val="00830708"/>
    <w:rsid w:val="00830812"/>
    <w:rsid w:val="00830875"/>
    <w:rsid w:val="00830A21"/>
    <w:rsid w:val="00830A63"/>
    <w:rsid w:val="00830D95"/>
    <w:rsid w:val="00830ED5"/>
    <w:rsid w:val="00830F26"/>
    <w:rsid w:val="008310A8"/>
    <w:rsid w:val="0083112A"/>
    <w:rsid w:val="008311FD"/>
    <w:rsid w:val="0083132A"/>
    <w:rsid w:val="00831495"/>
    <w:rsid w:val="008314AB"/>
    <w:rsid w:val="00831589"/>
    <w:rsid w:val="008315C2"/>
    <w:rsid w:val="00831655"/>
    <w:rsid w:val="00831805"/>
    <w:rsid w:val="008318A0"/>
    <w:rsid w:val="008318CD"/>
    <w:rsid w:val="00831A79"/>
    <w:rsid w:val="00831A93"/>
    <w:rsid w:val="00831B1F"/>
    <w:rsid w:val="00831B33"/>
    <w:rsid w:val="00831B7D"/>
    <w:rsid w:val="00831D0D"/>
    <w:rsid w:val="00831D37"/>
    <w:rsid w:val="00831DCE"/>
    <w:rsid w:val="00831DD5"/>
    <w:rsid w:val="00831E27"/>
    <w:rsid w:val="00831F85"/>
    <w:rsid w:val="008320A7"/>
    <w:rsid w:val="00832242"/>
    <w:rsid w:val="00832580"/>
    <w:rsid w:val="00832679"/>
    <w:rsid w:val="00832838"/>
    <w:rsid w:val="008328B3"/>
    <w:rsid w:val="0083296E"/>
    <w:rsid w:val="0083299A"/>
    <w:rsid w:val="00832A82"/>
    <w:rsid w:val="00832C44"/>
    <w:rsid w:val="00832CE3"/>
    <w:rsid w:val="00833058"/>
    <w:rsid w:val="00833393"/>
    <w:rsid w:val="00833551"/>
    <w:rsid w:val="0083375A"/>
    <w:rsid w:val="0083377F"/>
    <w:rsid w:val="008338F3"/>
    <w:rsid w:val="008339A5"/>
    <w:rsid w:val="008339D8"/>
    <w:rsid w:val="00833B9D"/>
    <w:rsid w:val="00833C07"/>
    <w:rsid w:val="00833D6F"/>
    <w:rsid w:val="00833E83"/>
    <w:rsid w:val="0083408E"/>
    <w:rsid w:val="00834183"/>
    <w:rsid w:val="00834278"/>
    <w:rsid w:val="008343F7"/>
    <w:rsid w:val="0083442B"/>
    <w:rsid w:val="008344A2"/>
    <w:rsid w:val="008344F6"/>
    <w:rsid w:val="00834503"/>
    <w:rsid w:val="0083456C"/>
    <w:rsid w:val="008345DE"/>
    <w:rsid w:val="00834779"/>
    <w:rsid w:val="0083485F"/>
    <w:rsid w:val="00834ABB"/>
    <w:rsid w:val="00834AC9"/>
    <w:rsid w:val="00834B9F"/>
    <w:rsid w:val="00834BBC"/>
    <w:rsid w:val="00834C1F"/>
    <w:rsid w:val="00834D43"/>
    <w:rsid w:val="00834D84"/>
    <w:rsid w:val="00834F76"/>
    <w:rsid w:val="00834FB3"/>
    <w:rsid w:val="008350A4"/>
    <w:rsid w:val="008351AA"/>
    <w:rsid w:val="008351C7"/>
    <w:rsid w:val="008351DB"/>
    <w:rsid w:val="00835209"/>
    <w:rsid w:val="00835305"/>
    <w:rsid w:val="008353A7"/>
    <w:rsid w:val="008353FD"/>
    <w:rsid w:val="0083557B"/>
    <w:rsid w:val="00835A5C"/>
    <w:rsid w:val="00835AFC"/>
    <w:rsid w:val="00835C78"/>
    <w:rsid w:val="00835DE5"/>
    <w:rsid w:val="00835DF2"/>
    <w:rsid w:val="00835FBD"/>
    <w:rsid w:val="0083600F"/>
    <w:rsid w:val="00836143"/>
    <w:rsid w:val="00836173"/>
    <w:rsid w:val="0083635B"/>
    <w:rsid w:val="008363A6"/>
    <w:rsid w:val="008363BA"/>
    <w:rsid w:val="008364B9"/>
    <w:rsid w:val="008366C7"/>
    <w:rsid w:val="00836726"/>
    <w:rsid w:val="00836802"/>
    <w:rsid w:val="008368A5"/>
    <w:rsid w:val="008369C5"/>
    <w:rsid w:val="00836BF1"/>
    <w:rsid w:val="00836C4C"/>
    <w:rsid w:val="00836E4B"/>
    <w:rsid w:val="00836F36"/>
    <w:rsid w:val="0083700A"/>
    <w:rsid w:val="00837098"/>
    <w:rsid w:val="00837192"/>
    <w:rsid w:val="008372D8"/>
    <w:rsid w:val="008373DB"/>
    <w:rsid w:val="008373E5"/>
    <w:rsid w:val="0083742A"/>
    <w:rsid w:val="00837558"/>
    <w:rsid w:val="008376D3"/>
    <w:rsid w:val="008376DF"/>
    <w:rsid w:val="008376EC"/>
    <w:rsid w:val="00837720"/>
    <w:rsid w:val="0083798A"/>
    <w:rsid w:val="008379B6"/>
    <w:rsid w:val="008379D0"/>
    <w:rsid w:val="00837B86"/>
    <w:rsid w:val="00840040"/>
    <w:rsid w:val="008406A3"/>
    <w:rsid w:val="008407A0"/>
    <w:rsid w:val="0084088F"/>
    <w:rsid w:val="0084089F"/>
    <w:rsid w:val="00840914"/>
    <w:rsid w:val="008409FF"/>
    <w:rsid w:val="00840A17"/>
    <w:rsid w:val="00840AC3"/>
    <w:rsid w:val="00840B42"/>
    <w:rsid w:val="00840CEE"/>
    <w:rsid w:val="00841083"/>
    <w:rsid w:val="008411CD"/>
    <w:rsid w:val="00841411"/>
    <w:rsid w:val="00841556"/>
    <w:rsid w:val="00841573"/>
    <w:rsid w:val="0084176A"/>
    <w:rsid w:val="008419A8"/>
    <w:rsid w:val="00841A14"/>
    <w:rsid w:val="00841AEA"/>
    <w:rsid w:val="00841FC7"/>
    <w:rsid w:val="00842071"/>
    <w:rsid w:val="00842469"/>
    <w:rsid w:val="008424E6"/>
    <w:rsid w:val="008425C1"/>
    <w:rsid w:val="008425F7"/>
    <w:rsid w:val="00842A9D"/>
    <w:rsid w:val="00842AB5"/>
    <w:rsid w:val="00842BA2"/>
    <w:rsid w:val="00842C50"/>
    <w:rsid w:val="00842C75"/>
    <w:rsid w:val="00842CB4"/>
    <w:rsid w:val="00842D05"/>
    <w:rsid w:val="00842D1D"/>
    <w:rsid w:val="00842F09"/>
    <w:rsid w:val="00842FED"/>
    <w:rsid w:val="0084310D"/>
    <w:rsid w:val="008432BF"/>
    <w:rsid w:val="0084331F"/>
    <w:rsid w:val="00843332"/>
    <w:rsid w:val="00843339"/>
    <w:rsid w:val="00843426"/>
    <w:rsid w:val="008435AA"/>
    <w:rsid w:val="008439B8"/>
    <w:rsid w:val="00843ADA"/>
    <w:rsid w:val="00843D64"/>
    <w:rsid w:val="00843DB8"/>
    <w:rsid w:val="00843DF3"/>
    <w:rsid w:val="00843E11"/>
    <w:rsid w:val="00843FE4"/>
    <w:rsid w:val="00844005"/>
    <w:rsid w:val="0084404E"/>
    <w:rsid w:val="008441B4"/>
    <w:rsid w:val="008443B0"/>
    <w:rsid w:val="00844424"/>
    <w:rsid w:val="0084447D"/>
    <w:rsid w:val="0084454B"/>
    <w:rsid w:val="0084458A"/>
    <w:rsid w:val="008445A1"/>
    <w:rsid w:val="008445DE"/>
    <w:rsid w:val="008446B5"/>
    <w:rsid w:val="008446F1"/>
    <w:rsid w:val="008447C2"/>
    <w:rsid w:val="008448DC"/>
    <w:rsid w:val="008448E0"/>
    <w:rsid w:val="008449C1"/>
    <w:rsid w:val="00844B41"/>
    <w:rsid w:val="00844CB8"/>
    <w:rsid w:val="00844DCE"/>
    <w:rsid w:val="00844F1C"/>
    <w:rsid w:val="00844F57"/>
    <w:rsid w:val="00844F72"/>
    <w:rsid w:val="0084515A"/>
    <w:rsid w:val="0084541A"/>
    <w:rsid w:val="00845487"/>
    <w:rsid w:val="008454E1"/>
    <w:rsid w:val="00845509"/>
    <w:rsid w:val="008456E0"/>
    <w:rsid w:val="00845A4C"/>
    <w:rsid w:val="00845A4F"/>
    <w:rsid w:val="00845A51"/>
    <w:rsid w:val="00845B45"/>
    <w:rsid w:val="00845C39"/>
    <w:rsid w:val="00845CFD"/>
    <w:rsid w:val="00845DAC"/>
    <w:rsid w:val="0084600B"/>
    <w:rsid w:val="00846131"/>
    <w:rsid w:val="008461B8"/>
    <w:rsid w:val="008463EF"/>
    <w:rsid w:val="00846538"/>
    <w:rsid w:val="008465B4"/>
    <w:rsid w:val="0084660B"/>
    <w:rsid w:val="0084669B"/>
    <w:rsid w:val="0084670E"/>
    <w:rsid w:val="0084698D"/>
    <w:rsid w:val="00846A9F"/>
    <w:rsid w:val="00846B04"/>
    <w:rsid w:val="00846C70"/>
    <w:rsid w:val="00846C7A"/>
    <w:rsid w:val="00846CB4"/>
    <w:rsid w:val="00846D9B"/>
    <w:rsid w:val="00846E8A"/>
    <w:rsid w:val="00846F19"/>
    <w:rsid w:val="00846FBF"/>
    <w:rsid w:val="00846FC6"/>
    <w:rsid w:val="00846FE3"/>
    <w:rsid w:val="00847297"/>
    <w:rsid w:val="00847386"/>
    <w:rsid w:val="008473FD"/>
    <w:rsid w:val="008474AE"/>
    <w:rsid w:val="0084759F"/>
    <w:rsid w:val="008478FE"/>
    <w:rsid w:val="00847904"/>
    <w:rsid w:val="0084793C"/>
    <w:rsid w:val="00847984"/>
    <w:rsid w:val="00847A7C"/>
    <w:rsid w:val="00847ADF"/>
    <w:rsid w:val="00847B50"/>
    <w:rsid w:val="00847C0F"/>
    <w:rsid w:val="00847C85"/>
    <w:rsid w:val="00847C8D"/>
    <w:rsid w:val="00847FD4"/>
    <w:rsid w:val="008500AA"/>
    <w:rsid w:val="00850129"/>
    <w:rsid w:val="008501A5"/>
    <w:rsid w:val="00850237"/>
    <w:rsid w:val="008502B0"/>
    <w:rsid w:val="0085035F"/>
    <w:rsid w:val="008504E0"/>
    <w:rsid w:val="008504FB"/>
    <w:rsid w:val="00850509"/>
    <w:rsid w:val="00850561"/>
    <w:rsid w:val="008506E7"/>
    <w:rsid w:val="008506F9"/>
    <w:rsid w:val="00850AE8"/>
    <w:rsid w:val="00850B9C"/>
    <w:rsid w:val="00850C6D"/>
    <w:rsid w:val="00850DED"/>
    <w:rsid w:val="00850EFE"/>
    <w:rsid w:val="00850FF9"/>
    <w:rsid w:val="0085129E"/>
    <w:rsid w:val="008512B7"/>
    <w:rsid w:val="00851339"/>
    <w:rsid w:val="00851410"/>
    <w:rsid w:val="00851786"/>
    <w:rsid w:val="00851791"/>
    <w:rsid w:val="00851829"/>
    <w:rsid w:val="0085183A"/>
    <w:rsid w:val="0085190B"/>
    <w:rsid w:val="00851AF8"/>
    <w:rsid w:val="00851BA2"/>
    <w:rsid w:val="00851C9B"/>
    <w:rsid w:val="00851F83"/>
    <w:rsid w:val="00851FDD"/>
    <w:rsid w:val="0085210E"/>
    <w:rsid w:val="00852140"/>
    <w:rsid w:val="00852229"/>
    <w:rsid w:val="00852268"/>
    <w:rsid w:val="008522DB"/>
    <w:rsid w:val="008524E4"/>
    <w:rsid w:val="0085252E"/>
    <w:rsid w:val="008525D9"/>
    <w:rsid w:val="008527AD"/>
    <w:rsid w:val="00852F2D"/>
    <w:rsid w:val="00853177"/>
    <w:rsid w:val="008531D8"/>
    <w:rsid w:val="00853308"/>
    <w:rsid w:val="008533ED"/>
    <w:rsid w:val="0085340B"/>
    <w:rsid w:val="008534E4"/>
    <w:rsid w:val="00853728"/>
    <w:rsid w:val="0085378B"/>
    <w:rsid w:val="008537A8"/>
    <w:rsid w:val="00853933"/>
    <w:rsid w:val="00853C6A"/>
    <w:rsid w:val="00853D3D"/>
    <w:rsid w:val="00853E1B"/>
    <w:rsid w:val="00853F1E"/>
    <w:rsid w:val="0085404C"/>
    <w:rsid w:val="0085412D"/>
    <w:rsid w:val="0085436B"/>
    <w:rsid w:val="00854476"/>
    <w:rsid w:val="008544AB"/>
    <w:rsid w:val="00854615"/>
    <w:rsid w:val="008547C8"/>
    <w:rsid w:val="00854819"/>
    <w:rsid w:val="00854953"/>
    <w:rsid w:val="008549F4"/>
    <w:rsid w:val="00854A39"/>
    <w:rsid w:val="00854BC7"/>
    <w:rsid w:val="00854C90"/>
    <w:rsid w:val="00854CE2"/>
    <w:rsid w:val="00854D86"/>
    <w:rsid w:val="00855012"/>
    <w:rsid w:val="00855104"/>
    <w:rsid w:val="00855373"/>
    <w:rsid w:val="00855378"/>
    <w:rsid w:val="00855382"/>
    <w:rsid w:val="008553C1"/>
    <w:rsid w:val="008555AB"/>
    <w:rsid w:val="0085582B"/>
    <w:rsid w:val="0085592C"/>
    <w:rsid w:val="0085599B"/>
    <w:rsid w:val="00855B90"/>
    <w:rsid w:val="00855DF8"/>
    <w:rsid w:val="00855E6B"/>
    <w:rsid w:val="00855EBE"/>
    <w:rsid w:val="00855F98"/>
    <w:rsid w:val="00855FD0"/>
    <w:rsid w:val="00855FFC"/>
    <w:rsid w:val="008560B3"/>
    <w:rsid w:val="00856172"/>
    <w:rsid w:val="00856266"/>
    <w:rsid w:val="00856268"/>
    <w:rsid w:val="00856327"/>
    <w:rsid w:val="0085633A"/>
    <w:rsid w:val="00856371"/>
    <w:rsid w:val="0085640D"/>
    <w:rsid w:val="00856416"/>
    <w:rsid w:val="008564E0"/>
    <w:rsid w:val="00856504"/>
    <w:rsid w:val="00856717"/>
    <w:rsid w:val="00856A17"/>
    <w:rsid w:val="00856A92"/>
    <w:rsid w:val="00856BAF"/>
    <w:rsid w:val="00856DCF"/>
    <w:rsid w:val="00856E31"/>
    <w:rsid w:val="00856FB8"/>
    <w:rsid w:val="00856FDA"/>
    <w:rsid w:val="00857168"/>
    <w:rsid w:val="008573E6"/>
    <w:rsid w:val="0085749D"/>
    <w:rsid w:val="008574E1"/>
    <w:rsid w:val="008575FD"/>
    <w:rsid w:val="00857641"/>
    <w:rsid w:val="00857652"/>
    <w:rsid w:val="008576F3"/>
    <w:rsid w:val="0085772B"/>
    <w:rsid w:val="0085775F"/>
    <w:rsid w:val="0085781C"/>
    <w:rsid w:val="0085784F"/>
    <w:rsid w:val="00857A5F"/>
    <w:rsid w:val="00857B7A"/>
    <w:rsid w:val="00857BA1"/>
    <w:rsid w:val="00857FFD"/>
    <w:rsid w:val="008600C2"/>
    <w:rsid w:val="00860112"/>
    <w:rsid w:val="0086013E"/>
    <w:rsid w:val="0086015D"/>
    <w:rsid w:val="008601E3"/>
    <w:rsid w:val="008603AF"/>
    <w:rsid w:val="0086048C"/>
    <w:rsid w:val="0086049A"/>
    <w:rsid w:val="00860568"/>
    <w:rsid w:val="0086057F"/>
    <w:rsid w:val="008607C6"/>
    <w:rsid w:val="00860882"/>
    <w:rsid w:val="0086094A"/>
    <w:rsid w:val="00860A7A"/>
    <w:rsid w:val="00860A91"/>
    <w:rsid w:val="00860A99"/>
    <w:rsid w:val="00860ADC"/>
    <w:rsid w:val="00860B16"/>
    <w:rsid w:val="00860B69"/>
    <w:rsid w:val="00860BEB"/>
    <w:rsid w:val="00860C3A"/>
    <w:rsid w:val="00860CA3"/>
    <w:rsid w:val="00860CCE"/>
    <w:rsid w:val="00860CEE"/>
    <w:rsid w:val="00861033"/>
    <w:rsid w:val="00861075"/>
    <w:rsid w:val="0086108A"/>
    <w:rsid w:val="00861241"/>
    <w:rsid w:val="008612D7"/>
    <w:rsid w:val="00861327"/>
    <w:rsid w:val="0086133D"/>
    <w:rsid w:val="00861379"/>
    <w:rsid w:val="00861499"/>
    <w:rsid w:val="00861628"/>
    <w:rsid w:val="00861648"/>
    <w:rsid w:val="0086167F"/>
    <w:rsid w:val="008617BA"/>
    <w:rsid w:val="00861824"/>
    <w:rsid w:val="00861949"/>
    <w:rsid w:val="00861A5C"/>
    <w:rsid w:val="00861B3B"/>
    <w:rsid w:val="00861B8E"/>
    <w:rsid w:val="00861C49"/>
    <w:rsid w:val="00861D6A"/>
    <w:rsid w:val="00862066"/>
    <w:rsid w:val="0086208B"/>
    <w:rsid w:val="00862143"/>
    <w:rsid w:val="00862311"/>
    <w:rsid w:val="00862435"/>
    <w:rsid w:val="0086254A"/>
    <w:rsid w:val="00862555"/>
    <w:rsid w:val="008625F5"/>
    <w:rsid w:val="008627C3"/>
    <w:rsid w:val="00862850"/>
    <w:rsid w:val="00862A81"/>
    <w:rsid w:val="00862AF3"/>
    <w:rsid w:val="00862B24"/>
    <w:rsid w:val="00862B5B"/>
    <w:rsid w:val="00862B9A"/>
    <w:rsid w:val="00862C17"/>
    <w:rsid w:val="00862E5F"/>
    <w:rsid w:val="00862F11"/>
    <w:rsid w:val="00862FC6"/>
    <w:rsid w:val="008632EC"/>
    <w:rsid w:val="008632F5"/>
    <w:rsid w:val="0086330D"/>
    <w:rsid w:val="008634F0"/>
    <w:rsid w:val="00863702"/>
    <w:rsid w:val="0086371B"/>
    <w:rsid w:val="008637CB"/>
    <w:rsid w:val="0086382A"/>
    <w:rsid w:val="008638FB"/>
    <w:rsid w:val="00863A2A"/>
    <w:rsid w:val="00863A3A"/>
    <w:rsid w:val="00863A76"/>
    <w:rsid w:val="00863C8C"/>
    <w:rsid w:val="00863CBA"/>
    <w:rsid w:val="00863D76"/>
    <w:rsid w:val="008640F2"/>
    <w:rsid w:val="0086428E"/>
    <w:rsid w:val="008642E8"/>
    <w:rsid w:val="0086431A"/>
    <w:rsid w:val="00864521"/>
    <w:rsid w:val="008646FB"/>
    <w:rsid w:val="008647B2"/>
    <w:rsid w:val="008648DC"/>
    <w:rsid w:val="00864C86"/>
    <w:rsid w:val="00864E5E"/>
    <w:rsid w:val="00864FE5"/>
    <w:rsid w:val="00865048"/>
    <w:rsid w:val="0086519A"/>
    <w:rsid w:val="0086531E"/>
    <w:rsid w:val="00865361"/>
    <w:rsid w:val="0086556D"/>
    <w:rsid w:val="008656E3"/>
    <w:rsid w:val="008658D0"/>
    <w:rsid w:val="00865900"/>
    <w:rsid w:val="008659CA"/>
    <w:rsid w:val="00865A2E"/>
    <w:rsid w:val="00865AA4"/>
    <w:rsid w:val="00865AE6"/>
    <w:rsid w:val="00865B7C"/>
    <w:rsid w:val="00865C65"/>
    <w:rsid w:val="00865CB1"/>
    <w:rsid w:val="00865CE8"/>
    <w:rsid w:val="00865E90"/>
    <w:rsid w:val="00865EC2"/>
    <w:rsid w:val="00865ED6"/>
    <w:rsid w:val="00865F46"/>
    <w:rsid w:val="00865FDE"/>
    <w:rsid w:val="0086605A"/>
    <w:rsid w:val="0086610C"/>
    <w:rsid w:val="00866305"/>
    <w:rsid w:val="008663F2"/>
    <w:rsid w:val="0086649F"/>
    <w:rsid w:val="00866561"/>
    <w:rsid w:val="0086675E"/>
    <w:rsid w:val="008668AF"/>
    <w:rsid w:val="008668E6"/>
    <w:rsid w:val="00866A3B"/>
    <w:rsid w:val="00866C16"/>
    <w:rsid w:val="00866DE7"/>
    <w:rsid w:val="00866E5E"/>
    <w:rsid w:val="0086707F"/>
    <w:rsid w:val="0086708B"/>
    <w:rsid w:val="00867113"/>
    <w:rsid w:val="00867132"/>
    <w:rsid w:val="0086723E"/>
    <w:rsid w:val="008672A4"/>
    <w:rsid w:val="00867725"/>
    <w:rsid w:val="00867760"/>
    <w:rsid w:val="00867799"/>
    <w:rsid w:val="008677B7"/>
    <w:rsid w:val="00867810"/>
    <w:rsid w:val="0086782C"/>
    <w:rsid w:val="0086790B"/>
    <w:rsid w:val="00867987"/>
    <w:rsid w:val="00867A9F"/>
    <w:rsid w:val="00867C7A"/>
    <w:rsid w:val="00870277"/>
    <w:rsid w:val="00870294"/>
    <w:rsid w:val="00870347"/>
    <w:rsid w:val="008706E5"/>
    <w:rsid w:val="0087096D"/>
    <w:rsid w:val="008709DE"/>
    <w:rsid w:val="00870B70"/>
    <w:rsid w:val="00870BE6"/>
    <w:rsid w:val="00870C78"/>
    <w:rsid w:val="00870D05"/>
    <w:rsid w:val="00871103"/>
    <w:rsid w:val="00871146"/>
    <w:rsid w:val="008711EA"/>
    <w:rsid w:val="0087128E"/>
    <w:rsid w:val="00871295"/>
    <w:rsid w:val="008713D9"/>
    <w:rsid w:val="0087143D"/>
    <w:rsid w:val="00871492"/>
    <w:rsid w:val="008714E6"/>
    <w:rsid w:val="00871534"/>
    <w:rsid w:val="008715D2"/>
    <w:rsid w:val="0087171D"/>
    <w:rsid w:val="008717D4"/>
    <w:rsid w:val="008717D5"/>
    <w:rsid w:val="00871869"/>
    <w:rsid w:val="00871A32"/>
    <w:rsid w:val="00871A62"/>
    <w:rsid w:val="00871C0D"/>
    <w:rsid w:val="00871C69"/>
    <w:rsid w:val="00871CA2"/>
    <w:rsid w:val="0087215A"/>
    <w:rsid w:val="0087224A"/>
    <w:rsid w:val="00872408"/>
    <w:rsid w:val="008724B3"/>
    <w:rsid w:val="008724FC"/>
    <w:rsid w:val="008726B9"/>
    <w:rsid w:val="008726F4"/>
    <w:rsid w:val="00872873"/>
    <w:rsid w:val="00872BE6"/>
    <w:rsid w:val="00872C8E"/>
    <w:rsid w:val="00872CF6"/>
    <w:rsid w:val="00872DA1"/>
    <w:rsid w:val="00872E40"/>
    <w:rsid w:val="00872EA5"/>
    <w:rsid w:val="00872F3B"/>
    <w:rsid w:val="008730C7"/>
    <w:rsid w:val="008730D1"/>
    <w:rsid w:val="0087311B"/>
    <w:rsid w:val="00873287"/>
    <w:rsid w:val="008732CE"/>
    <w:rsid w:val="00873442"/>
    <w:rsid w:val="0087357E"/>
    <w:rsid w:val="00873638"/>
    <w:rsid w:val="00873725"/>
    <w:rsid w:val="00873773"/>
    <w:rsid w:val="008737AD"/>
    <w:rsid w:val="008737E9"/>
    <w:rsid w:val="00873820"/>
    <w:rsid w:val="008738E7"/>
    <w:rsid w:val="00873B2C"/>
    <w:rsid w:val="00873B3A"/>
    <w:rsid w:val="00873BDC"/>
    <w:rsid w:val="00873C2F"/>
    <w:rsid w:val="00873C47"/>
    <w:rsid w:val="00873DA1"/>
    <w:rsid w:val="00873EA5"/>
    <w:rsid w:val="00874054"/>
    <w:rsid w:val="00874106"/>
    <w:rsid w:val="008741DB"/>
    <w:rsid w:val="008742B7"/>
    <w:rsid w:val="008742BF"/>
    <w:rsid w:val="008742C9"/>
    <w:rsid w:val="008742D5"/>
    <w:rsid w:val="008743BF"/>
    <w:rsid w:val="008743E2"/>
    <w:rsid w:val="00874442"/>
    <w:rsid w:val="00874997"/>
    <w:rsid w:val="00874A54"/>
    <w:rsid w:val="00874BE3"/>
    <w:rsid w:val="00874DB9"/>
    <w:rsid w:val="00874DDA"/>
    <w:rsid w:val="00874E90"/>
    <w:rsid w:val="00875078"/>
    <w:rsid w:val="008750E9"/>
    <w:rsid w:val="00875177"/>
    <w:rsid w:val="008752A6"/>
    <w:rsid w:val="0087536F"/>
    <w:rsid w:val="00875457"/>
    <w:rsid w:val="00875573"/>
    <w:rsid w:val="008755D9"/>
    <w:rsid w:val="0087566D"/>
    <w:rsid w:val="00875852"/>
    <w:rsid w:val="008758E9"/>
    <w:rsid w:val="00875938"/>
    <w:rsid w:val="008759E9"/>
    <w:rsid w:val="00875B1D"/>
    <w:rsid w:val="00875BD0"/>
    <w:rsid w:val="00875C1E"/>
    <w:rsid w:val="00875CDD"/>
    <w:rsid w:val="00875CF0"/>
    <w:rsid w:val="00875E6C"/>
    <w:rsid w:val="008760A8"/>
    <w:rsid w:val="00876156"/>
    <w:rsid w:val="0087644F"/>
    <w:rsid w:val="00876612"/>
    <w:rsid w:val="00876672"/>
    <w:rsid w:val="008766B7"/>
    <w:rsid w:val="008767D1"/>
    <w:rsid w:val="00876A02"/>
    <w:rsid w:val="00876A1E"/>
    <w:rsid w:val="00876A5C"/>
    <w:rsid w:val="00876B1A"/>
    <w:rsid w:val="0087715C"/>
    <w:rsid w:val="00877242"/>
    <w:rsid w:val="0087734D"/>
    <w:rsid w:val="00877363"/>
    <w:rsid w:val="00877425"/>
    <w:rsid w:val="00877556"/>
    <w:rsid w:val="00877568"/>
    <w:rsid w:val="008775A3"/>
    <w:rsid w:val="0087763A"/>
    <w:rsid w:val="0087774A"/>
    <w:rsid w:val="00877A50"/>
    <w:rsid w:val="00877A97"/>
    <w:rsid w:val="00877B81"/>
    <w:rsid w:val="00877BA6"/>
    <w:rsid w:val="00877C78"/>
    <w:rsid w:val="00877CE0"/>
    <w:rsid w:val="00877D27"/>
    <w:rsid w:val="00877F2D"/>
    <w:rsid w:val="00877FD4"/>
    <w:rsid w:val="0087C0FC"/>
    <w:rsid w:val="00880106"/>
    <w:rsid w:val="0088017A"/>
    <w:rsid w:val="00880296"/>
    <w:rsid w:val="008806C0"/>
    <w:rsid w:val="00880807"/>
    <w:rsid w:val="0088099F"/>
    <w:rsid w:val="008809E4"/>
    <w:rsid w:val="00880A18"/>
    <w:rsid w:val="00880C95"/>
    <w:rsid w:val="00880CA1"/>
    <w:rsid w:val="00880CA7"/>
    <w:rsid w:val="00880D9A"/>
    <w:rsid w:val="00880D9F"/>
    <w:rsid w:val="00881003"/>
    <w:rsid w:val="008813E9"/>
    <w:rsid w:val="008819B8"/>
    <w:rsid w:val="00881AA6"/>
    <w:rsid w:val="00881BAA"/>
    <w:rsid w:val="00881BCF"/>
    <w:rsid w:val="00881C10"/>
    <w:rsid w:val="00881C80"/>
    <w:rsid w:val="00881DF5"/>
    <w:rsid w:val="00881DFE"/>
    <w:rsid w:val="00881E4D"/>
    <w:rsid w:val="0088201B"/>
    <w:rsid w:val="00882116"/>
    <w:rsid w:val="00882340"/>
    <w:rsid w:val="008826CC"/>
    <w:rsid w:val="008828C3"/>
    <w:rsid w:val="00882917"/>
    <w:rsid w:val="008829C7"/>
    <w:rsid w:val="00882B70"/>
    <w:rsid w:val="00882F1A"/>
    <w:rsid w:val="00882F37"/>
    <w:rsid w:val="0088315C"/>
    <w:rsid w:val="008831F3"/>
    <w:rsid w:val="0088331A"/>
    <w:rsid w:val="00883380"/>
    <w:rsid w:val="008833C7"/>
    <w:rsid w:val="0088349D"/>
    <w:rsid w:val="008834A8"/>
    <w:rsid w:val="0088373E"/>
    <w:rsid w:val="008837DF"/>
    <w:rsid w:val="00883918"/>
    <w:rsid w:val="00883969"/>
    <w:rsid w:val="008839F2"/>
    <w:rsid w:val="00883B11"/>
    <w:rsid w:val="00883ECD"/>
    <w:rsid w:val="00883FF2"/>
    <w:rsid w:val="00884004"/>
    <w:rsid w:val="0088424F"/>
    <w:rsid w:val="00884472"/>
    <w:rsid w:val="008845A8"/>
    <w:rsid w:val="008846B8"/>
    <w:rsid w:val="008846C7"/>
    <w:rsid w:val="0088489D"/>
    <w:rsid w:val="008848FB"/>
    <w:rsid w:val="0088494F"/>
    <w:rsid w:val="00884C08"/>
    <w:rsid w:val="00884C47"/>
    <w:rsid w:val="00884CB8"/>
    <w:rsid w:val="00884DB2"/>
    <w:rsid w:val="00884E08"/>
    <w:rsid w:val="00884E4D"/>
    <w:rsid w:val="00884FC0"/>
    <w:rsid w:val="008851A9"/>
    <w:rsid w:val="0088552E"/>
    <w:rsid w:val="008856E6"/>
    <w:rsid w:val="008857AE"/>
    <w:rsid w:val="008857E0"/>
    <w:rsid w:val="0088587B"/>
    <w:rsid w:val="008858B9"/>
    <w:rsid w:val="0088590A"/>
    <w:rsid w:val="00885B61"/>
    <w:rsid w:val="00885B9C"/>
    <w:rsid w:val="00885D62"/>
    <w:rsid w:val="0088606F"/>
    <w:rsid w:val="00886137"/>
    <w:rsid w:val="008861B5"/>
    <w:rsid w:val="008862F5"/>
    <w:rsid w:val="008864CF"/>
    <w:rsid w:val="008866EC"/>
    <w:rsid w:val="0088677E"/>
    <w:rsid w:val="008867B4"/>
    <w:rsid w:val="008868EA"/>
    <w:rsid w:val="00886959"/>
    <w:rsid w:val="008869C3"/>
    <w:rsid w:val="008869FB"/>
    <w:rsid w:val="00886BA1"/>
    <w:rsid w:val="00886C82"/>
    <w:rsid w:val="00886CE9"/>
    <w:rsid w:val="00886DC8"/>
    <w:rsid w:val="00886DD1"/>
    <w:rsid w:val="00887829"/>
    <w:rsid w:val="00887883"/>
    <w:rsid w:val="008879C7"/>
    <w:rsid w:val="00887A11"/>
    <w:rsid w:val="00887A9B"/>
    <w:rsid w:val="00887BEF"/>
    <w:rsid w:val="00887CD4"/>
    <w:rsid w:val="00887CEE"/>
    <w:rsid w:val="00887E18"/>
    <w:rsid w:val="00890012"/>
    <w:rsid w:val="008900A8"/>
    <w:rsid w:val="008901D6"/>
    <w:rsid w:val="00890251"/>
    <w:rsid w:val="008902CA"/>
    <w:rsid w:val="008902D7"/>
    <w:rsid w:val="008902DB"/>
    <w:rsid w:val="00890311"/>
    <w:rsid w:val="0089042D"/>
    <w:rsid w:val="00890453"/>
    <w:rsid w:val="008905D1"/>
    <w:rsid w:val="00890730"/>
    <w:rsid w:val="0089091E"/>
    <w:rsid w:val="00890A4F"/>
    <w:rsid w:val="00890D80"/>
    <w:rsid w:val="00890DB9"/>
    <w:rsid w:val="00890EBA"/>
    <w:rsid w:val="00890F8D"/>
    <w:rsid w:val="008918AD"/>
    <w:rsid w:val="0089193F"/>
    <w:rsid w:val="00891A95"/>
    <w:rsid w:val="00891ACC"/>
    <w:rsid w:val="00891B3B"/>
    <w:rsid w:val="00891B88"/>
    <w:rsid w:val="00891D4B"/>
    <w:rsid w:val="00891D58"/>
    <w:rsid w:val="00891DE5"/>
    <w:rsid w:val="00891EE8"/>
    <w:rsid w:val="00891F91"/>
    <w:rsid w:val="00891FDF"/>
    <w:rsid w:val="0089222C"/>
    <w:rsid w:val="0089227A"/>
    <w:rsid w:val="008925A9"/>
    <w:rsid w:val="00892628"/>
    <w:rsid w:val="0089269E"/>
    <w:rsid w:val="00892723"/>
    <w:rsid w:val="008929B7"/>
    <w:rsid w:val="008929E8"/>
    <w:rsid w:val="00892B8E"/>
    <w:rsid w:val="00892E7A"/>
    <w:rsid w:val="00893013"/>
    <w:rsid w:val="008930AF"/>
    <w:rsid w:val="008930B7"/>
    <w:rsid w:val="008931EA"/>
    <w:rsid w:val="008933A6"/>
    <w:rsid w:val="0089348A"/>
    <w:rsid w:val="00893636"/>
    <w:rsid w:val="008937FE"/>
    <w:rsid w:val="00893A34"/>
    <w:rsid w:val="00893ADA"/>
    <w:rsid w:val="00893BED"/>
    <w:rsid w:val="00893C68"/>
    <w:rsid w:val="00893E20"/>
    <w:rsid w:val="00893EAC"/>
    <w:rsid w:val="00893EBE"/>
    <w:rsid w:val="00894299"/>
    <w:rsid w:val="008944A0"/>
    <w:rsid w:val="008944AB"/>
    <w:rsid w:val="00894515"/>
    <w:rsid w:val="008945FD"/>
    <w:rsid w:val="008946C8"/>
    <w:rsid w:val="008947ED"/>
    <w:rsid w:val="00894953"/>
    <w:rsid w:val="00894D11"/>
    <w:rsid w:val="0089503A"/>
    <w:rsid w:val="00895463"/>
    <w:rsid w:val="008954E8"/>
    <w:rsid w:val="00895617"/>
    <w:rsid w:val="0089585E"/>
    <w:rsid w:val="00895ACB"/>
    <w:rsid w:val="00895B09"/>
    <w:rsid w:val="00895BB9"/>
    <w:rsid w:val="00895E2D"/>
    <w:rsid w:val="00895E52"/>
    <w:rsid w:val="00895E77"/>
    <w:rsid w:val="00895EFC"/>
    <w:rsid w:val="00895F03"/>
    <w:rsid w:val="00895F32"/>
    <w:rsid w:val="00895F95"/>
    <w:rsid w:val="00895FE6"/>
    <w:rsid w:val="00896074"/>
    <w:rsid w:val="008960E8"/>
    <w:rsid w:val="00896111"/>
    <w:rsid w:val="00896203"/>
    <w:rsid w:val="0089657A"/>
    <w:rsid w:val="00896608"/>
    <w:rsid w:val="0089660E"/>
    <w:rsid w:val="00896640"/>
    <w:rsid w:val="0089669C"/>
    <w:rsid w:val="00896747"/>
    <w:rsid w:val="008967C0"/>
    <w:rsid w:val="0089690A"/>
    <w:rsid w:val="00896982"/>
    <w:rsid w:val="00896A3C"/>
    <w:rsid w:val="00896B66"/>
    <w:rsid w:val="00896C81"/>
    <w:rsid w:val="00896D49"/>
    <w:rsid w:val="00896E24"/>
    <w:rsid w:val="00897094"/>
    <w:rsid w:val="0089710A"/>
    <w:rsid w:val="00897130"/>
    <w:rsid w:val="00897440"/>
    <w:rsid w:val="008977A9"/>
    <w:rsid w:val="008977BE"/>
    <w:rsid w:val="00897852"/>
    <w:rsid w:val="00897869"/>
    <w:rsid w:val="008979F5"/>
    <w:rsid w:val="00897A22"/>
    <w:rsid w:val="00897B1A"/>
    <w:rsid w:val="00897B2E"/>
    <w:rsid w:val="00897BE8"/>
    <w:rsid w:val="00897CD5"/>
    <w:rsid w:val="00897FC0"/>
    <w:rsid w:val="0089E57F"/>
    <w:rsid w:val="008A0108"/>
    <w:rsid w:val="008A023E"/>
    <w:rsid w:val="008A0379"/>
    <w:rsid w:val="008A0450"/>
    <w:rsid w:val="008A0546"/>
    <w:rsid w:val="008A0548"/>
    <w:rsid w:val="008A065F"/>
    <w:rsid w:val="008A066E"/>
    <w:rsid w:val="008A0699"/>
    <w:rsid w:val="008A077F"/>
    <w:rsid w:val="008A078D"/>
    <w:rsid w:val="008A0930"/>
    <w:rsid w:val="008A0A17"/>
    <w:rsid w:val="008A0A54"/>
    <w:rsid w:val="008A0C6A"/>
    <w:rsid w:val="008A0CD8"/>
    <w:rsid w:val="008A0D01"/>
    <w:rsid w:val="008A0EB0"/>
    <w:rsid w:val="008A0F94"/>
    <w:rsid w:val="008A0FC9"/>
    <w:rsid w:val="008A101D"/>
    <w:rsid w:val="008A120C"/>
    <w:rsid w:val="008A1715"/>
    <w:rsid w:val="008A17BB"/>
    <w:rsid w:val="008A1809"/>
    <w:rsid w:val="008A18EF"/>
    <w:rsid w:val="008A19D5"/>
    <w:rsid w:val="008A1B8E"/>
    <w:rsid w:val="008A1CE7"/>
    <w:rsid w:val="008A1DF4"/>
    <w:rsid w:val="008A1E3A"/>
    <w:rsid w:val="008A1E3B"/>
    <w:rsid w:val="008A1E3E"/>
    <w:rsid w:val="008A1EB8"/>
    <w:rsid w:val="008A208D"/>
    <w:rsid w:val="008A20B8"/>
    <w:rsid w:val="008A21D8"/>
    <w:rsid w:val="008A228B"/>
    <w:rsid w:val="008A2434"/>
    <w:rsid w:val="008A2DA2"/>
    <w:rsid w:val="008A2DC7"/>
    <w:rsid w:val="008A2F54"/>
    <w:rsid w:val="008A2F93"/>
    <w:rsid w:val="008A309B"/>
    <w:rsid w:val="008A31C9"/>
    <w:rsid w:val="008A32DA"/>
    <w:rsid w:val="008A3392"/>
    <w:rsid w:val="008A341E"/>
    <w:rsid w:val="008A3591"/>
    <w:rsid w:val="008A35ED"/>
    <w:rsid w:val="008A36E1"/>
    <w:rsid w:val="008A37A7"/>
    <w:rsid w:val="008A3817"/>
    <w:rsid w:val="008A3849"/>
    <w:rsid w:val="008A388A"/>
    <w:rsid w:val="008A3B22"/>
    <w:rsid w:val="008A3DD8"/>
    <w:rsid w:val="008A3DDC"/>
    <w:rsid w:val="008A3F10"/>
    <w:rsid w:val="008A3F64"/>
    <w:rsid w:val="008A3F74"/>
    <w:rsid w:val="008A413A"/>
    <w:rsid w:val="008A4202"/>
    <w:rsid w:val="008A42E5"/>
    <w:rsid w:val="008A4331"/>
    <w:rsid w:val="008A43B6"/>
    <w:rsid w:val="008A4408"/>
    <w:rsid w:val="008A4435"/>
    <w:rsid w:val="008A4581"/>
    <w:rsid w:val="008A45AD"/>
    <w:rsid w:val="008A47E3"/>
    <w:rsid w:val="008A4912"/>
    <w:rsid w:val="008A49DB"/>
    <w:rsid w:val="008A4A0F"/>
    <w:rsid w:val="008A5003"/>
    <w:rsid w:val="008A50F3"/>
    <w:rsid w:val="008A52A8"/>
    <w:rsid w:val="008A52B7"/>
    <w:rsid w:val="008A5481"/>
    <w:rsid w:val="008A5486"/>
    <w:rsid w:val="008A5533"/>
    <w:rsid w:val="008A5602"/>
    <w:rsid w:val="008A57EF"/>
    <w:rsid w:val="008A5827"/>
    <w:rsid w:val="008A5895"/>
    <w:rsid w:val="008A5922"/>
    <w:rsid w:val="008A595B"/>
    <w:rsid w:val="008A5960"/>
    <w:rsid w:val="008A5B19"/>
    <w:rsid w:val="008A5C2B"/>
    <w:rsid w:val="008A5C2D"/>
    <w:rsid w:val="008A5DBD"/>
    <w:rsid w:val="008A5F53"/>
    <w:rsid w:val="008A5FC6"/>
    <w:rsid w:val="008A5FD2"/>
    <w:rsid w:val="008A6298"/>
    <w:rsid w:val="008A62B1"/>
    <w:rsid w:val="008A6499"/>
    <w:rsid w:val="008A64D6"/>
    <w:rsid w:val="008A650D"/>
    <w:rsid w:val="008A6614"/>
    <w:rsid w:val="008A681B"/>
    <w:rsid w:val="008A68E4"/>
    <w:rsid w:val="008A6960"/>
    <w:rsid w:val="008A69CE"/>
    <w:rsid w:val="008A6D00"/>
    <w:rsid w:val="008A6D4A"/>
    <w:rsid w:val="008A6DAE"/>
    <w:rsid w:val="008A6F4E"/>
    <w:rsid w:val="008A710A"/>
    <w:rsid w:val="008A7319"/>
    <w:rsid w:val="008A7402"/>
    <w:rsid w:val="008A7405"/>
    <w:rsid w:val="008A74BA"/>
    <w:rsid w:val="008A75BC"/>
    <w:rsid w:val="008A77BF"/>
    <w:rsid w:val="008A77CE"/>
    <w:rsid w:val="008A785E"/>
    <w:rsid w:val="008A791D"/>
    <w:rsid w:val="008A7A5F"/>
    <w:rsid w:val="008A7ACF"/>
    <w:rsid w:val="008A7B93"/>
    <w:rsid w:val="008A7C10"/>
    <w:rsid w:val="008A7D07"/>
    <w:rsid w:val="008A7D7D"/>
    <w:rsid w:val="008A7E63"/>
    <w:rsid w:val="008A7F37"/>
    <w:rsid w:val="008B00C2"/>
    <w:rsid w:val="008B011F"/>
    <w:rsid w:val="008B02DC"/>
    <w:rsid w:val="008B0670"/>
    <w:rsid w:val="008B06FF"/>
    <w:rsid w:val="008B0736"/>
    <w:rsid w:val="008B0785"/>
    <w:rsid w:val="008B080A"/>
    <w:rsid w:val="008B087B"/>
    <w:rsid w:val="008B0AA1"/>
    <w:rsid w:val="008B0ABD"/>
    <w:rsid w:val="008B0D03"/>
    <w:rsid w:val="008B0FF3"/>
    <w:rsid w:val="008B1041"/>
    <w:rsid w:val="008B108E"/>
    <w:rsid w:val="008B11A2"/>
    <w:rsid w:val="008B11DF"/>
    <w:rsid w:val="008B1260"/>
    <w:rsid w:val="008B12AF"/>
    <w:rsid w:val="008B12BC"/>
    <w:rsid w:val="008B1325"/>
    <w:rsid w:val="008B1332"/>
    <w:rsid w:val="008B1368"/>
    <w:rsid w:val="008B142D"/>
    <w:rsid w:val="008B148D"/>
    <w:rsid w:val="008B1596"/>
    <w:rsid w:val="008B1598"/>
    <w:rsid w:val="008B15D8"/>
    <w:rsid w:val="008B16B8"/>
    <w:rsid w:val="008B170A"/>
    <w:rsid w:val="008B183A"/>
    <w:rsid w:val="008B1895"/>
    <w:rsid w:val="008B1993"/>
    <w:rsid w:val="008B1A15"/>
    <w:rsid w:val="008B1B17"/>
    <w:rsid w:val="008B1BBB"/>
    <w:rsid w:val="008B1BEF"/>
    <w:rsid w:val="008B1BF8"/>
    <w:rsid w:val="008B1C6D"/>
    <w:rsid w:val="008B1D68"/>
    <w:rsid w:val="008B1DE8"/>
    <w:rsid w:val="008B1E0B"/>
    <w:rsid w:val="008B1E31"/>
    <w:rsid w:val="008B1E70"/>
    <w:rsid w:val="008B1F81"/>
    <w:rsid w:val="008B1F94"/>
    <w:rsid w:val="008B2130"/>
    <w:rsid w:val="008B2393"/>
    <w:rsid w:val="008B2879"/>
    <w:rsid w:val="008B2B54"/>
    <w:rsid w:val="008B2BC2"/>
    <w:rsid w:val="008B2BDA"/>
    <w:rsid w:val="008B2CB8"/>
    <w:rsid w:val="008B2CC8"/>
    <w:rsid w:val="008B2CD1"/>
    <w:rsid w:val="008B2D85"/>
    <w:rsid w:val="008B2DF1"/>
    <w:rsid w:val="008B2E3B"/>
    <w:rsid w:val="008B2EF5"/>
    <w:rsid w:val="008B2F1E"/>
    <w:rsid w:val="008B2F42"/>
    <w:rsid w:val="008B30FB"/>
    <w:rsid w:val="008B3765"/>
    <w:rsid w:val="008B395D"/>
    <w:rsid w:val="008B3984"/>
    <w:rsid w:val="008B3BEE"/>
    <w:rsid w:val="008B3DEF"/>
    <w:rsid w:val="008B3EF3"/>
    <w:rsid w:val="008B3F4C"/>
    <w:rsid w:val="008B3FCA"/>
    <w:rsid w:val="008B3FD9"/>
    <w:rsid w:val="008B40BC"/>
    <w:rsid w:val="008B40EF"/>
    <w:rsid w:val="008B41D5"/>
    <w:rsid w:val="008B433C"/>
    <w:rsid w:val="008B43CC"/>
    <w:rsid w:val="008B452D"/>
    <w:rsid w:val="008B470C"/>
    <w:rsid w:val="008B47ED"/>
    <w:rsid w:val="008B48C7"/>
    <w:rsid w:val="008B4A30"/>
    <w:rsid w:val="008B4AB8"/>
    <w:rsid w:val="008B4D94"/>
    <w:rsid w:val="008B4D9A"/>
    <w:rsid w:val="008B4E66"/>
    <w:rsid w:val="008B4FE9"/>
    <w:rsid w:val="008B50C5"/>
    <w:rsid w:val="008B5101"/>
    <w:rsid w:val="008B514A"/>
    <w:rsid w:val="008B522E"/>
    <w:rsid w:val="008B529C"/>
    <w:rsid w:val="008B550F"/>
    <w:rsid w:val="008B5795"/>
    <w:rsid w:val="008B5AA1"/>
    <w:rsid w:val="008B5B06"/>
    <w:rsid w:val="008B5C19"/>
    <w:rsid w:val="008B5CA2"/>
    <w:rsid w:val="008B5D17"/>
    <w:rsid w:val="008B5D27"/>
    <w:rsid w:val="008B5E49"/>
    <w:rsid w:val="008B5EBE"/>
    <w:rsid w:val="008B5EC6"/>
    <w:rsid w:val="008B6027"/>
    <w:rsid w:val="008B630E"/>
    <w:rsid w:val="008B642C"/>
    <w:rsid w:val="008B6457"/>
    <w:rsid w:val="008B64EB"/>
    <w:rsid w:val="008B65EA"/>
    <w:rsid w:val="008B6611"/>
    <w:rsid w:val="008B6630"/>
    <w:rsid w:val="008B66DB"/>
    <w:rsid w:val="008B6705"/>
    <w:rsid w:val="008B67AF"/>
    <w:rsid w:val="008B6807"/>
    <w:rsid w:val="008B68CE"/>
    <w:rsid w:val="008B693E"/>
    <w:rsid w:val="008B6949"/>
    <w:rsid w:val="008B6C51"/>
    <w:rsid w:val="008B6C53"/>
    <w:rsid w:val="008B6C88"/>
    <w:rsid w:val="008B6D62"/>
    <w:rsid w:val="008B71C0"/>
    <w:rsid w:val="008B727E"/>
    <w:rsid w:val="008B76CF"/>
    <w:rsid w:val="008B7989"/>
    <w:rsid w:val="008B7CBD"/>
    <w:rsid w:val="008B7DEF"/>
    <w:rsid w:val="008B7E07"/>
    <w:rsid w:val="008B7E36"/>
    <w:rsid w:val="008B7E62"/>
    <w:rsid w:val="008C03CA"/>
    <w:rsid w:val="008C045D"/>
    <w:rsid w:val="008C04B9"/>
    <w:rsid w:val="008C055D"/>
    <w:rsid w:val="008C0659"/>
    <w:rsid w:val="008C0771"/>
    <w:rsid w:val="008C08A3"/>
    <w:rsid w:val="008C08D0"/>
    <w:rsid w:val="008C08E1"/>
    <w:rsid w:val="008C09FF"/>
    <w:rsid w:val="008C0ADC"/>
    <w:rsid w:val="008C0ADF"/>
    <w:rsid w:val="008C0AF4"/>
    <w:rsid w:val="008C0B06"/>
    <w:rsid w:val="008C0C62"/>
    <w:rsid w:val="008C0D65"/>
    <w:rsid w:val="008C13F3"/>
    <w:rsid w:val="008C159F"/>
    <w:rsid w:val="008C1629"/>
    <w:rsid w:val="008C175C"/>
    <w:rsid w:val="008C176A"/>
    <w:rsid w:val="008C1781"/>
    <w:rsid w:val="008C1801"/>
    <w:rsid w:val="008C1821"/>
    <w:rsid w:val="008C186C"/>
    <w:rsid w:val="008C1B24"/>
    <w:rsid w:val="008C1CA3"/>
    <w:rsid w:val="008C1D9C"/>
    <w:rsid w:val="008C1EC7"/>
    <w:rsid w:val="008C1EF7"/>
    <w:rsid w:val="008C1F0B"/>
    <w:rsid w:val="008C1FC0"/>
    <w:rsid w:val="008C20D0"/>
    <w:rsid w:val="008C21D9"/>
    <w:rsid w:val="008C22AF"/>
    <w:rsid w:val="008C24EC"/>
    <w:rsid w:val="008C2594"/>
    <w:rsid w:val="008C2602"/>
    <w:rsid w:val="008C27F3"/>
    <w:rsid w:val="008C2824"/>
    <w:rsid w:val="008C28DC"/>
    <w:rsid w:val="008C2AD3"/>
    <w:rsid w:val="008C2B70"/>
    <w:rsid w:val="008C2BEA"/>
    <w:rsid w:val="008C2C19"/>
    <w:rsid w:val="008C2CAA"/>
    <w:rsid w:val="008C2CC6"/>
    <w:rsid w:val="008C2DBD"/>
    <w:rsid w:val="008C2DC8"/>
    <w:rsid w:val="008C2DDB"/>
    <w:rsid w:val="008C2E2D"/>
    <w:rsid w:val="008C2FD9"/>
    <w:rsid w:val="008C3091"/>
    <w:rsid w:val="008C32E9"/>
    <w:rsid w:val="008C337B"/>
    <w:rsid w:val="008C3491"/>
    <w:rsid w:val="008C34A9"/>
    <w:rsid w:val="008C35B6"/>
    <w:rsid w:val="008C3614"/>
    <w:rsid w:val="008C3625"/>
    <w:rsid w:val="008C3634"/>
    <w:rsid w:val="008C3774"/>
    <w:rsid w:val="008C38A3"/>
    <w:rsid w:val="008C38D4"/>
    <w:rsid w:val="008C3905"/>
    <w:rsid w:val="008C3915"/>
    <w:rsid w:val="008C3B32"/>
    <w:rsid w:val="008C3B86"/>
    <w:rsid w:val="008C3B91"/>
    <w:rsid w:val="008C3BCA"/>
    <w:rsid w:val="008C3CA3"/>
    <w:rsid w:val="008C3DB1"/>
    <w:rsid w:val="008C415B"/>
    <w:rsid w:val="008C439C"/>
    <w:rsid w:val="008C4430"/>
    <w:rsid w:val="008C4623"/>
    <w:rsid w:val="008C46B2"/>
    <w:rsid w:val="008C4772"/>
    <w:rsid w:val="008C47EC"/>
    <w:rsid w:val="008C51A5"/>
    <w:rsid w:val="008C51CE"/>
    <w:rsid w:val="008C5347"/>
    <w:rsid w:val="008C589E"/>
    <w:rsid w:val="008C5934"/>
    <w:rsid w:val="008C5A32"/>
    <w:rsid w:val="008C5AB5"/>
    <w:rsid w:val="008C5DB0"/>
    <w:rsid w:val="008C5FAD"/>
    <w:rsid w:val="008C60E2"/>
    <w:rsid w:val="008C6303"/>
    <w:rsid w:val="008C6320"/>
    <w:rsid w:val="008C63B7"/>
    <w:rsid w:val="008C65BB"/>
    <w:rsid w:val="008C66BF"/>
    <w:rsid w:val="008C69B8"/>
    <w:rsid w:val="008C6B45"/>
    <w:rsid w:val="008C6B72"/>
    <w:rsid w:val="008C6BCD"/>
    <w:rsid w:val="008C6DEE"/>
    <w:rsid w:val="008C6DF0"/>
    <w:rsid w:val="008C6DFC"/>
    <w:rsid w:val="008C6EB5"/>
    <w:rsid w:val="008C6F2C"/>
    <w:rsid w:val="008C7073"/>
    <w:rsid w:val="008C70C0"/>
    <w:rsid w:val="008C7177"/>
    <w:rsid w:val="008C745D"/>
    <w:rsid w:val="008C75DA"/>
    <w:rsid w:val="008C7754"/>
    <w:rsid w:val="008C77ED"/>
    <w:rsid w:val="008C78D8"/>
    <w:rsid w:val="008C7910"/>
    <w:rsid w:val="008C7960"/>
    <w:rsid w:val="008C7992"/>
    <w:rsid w:val="008C7A90"/>
    <w:rsid w:val="008C7BB3"/>
    <w:rsid w:val="008C7C4F"/>
    <w:rsid w:val="008C7C93"/>
    <w:rsid w:val="008C7D7C"/>
    <w:rsid w:val="008C7EDD"/>
    <w:rsid w:val="008D0027"/>
    <w:rsid w:val="008D009B"/>
    <w:rsid w:val="008D00BF"/>
    <w:rsid w:val="008D0385"/>
    <w:rsid w:val="008D04B3"/>
    <w:rsid w:val="008D04ED"/>
    <w:rsid w:val="008D06D6"/>
    <w:rsid w:val="008D0805"/>
    <w:rsid w:val="008D094D"/>
    <w:rsid w:val="008D097B"/>
    <w:rsid w:val="008D09BA"/>
    <w:rsid w:val="008D0A20"/>
    <w:rsid w:val="008D0A26"/>
    <w:rsid w:val="008D0AB2"/>
    <w:rsid w:val="008D0B90"/>
    <w:rsid w:val="008D0C24"/>
    <w:rsid w:val="008D0CAF"/>
    <w:rsid w:val="008D0D56"/>
    <w:rsid w:val="008D0ED3"/>
    <w:rsid w:val="008D0F56"/>
    <w:rsid w:val="008D0FDB"/>
    <w:rsid w:val="008D10D7"/>
    <w:rsid w:val="008D1154"/>
    <w:rsid w:val="008D12B1"/>
    <w:rsid w:val="008D15FE"/>
    <w:rsid w:val="008D1653"/>
    <w:rsid w:val="008D1854"/>
    <w:rsid w:val="008D18D9"/>
    <w:rsid w:val="008D197A"/>
    <w:rsid w:val="008D1ADA"/>
    <w:rsid w:val="008D1AEA"/>
    <w:rsid w:val="008D1BA0"/>
    <w:rsid w:val="008D1E29"/>
    <w:rsid w:val="008D1E87"/>
    <w:rsid w:val="008D1F37"/>
    <w:rsid w:val="008D1F55"/>
    <w:rsid w:val="008D2021"/>
    <w:rsid w:val="008D22E1"/>
    <w:rsid w:val="008D2358"/>
    <w:rsid w:val="008D2382"/>
    <w:rsid w:val="008D257F"/>
    <w:rsid w:val="008D25F5"/>
    <w:rsid w:val="008D2877"/>
    <w:rsid w:val="008D28A0"/>
    <w:rsid w:val="008D28E8"/>
    <w:rsid w:val="008D28EE"/>
    <w:rsid w:val="008D293D"/>
    <w:rsid w:val="008D2941"/>
    <w:rsid w:val="008D2A3F"/>
    <w:rsid w:val="008D2A42"/>
    <w:rsid w:val="008D2A74"/>
    <w:rsid w:val="008D2A8B"/>
    <w:rsid w:val="008D2AE2"/>
    <w:rsid w:val="008D2D28"/>
    <w:rsid w:val="008D2DEC"/>
    <w:rsid w:val="008D2E08"/>
    <w:rsid w:val="008D2EFB"/>
    <w:rsid w:val="008D2F61"/>
    <w:rsid w:val="008D30EC"/>
    <w:rsid w:val="008D311A"/>
    <w:rsid w:val="008D318D"/>
    <w:rsid w:val="008D32B8"/>
    <w:rsid w:val="008D336B"/>
    <w:rsid w:val="008D34BD"/>
    <w:rsid w:val="008D352F"/>
    <w:rsid w:val="008D3566"/>
    <w:rsid w:val="008D35C4"/>
    <w:rsid w:val="008D35E8"/>
    <w:rsid w:val="008D35ED"/>
    <w:rsid w:val="008D3645"/>
    <w:rsid w:val="008D3674"/>
    <w:rsid w:val="008D3679"/>
    <w:rsid w:val="008D3A2E"/>
    <w:rsid w:val="008D3A94"/>
    <w:rsid w:val="008D3B94"/>
    <w:rsid w:val="008D3BD4"/>
    <w:rsid w:val="008D3C1B"/>
    <w:rsid w:val="008D3D70"/>
    <w:rsid w:val="008D3EF4"/>
    <w:rsid w:val="008D402C"/>
    <w:rsid w:val="008D4116"/>
    <w:rsid w:val="008D4426"/>
    <w:rsid w:val="008D4591"/>
    <w:rsid w:val="008D45D7"/>
    <w:rsid w:val="008D463F"/>
    <w:rsid w:val="008D4789"/>
    <w:rsid w:val="008D487E"/>
    <w:rsid w:val="008D4A81"/>
    <w:rsid w:val="008D4D91"/>
    <w:rsid w:val="008D4E9C"/>
    <w:rsid w:val="008D4EC6"/>
    <w:rsid w:val="008D4FA7"/>
    <w:rsid w:val="008D512A"/>
    <w:rsid w:val="008D513E"/>
    <w:rsid w:val="008D53AB"/>
    <w:rsid w:val="008D55C0"/>
    <w:rsid w:val="008D57D4"/>
    <w:rsid w:val="008D5932"/>
    <w:rsid w:val="008D596A"/>
    <w:rsid w:val="008D5A30"/>
    <w:rsid w:val="008D5BE6"/>
    <w:rsid w:val="008D5D13"/>
    <w:rsid w:val="008D5D3E"/>
    <w:rsid w:val="008D5D7E"/>
    <w:rsid w:val="008D5D8F"/>
    <w:rsid w:val="008D5F86"/>
    <w:rsid w:val="008D609D"/>
    <w:rsid w:val="008D60DD"/>
    <w:rsid w:val="008D6128"/>
    <w:rsid w:val="008D616C"/>
    <w:rsid w:val="008D61E5"/>
    <w:rsid w:val="008D62A0"/>
    <w:rsid w:val="008D6499"/>
    <w:rsid w:val="008D64FF"/>
    <w:rsid w:val="008D65D7"/>
    <w:rsid w:val="008D680D"/>
    <w:rsid w:val="008D6845"/>
    <w:rsid w:val="008D6967"/>
    <w:rsid w:val="008D699A"/>
    <w:rsid w:val="008D6A45"/>
    <w:rsid w:val="008D6ACF"/>
    <w:rsid w:val="008D6C78"/>
    <w:rsid w:val="008D6DC8"/>
    <w:rsid w:val="008D6E3C"/>
    <w:rsid w:val="008D6EFD"/>
    <w:rsid w:val="008D6F77"/>
    <w:rsid w:val="008D6F8A"/>
    <w:rsid w:val="008D720C"/>
    <w:rsid w:val="008D7210"/>
    <w:rsid w:val="008D7211"/>
    <w:rsid w:val="008D72B3"/>
    <w:rsid w:val="008D7344"/>
    <w:rsid w:val="008D7353"/>
    <w:rsid w:val="008D73C5"/>
    <w:rsid w:val="008D73F6"/>
    <w:rsid w:val="008D748F"/>
    <w:rsid w:val="008D796C"/>
    <w:rsid w:val="008D7A24"/>
    <w:rsid w:val="008D7ADB"/>
    <w:rsid w:val="008D7B8D"/>
    <w:rsid w:val="008D7C27"/>
    <w:rsid w:val="008D7CFB"/>
    <w:rsid w:val="008D7D90"/>
    <w:rsid w:val="008D7DAA"/>
    <w:rsid w:val="008D7DCD"/>
    <w:rsid w:val="008D7DEC"/>
    <w:rsid w:val="008D7E1B"/>
    <w:rsid w:val="008D7E96"/>
    <w:rsid w:val="008E0043"/>
    <w:rsid w:val="008E0130"/>
    <w:rsid w:val="008E01F5"/>
    <w:rsid w:val="008E026C"/>
    <w:rsid w:val="008E0297"/>
    <w:rsid w:val="008E02CD"/>
    <w:rsid w:val="008E040F"/>
    <w:rsid w:val="008E0425"/>
    <w:rsid w:val="008E05A0"/>
    <w:rsid w:val="008E0674"/>
    <w:rsid w:val="008E081E"/>
    <w:rsid w:val="008E098D"/>
    <w:rsid w:val="008E09B7"/>
    <w:rsid w:val="008E0A3C"/>
    <w:rsid w:val="008E0AC7"/>
    <w:rsid w:val="008E0DA9"/>
    <w:rsid w:val="008E0DE9"/>
    <w:rsid w:val="008E0E34"/>
    <w:rsid w:val="008E0EA7"/>
    <w:rsid w:val="008E0FD4"/>
    <w:rsid w:val="008E1031"/>
    <w:rsid w:val="008E1416"/>
    <w:rsid w:val="008E14D2"/>
    <w:rsid w:val="008E1732"/>
    <w:rsid w:val="008E1745"/>
    <w:rsid w:val="008E17F0"/>
    <w:rsid w:val="008E19FD"/>
    <w:rsid w:val="008E1AE0"/>
    <w:rsid w:val="008E1B27"/>
    <w:rsid w:val="008E1C74"/>
    <w:rsid w:val="008E1D4D"/>
    <w:rsid w:val="008E1E3B"/>
    <w:rsid w:val="008E206F"/>
    <w:rsid w:val="008E22AF"/>
    <w:rsid w:val="008E22BE"/>
    <w:rsid w:val="008E22CF"/>
    <w:rsid w:val="008E260F"/>
    <w:rsid w:val="008E27B2"/>
    <w:rsid w:val="008E28D5"/>
    <w:rsid w:val="008E29E8"/>
    <w:rsid w:val="008E2BA0"/>
    <w:rsid w:val="008E2BA8"/>
    <w:rsid w:val="008E2E4E"/>
    <w:rsid w:val="008E2F9C"/>
    <w:rsid w:val="008E3215"/>
    <w:rsid w:val="008E329C"/>
    <w:rsid w:val="008E33C7"/>
    <w:rsid w:val="008E3473"/>
    <w:rsid w:val="008E353F"/>
    <w:rsid w:val="008E35E5"/>
    <w:rsid w:val="008E37A3"/>
    <w:rsid w:val="008E37AB"/>
    <w:rsid w:val="008E3BC6"/>
    <w:rsid w:val="008E3BE9"/>
    <w:rsid w:val="008E3D35"/>
    <w:rsid w:val="008E4001"/>
    <w:rsid w:val="008E40C2"/>
    <w:rsid w:val="008E41AD"/>
    <w:rsid w:val="008E43BD"/>
    <w:rsid w:val="008E45CB"/>
    <w:rsid w:val="008E46FA"/>
    <w:rsid w:val="008E4708"/>
    <w:rsid w:val="008E4876"/>
    <w:rsid w:val="008E48CF"/>
    <w:rsid w:val="008E4929"/>
    <w:rsid w:val="008E4A58"/>
    <w:rsid w:val="008E4AD9"/>
    <w:rsid w:val="008E4B7C"/>
    <w:rsid w:val="008E4C9E"/>
    <w:rsid w:val="008E4E03"/>
    <w:rsid w:val="008E4E92"/>
    <w:rsid w:val="008E4F23"/>
    <w:rsid w:val="008E548A"/>
    <w:rsid w:val="008E5540"/>
    <w:rsid w:val="008E56A5"/>
    <w:rsid w:val="008E56C7"/>
    <w:rsid w:val="008E5843"/>
    <w:rsid w:val="008E588E"/>
    <w:rsid w:val="008E5947"/>
    <w:rsid w:val="008E59A8"/>
    <w:rsid w:val="008E5B26"/>
    <w:rsid w:val="008E5CA7"/>
    <w:rsid w:val="008E5D2E"/>
    <w:rsid w:val="008E5EBA"/>
    <w:rsid w:val="008E5F5A"/>
    <w:rsid w:val="008E619B"/>
    <w:rsid w:val="008E6260"/>
    <w:rsid w:val="008E64E4"/>
    <w:rsid w:val="008E6630"/>
    <w:rsid w:val="008E66E7"/>
    <w:rsid w:val="008E6755"/>
    <w:rsid w:val="008E6889"/>
    <w:rsid w:val="008E6AB0"/>
    <w:rsid w:val="008E7028"/>
    <w:rsid w:val="008E70F5"/>
    <w:rsid w:val="008E73F6"/>
    <w:rsid w:val="008E75AC"/>
    <w:rsid w:val="008E7808"/>
    <w:rsid w:val="008E78DD"/>
    <w:rsid w:val="008E7B89"/>
    <w:rsid w:val="008E7CD8"/>
    <w:rsid w:val="008E7F4C"/>
    <w:rsid w:val="008F0156"/>
    <w:rsid w:val="008F0CCE"/>
    <w:rsid w:val="008F0EBB"/>
    <w:rsid w:val="008F10B4"/>
    <w:rsid w:val="008F128F"/>
    <w:rsid w:val="008F12E4"/>
    <w:rsid w:val="008F1332"/>
    <w:rsid w:val="008F13C4"/>
    <w:rsid w:val="008F1440"/>
    <w:rsid w:val="008F1621"/>
    <w:rsid w:val="008F1876"/>
    <w:rsid w:val="008F18B9"/>
    <w:rsid w:val="008F1A04"/>
    <w:rsid w:val="008F1A7F"/>
    <w:rsid w:val="008F1ABA"/>
    <w:rsid w:val="008F1B55"/>
    <w:rsid w:val="008F1E64"/>
    <w:rsid w:val="008F1E7B"/>
    <w:rsid w:val="008F1EC3"/>
    <w:rsid w:val="008F1F1B"/>
    <w:rsid w:val="008F21CC"/>
    <w:rsid w:val="008F26B4"/>
    <w:rsid w:val="008F26B7"/>
    <w:rsid w:val="008F2901"/>
    <w:rsid w:val="008F2940"/>
    <w:rsid w:val="008F2BB4"/>
    <w:rsid w:val="008F2C09"/>
    <w:rsid w:val="008F2CED"/>
    <w:rsid w:val="008F2D46"/>
    <w:rsid w:val="008F304E"/>
    <w:rsid w:val="008F3370"/>
    <w:rsid w:val="008F343C"/>
    <w:rsid w:val="008F346B"/>
    <w:rsid w:val="008F35AA"/>
    <w:rsid w:val="008F35AF"/>
    <w:rsid w:val="008F360F"/>
    <w:rsid w:val="008F36B6"/>
    <w:rsid w:val="008F377C"/>
    <w:rsid w:val="008F37AF"/>
    <w:rsid w:val="008F3977"/>
    <w:rsid w:val="008F39C9"/>
    <w:rsid w:val="008F3BB8"/>
    <w:rsid w:val="008F3BBA"/>
    <w:rsid w:val="008F3BCA"/>
    <w:rsid w:val="008F3ED6"/>
    <w:rsid w:val="008F3F4A"/>
    <w:rsid w:val="008F40F6"/>
    <w:rsid w:val="008F427E"/>
    <w:rsid w:val="008F440B"/>
    <w:rsid w:val="008F46E4"/>
    <w:rsid w:val="008F488E"/>
    <w:rsid w:val="008F4C14"/>
    <w:rsid w:val="008F4CBF"/>
    <w:rsid w:val="008F4F27"/>
    <w:rsid w:val="008F4FFC"/>
    <w:rsid w:val="008F5041"/>
    <w:rsid w:val="008F5120"/>
    <w:rsid w:val="008F52EE"/>
    <w:rsid w:val="008F5416"/>
    <w:rsid w:val="008F551A"/>
    <w:rsid w:val="008F5557"/>
    <w:rsid w:val="008F56B5"/>
    <w:rsid w:val="008F58E1"/>
    <w:rsid w:val="008F5BE3"/>
    <w:rsid w:val="008F5D48"/>
    <w:rsid w:val="008F5D66"/>
    <w:rsid w:val="008F5D82"/>
    <w:rsid w:val="008F5E57"/>
    <w:rsid w:val="008F5FD3"/>
    <w:rsid w:val="008F6003"/>
    <w:rsid w:val="008F6119"/>
    <w:rsid w:val="008F6135"/>
    <w:rsid w:val="008F6234"/>
    <w:rsid w:val="008F62B1"/>
    <w:rsid w:val="008F64FD"/>
    <w:rsid w:val="008F67AC"/>
    <w:rsid w:val="008F6851"/>
    <w:rsid w:val="008F6903"/>
    <w:rsid w:val="008F6941"/>
    <w:rsid w:val="008F6A68"/>
    <w:rsid w:val="008F6B4F"/>
    <w:rsid w:val="008F6C1C"/>
    <w:rsid w:val="008F6F13"/>
    <w:rsid w:val="008F6F74"/>
    <w:rsid w:val="008F718A"/>
    <w:rsid w:val="008F71BA"/>
    <w:rsid w:val="008F7283"/>
    <w:rsid w:val="008F72B9"/>
    <w:rsid w:val="008F730F"/>
    <w:rsid w:val="008F73B3"/>
    <w:rsid w:val="008F7454"/>
    <w:rsid w:val="008F756F"/>
    <w:rsid w:val="008F7581"/>
    <w:rsid w:val="008F7601"/>
    <w:rsid w:val="008F7633"/>
    <w:rsid w:val="008F78DA"/>
    <w:rsid w:val="008F79B9"/>
    <w:rsid w:val="008F7A51"/>
    <w:rsid w:val="008F7B05"/>
    <w:rsid w:val="008F7B41"/>
    <w:rsid w:val="008F7D86"/>
    <w:rsid w:val="008F7EC4"/>
    <w:rsid w:val="009000BA"/>
    <w:rsid w:val="0090028B"/>
    <w:rsid w:val="00900357"/>
    <w:rsid w:val="009003E3"/>
    <w:rsid w:val="00900449"/>
    <w:rsid w:val="0090060E"/>
    <w:rsid w:val="00900752"/>
    <w:rsid w:val="00900837"/>
    <w:rsid w:val="00900BDF"/>
    <w:rsid w:val="00900C59"/>
    <w:rsid w:val="00900D1B"/>
    <w:rsid w:val="00900DD9"/>
    <w:rsid w:val="00900E05"/>
    <w:rsid w:val="009010E8"/>
    <w:rsid w:val="009013CA"/>
    <w:rsid w:val="00901488"/>
    <w:rsid w:val="00901589"/>
    <w:rsid w:val="00901644"/>
    <w:rsid w:val="009017B4"/>
    <w:rsid w:val="009019DF"/>
    <w:rsid w:val="00901C79"/>
    <w:rsid w:val="00901DBF"/>
    <w:rsid w:val="00901E30"/>
    <w:rsid w:val="00901E7C"/>
    <w:rsid w:val="00901EB2"/>
    <w:rsid w:val="00901F97"/>
    <w:rsid w:val="00901FEC"/>
    <w:rsid w:val="0090217B"/>
    <w:rsid w:val="00902254"/>
    <w:rsid w:val="009023A2"/>
    <w:rsid w:val="009023B4"/>
    <w:rsid w:val="009025F6"/>
    <w:rsid w:val="009026D7"/>
    <w:rsid w:val="00902807"/>
    <w:rsid w:val="00902837"/>
    <w:rsid w:val="00902884"/>
    <w:rsid w:val="009028A5"/>
    <w:rsid w:val="00902A09"/>
    <w:rsid w:val="00902AC9"/>
    <w:rsid w:val="00902B4E"/>
    <w:rsid w:val="00902B78"/>
    <w:rsid w:val="00902C8C"/>
    <w:rsid w:val="00902D55"/>
    <w:rsid w:val="00902EDE"/>
    <w:rsid w:val="00902F02"/>
    <w:rsid w:val="0090321A"/>
    <w:rsid w:val="009032A6"/>
    <w:rsid w:val="00903512"/>
    <w:rsid w:val="00903704"/>
    <w:rsid w:val="0090371E"/>
    <w:rsid w:val="00903764"/>
    <w:rsid w:val="0090384F"/>
    <w:rsid w:val="0090399C"/>
    <w:rsid w:val="00903A85"/>
    <w:rsid w:val="00903B1D"/>
    <w:rsid w:val="00903C28"/>
    <w:rsid w:val="00903D9C"/>
    <w:rsid w:val="00904162"/>
    <w:rsid w:val="009043FD"/>
    <w:rsid w:val="0090455D"/>
    <w:rsid w:val="009047C1"/>
    <w:rsid w:val="00904804"/>
    <w:rsid w:val="0090490A"/>
    <w:rsid w:val="009049D7"/>
    <w:rsid w:val="00904B3A"/>
    <w:rsid w:val="00904B3D"/>
    <w:rsid w:val="00904C0E"/>
    <w:rsid w:val="00904CEE"/>
    <w:rsid w:val="00904DF1"/>
    <w:rsid w:val="009052A6"/>
    <w:rsid w:val="00905316"/>
    <w:rsid w:val="0090548A"/>
    <w:rsid w:val="009055C0"/>
    <w:rsid w:val="009056A3"/>
    <w:rsid w:val="009058B0"/>
    <w:rsid w:val="00905B45"/>
    <w:rsid w:val="00905D6D"/>
    <w:rsid w:val="00905DEF"/>
    <w:rsid w:val="00905F8A"/>
    <w:rsid w:val="00906085"/>
    <w:rsid w:val="00906240"/>
    <w:rsid w:val="009062D1"/>
    <w:rsid w:val="00906593"/>
    <w:rsid w:val="009065F0"/>
    <w:rsid w:val="00906610"/>
    <w:rsid w:val="0090663C"/>
    <w:rsid w:val="0090668D"/>
    <w:rsid w:val="00906788"/>
    <w:rsid w:val="009067C1"/>
    <w:rsid w:val="009069F0"/>
    <w:rsid w:val="00906AB1"/>
    <w:rsid w:val="00906ADC"/>
    <w:rsid w:val="00906AFA"/>
    <w:rsid w:val="00906B21"/>
    <w:rsid w:val="00906BA3"/>
    <w:rsid w:val="00906D74"/>
    <w:rsid w:val="00906F1B"/>
    <w:rsid w:val="0090710D"/>
    <w:rsid w:val="00907110"/>
    <w:rsid w:val="0090712D"/>
    <w:rsid w:val="009072B6"/>
    <w:rsid w:val="00907953"/>
    <w:rsid w:val="009079B1"/>
    <w:rsid w:val="00907B1D"/>
    <w:rsid w:val="00907BA5"/>
    <w:rsid w:val="00907C47"/>
    <w:rsid w:val="00907C60"/>
    <w:rsid w:val="00907C87"/>
    <w:rsid w:val="00907CB8"/>
    <w:rsid w:val="00907DEB"/>
    <w:rsid w:val="00907F60"/>
    <w:rsid w:val="00910093"/>
    <w:rsid w:val="009100BB"/>
    <w:rsid w:val="009102C7"/>
    <w:rsid w:val="00910475"/>
    <w:rsid w:val="00910562"/>
    <w:rsid w:val="00910711"/>
    <w:rsid w:val="009108C4"/>
    <w:rsid w:val="00910D00"/>
    <w:rsid w:val="00910DFB"/>
    <w:rsid w:val="00910E53"/>
    <w:rsid w:val="00911059"/>
    <w:rsid w:val="00911341"/>
    <w:rsid w:val="0091144A"/>
    <w:rsid w:val="00911519"/>
    <w:rsid w:val="009115D1"/>
    <w:rsid w:val="0091161F"/>
    <w:rsid w:val="00911717"/>
    <w:rsid w:val="0091189F"/>
    <w:rsid w:val="00911B06"/>
    <w:rsid w:val="00911B6C"/>
    <w:rsid w:val="00911BC1"/>
    <w:rsid w:val="00911C86"/>
    <w:rsid w:val="00911CF0"/>
    <w:rsid w:val="00911D26"/>
    <w:rsid w:val="00911E5E"/>
    <w:rsid w:val="00911EFF"/>
    <w:rsid w:val="00911FD6"/>
    <w:rsid w:val="00912077"/>
    <w:rsid w:val="009120DE"/>
    <w:rsid w:val="00912190"/>
    <w:rsid w:val="009121EE"/>
    <w:rsid w:val="00912311"/>
    <w:rsid w:val="0091242B"/>
    <w:rsid w:val="00912432"/>
    <w:rsid w:val="009124D1"/>
    <w:rsid w:val="00912548"/>
    <w:rsid w:val="00912622"/>
    <w:rsid w:val="00912665"/>
    <w:rsid w:val="0091283A"/>
    <w:rsid w:val="00912A4D"/>
    <w:rsid w:val="00912B0B"/>
    <w:rsid w:val="00912B82"/>
    <w:rsid w:val="00912CCF"/>
    <w:rsid w:val="00912DCD"/>
    <w:rsid w:val="00912DD2"/>
    <w:rsid w:val="00912E56"/>
    <w:rsid w:val="00912E5C"/>
    <w:rsid w:val="00912E9D"/>
    <w:rsid w:val="00912F14"/>
    <w:rsid w:val="00912FDA"/>
    <w:rsid w:val="009130A9"/>
    <w:rsid w:val="009131C0"/>
    <w:rsid w:val="009131D1"/>
    <w:rsid w:val="009133A2"/>
    <w:rsid w:val="009133F7"/>
    <w:rsid w:val="00913519"/>
    <w:rsid w:val="009135C7"/>
    <w:rsid w:val="00913825"/>
    <w:rsid w:val="0091390A"/>
    <w:rsid w:val="00913B18"/>
    <w:rsid w:val="00913C4D"/>
    <w:rsid w:val="00913DFD"/>
    <w:rsid w:val="00913E9E"/>
    <w:rsid w:val="00913FF7"/>
    <w:rsid w:val="00914027"/>
    <w:rsid w:val="009140CD"/>
    <w:rsid w:val="009140D1"/>
    <w:rsid w:val="00914141"/>
    <w:rsid w:val="00914295"/>
    <w:rsid w:val="0091435D"/>
    <w:rsid w:val="00914487"/>
    <w:rsid w:val="009146DC"/>
    <w:rsid w:val="00914704"/>
    <w:rsid w:val="0091485B"/>
    <w:rsid w:val="00914872"/>
    <w:rsid w:val="00914958"/>
    <w:rsid w:val="00914995"/>
    <w:rsid w:val="00914998"/>
    <w:rsid w:val="00914D5D"/>
    <w:rsid w:val="00914DF4"/>
    <w:rsid w:val="0091506F"/>
    <w:rsid w:val="009151D3"/>
    <w:rsid w:val="00915331"/>
    <w:rsid w:val="00915421"/>
    <w:rsid w:val="00915432"/>
    <w:rsid w:val="009157D1"/>
    <w:rsid w:val="0091580C"/>
    <w:rsid w:val="00915909"/>
    <w:rsid w:val="00915D3C"/>
    <w:rsid w:val="009160EF"/>
    <w:rsid w:val="009161AB"/>
    <w:rsid w:val="0091624A"/>
    <w:rsid w:val="00916262"/>
    <w:rsid w:val="00916287"/>
    <w:rsid w:val="009163F2"/>
    <w:rsid w:val="009163F3"/>
    <w:rsid w:val="00916492"/>
    <w:rsid w:val="0091651F"/>
    <w:rsid w:val="009165B1"/>
    <w:rsid w:val="0091676E"/>
    <w:rsid w:val="00916794"/>
    <w:rsid w:val="009167C3"/>
    <w:rsid w:val="00916836"/>
    <w:rsid w:val="009169D3"/>
    <w:rsid w:val="00916A56"/>
    <w:rsid w:val="00916A7C"/>
    <w:rsid w:val="0091704E"/>
    <w:rsid w:val="0091705E"/>
    <w:rsid w:val="00917065"/>
    <w:rsid w:val="009170B2"/>
    <w:rsid w:val="0091712F"/>
    <w:rsid w:val="00917441"/>
    <w:rsid w:val="0091747E"/>
    <w:rsid w:val="0091755E"/>
    <w:rsid w:val="009177AD"/>
    <w:rsid w:val="00917AB5"/>
    <w:rsid w:val="00917B23"/>
    <w:rsid w:val="00917C18"/>
    <w:rsid w:val="00917D20"/>
    <w:rsid w:val="0092001F"/>
    <w:rsid w:val="00920457"/>
    <w:rsid w:val="00920513"/>
    <w:rsid w:val="009205B6"/>
    <w:rsid w:val="009206D5"/>
    <w:rsid w:val="00920774"/>
    <w:rsid w:val="009207E7"/>
    <w:rsid w:val="0092089A"/>
    <w:rsid w:val="009208D1"/>
    <w:rsid w:val="0092090C"/>
    <w:rsid w:val="0092094C"/>
    <w:rsid w:val="00920A32"/>
    <w:rsid w:val="00920CBE"/>
    <w:rsid w:val="00920CE1"/>
    <w:rsid w:val="00920E25"/>
    <w:rsid w:val="00920FF0"/>
    <w:rsid w:val="009210BB"/>
    <w:rsid w:val="00921244"/>
    <w:rsid w:val="00921343"/>
    <w:rsid w:val="00921406"/>
    <w:rsid w:val="0092140C"/>
    <w:rsid w:val="009214F0"/>
    <w:rsid w:val="00921546"/>
    <w:rsid w:val="0092165B"/>
    <w:rsid w:val="00921719"/>
    <w:rsid w:val="009218CA"/>
    <w:rsid w:val="009219BD"/>
    <w:rsid w:val="00921C4F"/>
    <w:rsid w:val="00922197"/>
    <w:rsid w:val="0092230A"/>
    <w:rsid w:val="0092235B"/>
    <w:rsid w:val="00922413"/>
    <w:rsid w:val="00922552"/>
    <w:rsid w:val="009225F3"/>
    <w:rsid w:val="00922658"/>
    <w:rsid w:val="009226D5"/>
    <w:rsid w:val="0092276D"/>
    <w:rsid w:val="009228AA"/>
    <w:rsid w:val="0092298F"/>
    <w:rsid w:val="00922A4A"/>
    <w:rsid w:val="00922A57"/>
    <w:rsid w:val="00922AD3"/>
    <w:rsid w:val="00922C00"/>
    <w:rsid w:val="00922C2C"/>
    <w:rsid w:val="00922CB0"/>
    <w:rsid w:val="00922D60"/>
    <w:rsid w:val="0092309A"/>
    <w:rsid w:val="009232EA"/>
    <w:rsid w:val="00923356"/>
    <w:rsid w:val="00923590"/>
    <w:rsid w:val="00923A07"/>
    <w:rsid w:val="00923BC5"/>
    <w:rsid w:val="00923BE7"/>
    <w:rsid w:val="00923E50"/>
    <w:rsid w:val="00923E77"/>
    <w:rsid w:val="00923F53"/>
    <w:rsid w:val="00924003"/>
    <w:rsid w:val="0092417E"/>
    <w:rsid w:val="0092423A"/>
    <w:rsid w:val="009242D8"/>
    <w:rsid w:val="009242DC"/>
    <w:rsid w:val="009242E9"/>
    <w:rsid w:val="00924320"/>
    <w:rsid w:val="00924433"/>
    <w:rsid w:val="0092447C"/>
    <w:rsid w:val="009245D1"/>
    <w:rsid w:val="00924601"/>
    <w:rsid w:val="009249D3"/>
    <w:rsid w:val="00924A35"/>
    <w:rsid w:val="00924A7C"/>
    <w:rsid w:val="00924ADD"/>
    <w:rsid w:val="00924BB7"/>
    <w:rsid w:val="00924BD0"/>
    <w:rsid w:val="00924C07"/>
    <w:rsid w:val="00924D2F"/>
    <w:rsid w:val="00924D90"/>
    <w:rsid w:val="00924DDB"/>
    <w:rsid w:val="00924E43"/>
    <w:rsid w:val="00924FE8"/>
    <w:rsid w:val="009251A4"/>
    <w:rsid w:val="009254B7"/>
    <w:rsid w:val="00925666"/>
    <w:rsid w:val="0092566C"/>
    <w:rsid w:val="00925782"/>
    <w:rsid w:val="009257ED"/>
    <w:rsid w:val="009258A1"/>
    <w:rsid w:val="00925940"/>
    <w:rsid w:val="00925BC6"/>
    <w:rsid w:val="00925C2B"/>
    <w:rsid w:val="00925EC9"/>
    <w:rsid w:val="0092607E"/>
    <w:rsid w:val="0092617C"/>
    <w:rsid w:val="009262B2"/>
    <w:rsid w:val="009263F1"/>
    <w:rsid w:val="009263F3"/>
    <w:rsid w:val="009264A4"/>
    <w:rsid w:val="0092650E"/>
    <w:rsid w:val="009267FF"/>
    <w:rsid w:val="009269AE"/>
    <w:rsid w:val="00926A42"/>
    <w:rsid w:val="00926AB3"/>
    <w:rsid w:val="00926B0E"/>
    <w:rsid w:val="00926DCC"/>
    <w:rsid w:val="00926F29"/>
    <w:rsid w:val="00926F8B"/>
    <w:rsid w:val="009270F3"/>
    <w:rsid w:val="009271D5"/>
    <w:rsid w:val="009272DF"/>
    <w:rsid w:val="009272ED"/>
    <w:rsid w:val="0092731D"/>
    <w:rsid w:val="009273B6"/>
    <w:rsid w:val="00927438"/>
    <w:rsid w:val="009274F7"/>
    <w:rsid w:val="00927673"/>
    <w:rsid w:val="009279D1"/>
    <w:rsid w:val="00927BEF"/>
    <w:rsid w:val="00927C03"/>
    <w:rsid w:val="00927C0B"/>
    <w:rsid w:val="00927C9B"/>
    <w:rsid w:val="00927D9C"/>
    <w:rsid w:val="00927E7D"/>
    <w:rsid w:val="00927FAF"/>
    <w:rsid w:val="0093002D"/>
    <w:rsid w:val="009300D4"/>
    <w:rsid w:val="009301AC"/>
    <w:rsid w:val="009301BA"/>
    <w:rsid w:val="009302F5"/>
    <w:rsid w:val="00930316"/>
    <w:rsid w:val="00930368"/>
    <w:rsid w:val="0093060F"/>
    <w:rsid w:val="00930950"/>
    <w:rsid w:val="00930A3A"/>
    <w:rsid w:val="00930B17"/>
    <w:rsid w:val="00930C81"/>
    <w:rsid w:val="00930F83"/>
    <w:rsid w:val="00930FF3"/>
    <w:rsid w:val="00931004"/>
    <w:rsid w:val="00931057"/>
    <w:rsid w:val="00931181"/>
    <w:rsid w:val="00931221"/>
    <w:rsid w:val="0093125A"/>
    <w:rsid w:val="009312CC"/>
    <w:rsid w:val="009316AA"/>
    <w:rsid w:val="009318D1"/>
    <w:rsid w:val="009318E1"/>
    <w:rsid w:val="009319B9"/>
    <w:rsid w:val="00931A23"/>
    <w:rsid w:val="00931AFE"/>
    <w:rsid w:val="00931B9C"/>
    <w:rsid w:val="00931C87"/>
    <w:rsid w:val="00931CAF"/>
    <w:rsid w:val="00931F8D"/>
    <w:rsid w:val="00932183"/>
    <w:rsid w:val="009322AE"/>
    <w:rsid w:val="009322FA"/>
    <w:rsid w:val="0093236B"/>
    <w:rsid w:val="00932397"/>
    <w:rsid w:val="009324A0"/>
    <w:rsid w:val="00932575"/>
    <w:rsid w:val="0093296B"/>
    <w:rsid w:val="009329E9"/>
    <w:rsid w:val="00932A0A"/>
    <w:rsid w:val="00932AFA"/>
    <w:rsid w:val="00932BA3"/>
    <w:rsid w:val="00932BAD"/>
    <w:rsid w:val="00932CB1"/>
    <w:rsid w:val="00932FD4"/>
    <w:rsid w:val="00932FF1"/>
    <w:rsid w:val="00933489"/>
    <w:rsid w:val="009334FB"/>
    <w:rsid w:val="0093353A"/>
    <w:rsid w:val="0093377A"/>
    <w:rsid w:val="009338E7"/>
    <w:rsid w:val="00933AC4"/>
    <w:rsid w:val="00933BA0"/>
    <w:rsid w:val="00933C73"/>
    <w:rsid w:val="00933CDC"/>
    <w:rsid w:val="00933F49"/>
    <w:rsid w:val="009341EB"/>
    <w:rsid w:val="0093423C"/>
    <w:rsid w:val="009342DF"/>
    <w:rsid w:val="009343BE"/>
    <w:rsid w:val="009343E4"/>
    <w:rsid w:val="009344BB"/>
    <w:rsid w:val="009345AA"/>
    <w:rsid w:val="009347F0"/>
    <w:rsid w:val="009348FB"/>
    <w:rsid w:val="00934959"/>
    <w:rsid w:val="00934A1C"/>
    <w:rsid w:val="00934B11"/>
    <w:rsid w:val="00934B22"/>
    <w:rsid w:val="00934B8A"/>
    <w:rsid w:val="00934BFB"/>
    <w:rsid w:val="00934C26"/>
    <w:rsid w:val="00934DF5"/>
    <w:rsid w:val="00934F3C"/>
    <w:rsid w:val="00934F82"/>
    <w:rsid w:val="00934F85"/>
    <w:rsid w:val="009350AD"/>
    <w:rsid w:val="009351A0"/>
    <w:rsid w:val="0093535E"/>
    <w:rsid w:val="00935578"/>
    <w:rsid w:val="009355C6"/>
    <w:rsid w:val="009357BA"/>
    <w:rsid w:val="009358C3"/>
    <w:rsid w:val="00935990"/>
    <w:rsid w:val="00935A89"/>
    <w:rsid w:val="00935AB3"/>
    <w:rsid w:val="00935B8B"/>
    <w:rsid w:val="00935C9C"/>
    <w:rsid w:val="00935D65"/>
    <w:rsid w:val="00935E6D"/>
    <w:rsid w:val="00936077"/>
    <w:rsid w:val="00936299"/>
    <w:rsid w:val="009363F7"/>
    <w:rsid w:val="00936429"/>
    <w:rsid w:val="009366FE"/>
    <w:rsid w:val="0093676F"/>
    <w:rsid w:val="00936824"/>
    <w:rsid w:val="00936952"/>
    <w:rsid w:val="00936A88"/>
    <w:rsid w:val="00936D8C"/>
    <w:rsid w:val="00936DE8"/>
    <w:rsid w:val="00936F65"/>
    <w:rsid w:val="00936F6C"/>
    <w:rsid w:val="009371AB"/>
    <w:rsid w:val="0093722B"/>
    <w:rsid w:val="009373E8"/>
    <w:rsid w:val="00937644"/>
    <w:rsid w:val="00937815"/>
    <w:rsid w:val="00937858"/>
    <w:rsid w:val="00937905"/>
    <w:rsid w:val="0093791B"/>
    <w:rsid w:val="00937B4D"/>
    <w:rsid w:val="00937BC9"/>
    <w:rsid w:val="00937C3D"/>
    <w:rsid w:val="00937C72"/>
    <w:rsid w:val="00937E58"/>
    <w:rsid w:val="00937E8A"/>
    <w:rsid w:val="00937EAB"/>
    <w:rsid w:val="00937F9D"/>
    <w:rsid w:val="0094013E"/>
    <w:rsid w:val="00940346"/>
    <w:rsid w:val="009406FA"/>
    <w:rsid w:val="00940755"/>
    <w:rsid w:val="0094085C"/>
    <w:rsid w:val="009409E2"/>
    <w:rsid w:val="00940A95"/>
    <w:rsid w:val="00940B57"/>
    <w:rsid w:val="00940DE2"/>
    <w:rsid w:val="00940FD8"/>
    <w:rsid w:val="0094105E"/>
    <w:rsid w:val="009412F8"/>
    <w:rsid w:val="00941362"/>
    <w:rsid w:val="009414DD"/>
    <w:rsid w:val="00941501"/>
    <w:rsid w:val="009416B2"/>
    <w:rsid w:val="00941779"/>
    <w:rsid w:val="00941BCF"/>
    <w:rsid w:val="00941C35"/>
    <w:rsid w:val="00941C58"/>
    <w:rsid w:val="00941C5D"/>
    <w:rsid w:val="00941CBA"/>
    <w:rsid w:val="00941CFA"/>
    <w:rsid w:val="00941D52"/>
    <w:rsid w:val="00941D7A"/>
    <w:rsid w:val="00941D95"/>
    <w:rsid w:val="00941E94"/>
    <w:rsid w:val="00941EA5"/>
    <w:rsid w:val="009420A0"/>
    <w:rsid w:val="00942304"/>
    <w:rsid w:val="0094241B"/>
    <w:rsid w:val="00942664"/>
    <w:rsid w:val="00942680"/>
    <w:rsid w:val="00942813"/>
    <w:rsid w:val="00942956"/>
    <w:rsid w:val="00942AAC"/>
    <w:rsid w:val="00942AB0"/>
    <w:rsid w:val="00942B75"/>
    <w:rsid w:val="00942C97"/>
    <w:rsid w:val="00942F78"/>
    <w:rsid w:val="009430DC"/>
    <w:rsid w:val="00943154"/>
    <w:rsid w:val="0094364C"/>
    <w:rsid w:val="009438DE"/>
    <w:rsid w:val="009439F9"/>
    <w:rsid w:val="00943B75"/>
    <w:rsid w:val="00943C25"/>
    <w:rsid w:val="00943CF6"/>
    <w:rsid w:val="00943D52"/>
    <w:rsid w:val="00943E66"/>
    <w:rsid w:val="00943EFF"/>
    <w:rsid w:val="00943F56"/>
    <w:rsid w:val="00943FD2"/>
    <w:rsid w:val="00944241"/>
    <w:rsid w:val="00944302"/>
    <w:rsid w:val="00944305"/>
    <w:rsid w:val="009443A3"/>
    <w:rsid w:val="00944509"/>
    <w:rsid w:val="00944510"/>
    <w:rsid w:val="009445A0"/>
    <w:rsid w:val="00944690"/>
    <w:rsid w:val="0094475F"/>
    <w:rsid w:val="009447F8"/>
    <w:rsid w:val="00944B25"/>
    <w:rsid w:val="00944B4F"/>
    <w:rsid w:val="00944C0A"/>
    <w:rsid w:val="00944D9F"/>
    <w:rsid w:val="00944DC3"/>
    <w:rsid w:val="00944E41"/>
    <w:rsid w:val="00944E73"/>
    <w:rsid w:val="00944F38"/>
    <w:rsid w:val="00945003"/>
    <w:rsid w:val="009452D9"/>
    <w:rsid w:val="009452E6"/>
    <w:rsid w:val="00945387"/>
    <w:rsid w:val="009453DD"/>
    <w:rsid w:val="009453EB"/>
    <w:rsid w:val="0094540D"/>
    <w:rsid w:val="00945425"/>
    <w:rsid w:val="00945528"/>
    <w:rsid w:val="00945588"/>
    <w:rsid w:val="009456E5"/>
    <w:rsid w:val="00945734"/>
    <w:rsid w:val="00945741"/>
    <w:rsid w:val="00945868"/>
    <w:rsid w:val="0094593F"/>
    <w:rsid w:val="00945C97"/>
    <w:rsid w:val="00945CA3"/>
    <w:rsid w:val="00945D61"/>
    <w:rsid w:val="00945D90"/>
    <w:rsid w:val="0094600B"/>
    <w:rsid w:val="00946156"/>
    <w:rsid w:val="00946370"/>
    <w:rsid w:val="009463C9"/>
    <w:rsid w:val="009464E9"/>
    <w:rsid w:val="009465BC"/>
    <w:rsid w:val="00946675"/>
    <w:rsid w:val="009466D0"/>
    <w:rsid w:val="009466FB"/>
    <w:rsid w:val="00946796"/>
    <w:rsid w:val="0094685C"/>
    <w:rsid w:val="0094689A"/>
    <w:rsid w:val="00946AA3"/>
    <w:rsid w:val="00946C46"/>
    <w:rsid w:val="00946C7E"/>
    <w:rsid w:val="00946D3A"/>
    <w:rsid w:val="00946D49"/>
    <w:rsid w:val="00946E50"/>
    <w:rsid w:val="00946FCF"/>
    <w:rsid w:val="0094715F"/>
    <w:rsid w:val="009471BD"/>
    <w:rsid w:val="009473AA"/>
    <w:rsid w:val="0094744F"/>
    <w:rsid w:val="0094749F"/>
    <w:rsid w:val="0094751F"/>
    <w:rsid w:val="0094762D"/>
    <w:rsid w:val="0094774F"/>
    <w:rsid w:val="00947771"/>
    <w:rsid w:val="0094779C"/>
    <w:rsid w:val="009477CE"/>
    <w:rsid w:val="00947978"/>
    <w:rsid w:val="009479E2"/>
    <w:rsid w:val="00947A16"/>
    <w:rsid w:val="00947A25"/>
    <w:rsid w:val="00947B79"/>
    <w:rsid w:val="00947BE7"/>
    <w:rsid w:val="00947D2F"/>
    <w:rsid w:val="00947D88"/>
    <w:rsid w:val="00947F88"/>
    <w:rsid w:val="0094DB50"/>
    <w:rsid w:val="00950188"/>
    <w:rsid w:val="00950529"/>
    <w:rsid w:val="00950535"/>
    <w:rsid w:val="00950599"/>
    <w:rsid w:val="009505E1"/>
    <w:rsid w:val="009508B2"/>
    <w:rsid w:val="009508CB"/>
    <w:rsid w:val="00950A61"/>
    <w:rsid w:val="00950B06"/>
    <w:rsid w:val="00950DCD"/>
    <w:rsid w:val="00950FB6"/>
    <w:rsid w:val="00951022"/>
    <w:rsid w:val="00951058"/>
    <w:rsid w:val="00951073"/>
    <w:rsid w:val="0095110F"/>
    <w:rsid w:val="00951134"/>
    <w:rsid w:val="00951196"/>
    <w:rsid w:val="00951263"/>
    <w:rsid w:val="0095133A"/>
    <w:rsid w:val="00951527"/>
    <w:rsid w:val="009515E5"/>
    <w:rsid w:val="009516EC"/>
    <w:rsid w:val="0095171A"/>
    <w:rsid w:val="0095177F"/>
    <w:rsid w:val="00951849"/>
    <w:rsid w:val="009518B9"/>
    <w:rsid w:val="0095190E"/>
    <w:rsid w:val="0095193A"/>
    <w:rsid w:val="009519CA"/>
    <w:rsid w:val="00951F4A"/>
    <w:rsid w:val="00951F68"/>
    <w:rsid w:val="00952437"/>
    <w:rsid w:val="0095246A"/>
    <w:rsid w:val="009524D6"/>
    <w:rsid w:val="009525F8"/>
    <w:rsid w:val="00952877"/>
    <w:rsid w:val="009528A8"/>
    <w:rsid w:val="00952957"/>
    <w:rsid w:val="00952B65"/>
    <w:rsid w:val="00952BE1"/>
    <w:rsid w:val="00952C24"/>
    <w:rsid w:val="00952EDB"/>
    <w:rsid w:val="00952F6D"/>
    <w:rsid w:val="009531EB"/>
    <w:rsid w:val="0095333F"/>
    <w:rsid w:val="0095336E"/>
    <w:rsid w:val="00953C60"/>
    <w:rsid w:val="00953D00"/>
    <w:rsid w:val="00953D50"/>
    <w:rsid w:val="00953D72"/>
    <w:rsid w:val="00953DE6"/>
    <w:rsid w:val="00953E65"/>
    <w:rsid w:val="0095408E"/>
    <w:rsid w:val="0095413D"/>
    <w:rsid w:val="0095419B"/>
    <w:rsid w:val="009541FA"/>
    <w:rsid w:val="009541FE"/>
    <w:rsid w:val="0095429E"/>
    <w:rsid w:val="0095431B"/>
    <w:rsid w:val="00954424"/>
    <w:rsid w:val="00954511"/>
    <w:rsid w:val="00954763"/>
    <w:rsid w:val="00954784"/>
    <w:rsid w:val="009547F2"/>
    <w:rsid w:val="009548E3"/>
    <w:rsid w:val="009549EA"/>
    <w:rsid w:val="00954A72"/>
    <w:rsid w:val="00954BF9"/>
    <w:rsid w:val="00954CBE"/>
    <w:rsid w:val="00954E02"/>
    <w:rsid w:val="00954E93"/>
    <w:rsid w:val="00954F00"/>
    <w:rsid w:val="00954F07"/>
    <w:rsid w:val="00955053"/>
    <w:rsid w:val="009551A7"/>
    <w:rsid w:val="009551AF"/>
    <w:rsid w:val="00955438"/>
    <w:rsid w:val="0095563C"/>
    <w:rsid w:val="0095568D"/>
    <w:rsid w:val="00955740"/>
    <w:rsid w:val="00955B62"/>
    <w:rsid w:val="00955BE6"/>
    <w:rsid w:val="00955E2F"/>
    <w:rsid w:val="009560EF"/>
    <w:rsid w:val="009561AB"/>
    <w:rsid w:val="0095624C"/>
    <w:rsid w:val="009564E2"/>
    <w:rsid w:val="00956689"/>
    <w:rsid w:val="00956CC5"/>
    <w:rsid w:val="00956CE4"/>
    <w:rsid w:val="00956D25"/>
    <w:rsid w:val="00957014"/>
    <w:rsid w:val="00957072"/>
    <w:rsid w:val="0095710B"/>
    <w:rsid w:val="00957189"/>
    <w:rsid w:val="009572AB"/>
    <w:rsid w:val="0095737A"/>
    <w:rsid w:val="0095743F"/>
    <w:rsid w:val="0095757F"/>
    <w:rsid w:val="009578BA"/>
    <w:rsid w:val="009578F6"/>
    <w:rsid w:val="00957AEF"/>
    <w:rsid w:val="00957B75"/>
    <w:rsid w:val="00957B87"/>
    <w:rsid w:val="00957C2B"/>
    <w:rsid w:val="00957C9C"/>
    <w:rsid w:val="00957D7B"/>
    <w:rsid w:val="00957F18"/>
    <w:rsid w:val="00957F6B"/>
    <w:rsid w:val="00957FE9"/>
    <w:rsid w:val="009600A6"/>
    <w:rsid w:val="00960114"/>
    <w:rsid w:val="009601FE"/>
    <w:rsid w:val="0096037C"/>
    <w:rsid w:val="00960539"/>
    <w:rsid w:val="00960559"/>
    <w:rsid w:val="009605FA"/>
    <w:rsid w:val="009606AB"/>
    <w:rsid w:val="0096070B"/>
    <w:rsid w:val="00960730"/>
    <w:rsid w:val="0096098A"/>
    <w:rsid w:val="00960998"/>
    <w:rsid w:val="009609EF"/>
    <w:rsid w:val="00960A1C"/>
    <w:rsid w:val="00960B2B"/>
    <w:rsid w:val="00960CD3"/>
    <w:rsid w:val="00960D75"/>
    <w:rsid w:val="00960DEF"/>
    <w:rsid w:val="00960E0C"/>
    <w:rsid w:val="00960E62"/>
    <w:rsid w:val="00960F39"/>
    <w:rsid w:val="00960F66"/>
    <w:rsid w:val="00960FC7"/>
    <w:rsid w:val="00961092"/>
    <w:rsid w:val="0096130F"/>
    <w:rsid w:val="009613C3"/>
    <w:rsid w:val="00961410"/>
    <w:rsid w:val="00961485"/>
    <w:rsid w:val="009614A5"/>
    <w:rsid w:val="009614E4"/>
    <w:rsid w:val="00961597"/>
    <w:rsid w:val="00961726"/>
    <w:rsid w:val="009617BB"/>
    <w:rsid w:val="009617DB"/>
    <w:rsid w:val="0096181D"/>
    <w:rsid w:val="00961A00"/>
    <w:rsid w:val="00961A9A"/>
    <w:rsid w:val="00961D03"/>
    <w:rsid w:val="00961EAC"/>
    <w:rsid w:val="00961F1A"/>
    <w:rsid w:val="00961FBC"/>
    <w:rsid w:val="00961FDB"/>
    <w:rsid w:val="00962048"/>
    <w:rsid w:val="009620CB"/>
    <w:rsid w:val="009620FD"/>
    <w:rsid w:val="009621ED"/>
    <w:rsid w:val="0096242C"/>
    <w:rsid w:val="009624FC"/>
    <w:rsid w:val="009627C9"/>
    <w:rsid w:val="009628B0"/>
    <w:rsid w:val="00962940"/>
    <w:rsid w:val="00962949"/>
    <w:rsid w:val="00962B30"/>
    <w:rsid w:val="00962B97"/>
    <w:rsid w:val="00962CD6"/>
    <w:rsid w:val="00962F57"/>
    <w:rsid w:val="00962F9D"/>
    <w:rsid w:val="009630BE"/>
    <w:rsid w:val="0096331B"/>
    <w:rsid w:val="0096342B"/>
    <w:rsid w:val="00963431"/>
    <w:rsid w:val="0096364A"/>
    <w:rsid w:val="009636D4"/>
    <w:rsid w:val="00963713"/>
    <w:rsid w:val="009638B3"/>
    <w:rsid w:val="009638EF"/>
    <w:rsid w:val="00963C74"/>
    <w:rsid w:val="00963C93"/>
    <w:rsid w:val="00963D4C"/>
    <w:rsid w:val="00963E08"/>
    <w:rsid w:val="00963EEC"/>
    <w:rsid w:val="00963F1F"/>
    <w:rsid w:val="009640EF"/>
    <w:rsid w:val="0096429B"/>
    <w:rsid w:val="009642BA"/>
    <w:rsid w:val="009642DE"/>
    <w:rsid w:val="0096432D"/>
    <w:rsid w:val="0096442C"/>
    <w:rsid w:val="0096450D"/>
    <w:rsid w:val="00964762"/>
    <w:rsid w:val="0096480A"/>
    <w:rsid w:val="0096481C"/>
    <w:rsid w:val="00964B99"/>
    <w:rsid w:val="0096521A"/>
    <w:rsid w:val="009656BF"/>
    <w:rsid w:val="00965720"/>
    <w:rsid w:val="0096582C"/>
    <w:rsid w:val="009659A0"/>
    <w:rsid w:val="00965F12"/>
    <w:rsid w:val="00965F3F"/>
    <w:rsid w:val="00966019"/>
    <w:rsid w:val="00966035"/>
    <w:rsid w:val="0096616D"/>
    <w:rsid w:val="00966423"/>
    <w:rsid w:val="00966461"/>
    <w:rsid w:val="00966590"/>
    <w:rsid w:val="00966603"/>
    <w:rsid w:val="009666D7"/>
    <w:rsid w:val="00966902"/>
    <w:rsid w:val="009669A8"/>
    <w:rsid w:val="00966A88"/>
    <w:rsid w:val="00966A8A"/>
    <w:rsid w:val="00966AAE"/>
    <w:rsid w:val="00966B8E"/>
    <w:rsid w:val="00966BD1"/>
    <w:rsid w:val="00966D68"/>
    <w:rsid w:val="00966DB2"/>
    <w:rsid w:val="00966E6D"/>
    <w:rsid w:val="00966EC3"/>
    <w:rsid w:val="00966F1F"/>
    <w:rsid w:val="00966F27"/>
    <w:rsid w:val="00966F79"/>
    <w:rsid w:val="0096703D"/>
    <w:rsid w:val="00967074"/>
    <w:rsid w:val="00967109"/>
    <w:rsid w:val="00967302"/>
    <w:rsid w:val="009674DE"/>
    <w:rsid w:val="0096765A"/>
    <w:rsid w:val="00967765"/>
    <w:rsid w:val="00967773"/>
    <w:rsid w:val="009677B5"/>
    <w:rsid w:val="00967858"/>
    <w:rsid w:val="00967958"/>
    <w:rsid w:val="00967A2B"/>
    <w:rsid w:val="00967A95"/>
    <w:rsid w:val="00967C53"/>
    <w:rsid w:val="00967E68"/>
    <w:rsid w:val="00967EA5"/>
    <w:rsid w:val="0097001C"/>
    <w:rsid w:val="00970048"/>
    <w:rsid w:val="00970069"/>
    <w:rsid w:val="009700C8"/>
    <w:rsid w:val="009701C8"/>
    <w:rsid w:val="0097033C"/>
    <w:rsid w:val="009703B9"/>
    <w:rsid w:val="00970405"/>
    <w:rsid w:val="00970479"/>
    <w:rsid w:val="0097055B"/>
    <w:rsid w:val="00970A2E"/>
    <w:rsid w:val="00970A40"/>
    <w:rsid w:val="00970A55"/>
    <w:rsid w:val="00970A84"/>
    <w:rsid w:val="00970B44"/>
    <w:rsid w:val="00970B7A"/>
    <w:rsid w:val="00970BB1"/>
    <w:rsid w:val="00970BFC"/>
    <w:rsid w:val="00970DB1"/>
    <w:rsid w:val="00970F1A"/>
    <w:rsid w:val="0097108B"/>
    <w:rsid w:val="00971110"/>
    <w:rsid w:val="009711CE"/>
    <w:rsid w:val="00971321"/>
    <w:rsid w:val="00971381"/>
    <w:rsid w:val="009713BA"/>
    <w:rsid w:val="009714AA"/>
    <w:rsid w:val="0097155C"/>
    <w:rsid w:val="00971583"/>
    <w:rsid w:val="00971A57"/>
    <w:rsid w:val="00971AA2"/>
    <w:rsid w:val="00971CBA"/>
    <w:rsid w:val="00971CBE"/>
    <w:rsid w:val="00971EEC"/>
    <w:rsid w:val="0097218D"/>
    <w:rsid w:val="009721EB"/>
    <w:rsid w:val="00972265"/>
    <w:rsid w:val="00972285"/>
    <w:rsid w:val="00972300"/>
    <w:rsid w:val="0097230E"/>
    <w:rsid w:val="00972592"/>
    <w:rsid w:val="009725F5"/>
    <w:rsid w:val="009726BA"/>
    <w:rsid w:val="00972803"/>
    <w:rsid w:val="00972957"/>
    <w:rsid w:val="00972A8F"/>
    <w:rsid w:val="00972ACC"/>
    <w:rsid w:val="00972B13"/>
    <w:rsid w:val="00972E72"/>
    <w:rsid w:val="00972F24"/>
    <w:rsid w:val="00973040"/>
    <w:rsid w:val="00973120"/>
    <w:rsid w:val="0097318D"/>
    <w:rsid w:val="009731BE"/>
    <w:rsid w:val="00973215"/>
    <w:rsid w:val="00973230"/>
    <w:rsid w:val="0097337A"/>
    <w:rsid w:val="00973391"/>
    <w:rsid w:val="009733B4"/>
    <w:rsid w:val="00973619"/>
    <w:rsid w:val="00973726"/>
    <w:rsid w:val="009737EC"/>
    <w:rsid w:val="00973896"/>
    <w:rsid w:val="0097397C"/>
    <w:rsid w:val="00973AD3"/>
    <w:rsid w:val="00973B01"/>
    <w:rsid w:val="00973CC2"/>
    <w:rsid w:val="00973DE9"/>
    <w:rsid w:val="00973E73"/>
    <w:rsid w:val="00974043"/>
    <w:rsid w:val="009740ED"/>
    <w:rsid w:val="00974418"/>
    <w:rsid w:val="00974468"/>
    <w:rsid w:val="009744F1"/>
    <w:rsid w:val="009745DF"/>
    <w:rsid w:val="0097479C"/>
    <w:rsid w:val="009747F0"/>
    <w:rsid w:val="009748FD"/>
    <w:rsid w:val="0097490B"/>
    <w:rsid w:val="00974947"/>
    <w:rsid w:val="009749ED"/>
    <w:rsid w:val="00974AC1"/>
    <w:rsid w:val="00974CE8"/>
    <w:rsid w:val="00975049"/>
    <w:rsid w:val="0097552E"/>
    <w:rsid w:val="00975612"/>
    <w:rsid w:val="00975643"/>
    <w:rsid w:val="00975856"/>
    <w:rsid w:val="00975A38"/>
    <w:rsid w:val="00975A5C"/>
    <w:rsid w:val="00975A69"/>
    <w:rsid w:val="00975CF6"/>
    <w:rsid w:val="00975CFA"/>
    <w:rsid w:val="00975D0C"/>
    <w:rsid w:val="00975DF9"/>
    <w:rsid w:val="00975E7B"/>
    <w:rsid w:val="00975E7F"/>
    <w:rsid w:val="00975EAD"/>
    <w:rsid w:val="00975F8E"/>
    <w:rsid w:val="00976139"/>
    <w:rsid w:val="00976223"/>
    <w:rsid w:val="00976229"/>
    <w:rsid w:val="0097622A"/>
    <w:rsid w:val="0097627C"/>
    <w:rsid w:val="0097634A"/>
    <w:rsid w:val="009763EF"/>
    <w:rsid w:val="009765B4"/>
    <w:rsid w:val="009767D6"/>
    <w:rsid w:val="009767F1"/>
    <w:rsid w:val="00976871"/>
    <w:rsid w:val="00976883"/>
    <w:rsid w:val="00976C99"/>
    <w:rsid w:val="00977204"/>
    <w:rsid w:val="0097748E"/>
    <w:rsid w:val="00977578"/>
    <w:rsid w:val="009775E8"/>
    <w:rsid w:val="00977684"/>
    <w:rsid w:val="00977827"/>
    <w:rsid w:val="0097783C"/>
    <w:rsid w:val="00977A0A"/>
    <w:rsid w:val="00977C99"/>
    <w:rsid w:val="00977D4D"/>
    <w:rsid w:val="00977DB8"/>
    <w:rsid w:val="00977EF2"/>
    <w:rsid w:val="00977EFC"/>
    <w:rsid w:val="0098009A"/>
    <w:rsid w:val="00980179"/>
    <w:rsid w:val="00980291"/>
    <w:rsid w:val="009802D6"/>
    <w:rsid w:val="00980388"/>
    <w:rsid w:val="009803B6"/>
    <w:rsid w:val="009804C0"/>
    <w:rsid w:val="0098050E"/>
    <w:rsid w:val="00980557"/>
    <w:rsid w:val="0098056B"/>
    <w:rsid w:val="009806EB"/>
    <w:rsid w:val="00980778"/>
    <w:rsid w:val="00980956"/>
    <w:rsid w:val="00980969"/>
    <w:rsid w:val="00980A13"/>
    <w:rsid w:val="00980ABE"/>
    <w:rsid w:val="00980B9C"/>
    <w:rsid w:val="00980BFE"/>
    <w:rsid w:val="00980D20"/>
    <w:rsid w:val="00980DDB"/>
    <w:rsid w:val="00980EEC"/>
    <w:rsid w:val="009810AE"/>
    <w:rsid w:val="009810F0"/>
    <w:rsid w:val="0098113E"/>
    <w:rsid w:val="00981210"/>
    <w:rsid w:val="00981245"/>
    <w:rsid w:val="00981367"/>
    <w:rsid w:val="0098159B"/>
    <w:rsid w:val="0098173A"/>
    <w:rsid w:val="00981ABA"/>
    <w:rsid w:val="00981C93"/>
    <w:rsid w:val="00981D40"/>
    <w:rsid w:val="00981DED"/>
    <w:rsid w:val="00981FEE"/>
    <w:rsid w:val="00982023"/>
    <w:rsid w:val="0098208A"/>
    <w:rsid w:val="0098218C"/>
    <w:rsid w:val="0098219C"/>
    <w:rsid w:val="00982258"/>
    <w:rsid w:val="009822CA"/>
    <w:rsid w:val="0098254E"/>
    <w:rsid w:val="00982598"/>
    <w:rsid w:val="009826EE"/>
    <w:rsid w:val="009827AD"/>
    <w:rsid w:val="0098287B"/>
    <w:rsid w:val="0098288E"/>
    <w:rsid w:val="00982993"/>
    <w:rsid w:val="00982B5B"/>
    <w:rsid w:val="00982BD6"/>
    <w:rsid w:val="00982BF9"/>
    <w:rsid w:val="00982C30"/>
    <w:rsid w:val="009830D2"/>
    <w:rsid w:val="00983104"/>
    <w:rsid w:val="00983124"/>
    <w:rsid w:val="0098312B"/>
    <w:rsid w:val="009831C9"/>
    <w:rsid w:val="009831E2"/>
    <w:rsid w:val="00983265"/>
    <w:rsid w:val="009832B9"/>
    <w:rsid w:val="00983311"/>
    <w:rsid w:val="0098333B"/>
    <w:rsid w:val="009833AB"/>
    <w:rsid w:val="009833B3"/>
    <w:rsid w:val="009833D1"/>
    <w:rsid w:val="00983469"/>
    <w:rsid w:val="00983700"/>
    <w:rsid w:val="00983912"/>
    <w:rsid w:val="0098396A"/>
    <w:rsid w:val="00983AEF"/>
    <w:rsid w:val="00983C7E"/>
    <w:rsid w:val="00983CEA"/>
    <w:rsid w:val="00983EDD"/>
    <w:rsid w:val="00983F87"/>
    <w:rsid w:val="00984088"/>
    <w:rsid w:val="009840EE"/>
    <w:rsid w:val="0098413C"/>
    <w:rsid w:val="0098414A"/>
    <w:rsid w:val="009841E1"/>
    <w:rsid w:val="0098426D"/>
    <w:rsid w:val="00984294"/>
    <w:rsid w:val="009845F2"/>
    <w:rsid w:val="009846EE"/>
    <w:rsid w:val="009846F5"/>
    <w:rsid w:val="009847A0"/>
    <w:rsid w:val="0098495C"/>
    <w:rsid w:val="00984AD1"/>
    <w:rsid w:val="00984C04"/>
    <w:rsid w:val="00984E35"/>
    <w:rsid w:val="00984EFA"/>
    <w:rsid w:val="00984FE3"/>
    <w:rsid w:val="00985449"/>
    <w:rsid w:val="00985611"/>
    <w:rsid w:val="009856B6"/>
    <w:rsid w:val="009859B2"/>
    <w:rsid w:val="00985AB0"/>
    <w:rsid w:val="00985C9C"/>
    <w:rsid w:val="00985D3B"/>
    <w:rsid w:val="00985E5D"/>
    <w:rsid w:val="00985FA0"/>
    <w:rsid w:val="00985FE7"/>
    <w:rsid w:val="009861E4"/>
    <w:rsid w:val="009862F1"/>
    <w:rsid w:val="00986328"/>
    <w:rsid w:val="00986336"/>
    <w:rsid w:val="0098634C"/>
    <w:rsid w:val="009863B9"/>
    <w:rsid w:val="009864FE"/>
    <w:rsid w:val="009865D1"/>
    <w:rsid w:val="00986784"/>
    <w:rsid w:val="009868B0"/>
    <w:rsid w:val="009868C7"/>
    <w:rsid w:val="00986902"/>
    <w:rsid w:val="00986AA8"/>
    <w:rsid w:val="00986BB6"/>
    <w:rsid w:val="00986C21"/>
    <w:rsid w:val="00986DFA"/>
    <w:rsid w:val="00986E1A"/>
    <w:rsid w:val="00986EB9"/>
    <w:rsid w:val="00986ED5"/>
    <w:rsid w:val="00986FAE"/>
    <w:rsid w:val="00987027"/>
    <w:rsid w:val="0098715F"/>
    <w:rsid w:val="00987167"/>
    <w:rsid w:val="00987339"/>
    <w:rsid w:val="00987515"/>
    <w:rsid w:val="00987661"/>
    <w:rsid w:val="00987675"/>
    <w:rsid w:val="00987705"/>
    <w:rsid w:val="00987707"/>
    <w:rsid w:val="0098770B"/>
    <w:rsid w:val="00987979"/>
    <w:rsid w:val="00987A15"/>
    <w:rsid w:val="00987A92"/>
    <w:rsid w:val="00987B36"/>
    <w:rsid w:val="00987B3A"/>
    <w:rsid w:val="00987C19"/>
    <w:rsid w:val="00987C6F"/>
    <w:rsid w:val="00987F0E"/>
    <w:rsid w:val="00987FB0"/>
    <w:rsid w:val="009900AE"/>
    <w:rsid w:val="009900B5"/>
    <w:rsid w:val="0099020F"/>
    <w:rsid w:val="0099044F"/>
    <w:rsid w:val="009905E2"/>
    <w:rsid w:val="00990662"/>
    <w:rsid w:val="00990706"/>
    <w:rsid w:val="00990708"/>
    <w:rsid w:val="00990762"/>
    <w:rsid w:val="00990D13"/>
    <w:rsid w:val="00990EDD"/>
    <w:rsid w:val="00990F2A"/>
    <w:rsid w:val="00991107"/>
    <w:rsid w:val="00991230"/>
    <w:rsid w:val="0099176B"/>
    <w:rsid w:val="0099176E"/>
    <w:rsid w:val="00991818"/>
    <w:rsid w:val="00991891"/>
    <w:rsid w:val="009919A5"/>
    <w:rsid w:val="00991A0B"/>
    <w:rsid w:val="00991A98"/>
    <w:rsid w:val="00991CD7"/>
    <w:rsid w:val="00991D63"/>
    <w:rsid w:val="00991E3C"/>
    <w:rsid w:val="00992085"/>
    <w:rsid w:val="009925AA"/>
    <w:rsid w:val="0099275F"/>
    <w:rsid w:val="009927B4"/>
    <w:rsid w:val="009928B4"/>
    <w:rsid w:val="00992DB8"/>
    <w:rsid w:val="00993071"/>
    <w:rsid w:val="009932DC"/>
    <w:rsid w:val="009933A6"/>
    <w:rsid w:val="009934EF"/>
    <w:rsid w:val="00993664"/>
    <w:rsid w:val="009937CA"/>
    <w:rsid w:val="0099396C"/>
    <w:rsid w:val="00993A0C"/>
    <w:rsid w:val="00993A5C"/>
    <w:rsid w:val="00993AFE"/>
    <w:rsid w:val="00993B38"/>
    <w:rsid w:val="00993BA4"/>
    <w:rsid w:val="00993BF9"/>
    <w:rsid w:val="00993D03"/>
    <w:rsid w:val="00993DED"/>
    <w:rsid w:val="00993F01"/>
    <w:rsid w:val="00994086"/>
    <w:rsid w:val="00994436"/>
    <w:rsid w:val="00994635"/>
    <w:rsid w:val="009946C1"/>
    <w:rsid w:val="0099474D"/>
    <w:rsid w:val="0099480B"/>
    <w:rsid w:val="0099481B"/>
    <w:rsid w:val="00994862"/>
    <w:rsid w:val="009948FD"/>
    <w:rsid w:val="00994A0F"/>
    <w:rsid w:val="00994B30"/>
    <w:rsid w:val="00994BDC"/>
    <w:rsid w:val="00994BE2"/>
    <w:rsid w:val="00994C83"/>
    <w:rsid w:val="00994D6B"/>
    <w:rsid w:val="00994D93"/>
    <w:rsid w:val="00994E07"/>
    <w:rsid w:val="00994F0E"/>
    <w:rsid w:val="009950C0"/>
    <w:rsid w:val="00995148"/>
    <w:rsid w:val="00995178"/>
    <w:rsid w:val="009951B6"/>
    <w:rsid w:val="00995231"/>
    <w:rsid w:val="00995570"/>
    <w:rsid w:val="00995615"/>
    <w:rsid w:val="00995652"/>
    <w:rsid w:val="00995655"/>
    <w:rsid w:val="0099568E"/>
    <w:rsid w:val="009957D3"/>
    <w:rsid w:val="00995927"/>
    <w:rsid w:val="009959B8"/>
    <w:rsid w:val="00995BF2"/>
    <w:rsid w:val="00995C11"/>
    <w:rsid w:val="00995E72"/>
    <w:rsid w:val="00995F65"/>
    <w:rsid w:val="00995F93"/>
    <w:rsid w:val="00995FA2"/>
    <w:rsid w:val="009961CE"/>
    <w:rsid w:val="00996391"/>
    <w:rsid w:val="009963C4"/>
    <w:rsid w:val="009963F0"/>
    <w:rsid w:val="00996640"/>
    <w:rsid w:val="00996647"/>
    <w:rsid w:val="009967CE"/>
    <w:rsid w:val="00996937"/>
    <w:rsid w:val="0099696E"/>
    <w:rsid w:val="00996ADD"/>
    <w:rsid w:val="00996B24"/>
    <w:rsid w:val="00996CCA"/>
    <w:rsid w:val="00996E71"/>
    <w:rsid w:val="00996F9C"/>
    <w:rsid w:val="00997005"/>
    <w:rsid w:val="0099706A"/>
    <w:rsid w:val="009973A0"/>
    <w:rsid w:val="0099747B"/>
    <w:rsid w:val="00997498"/>
    <w:rsid w:val="00997527"/>
    <w:rsid w:val="0099752D"/>
    <w:rsid w:val="00997859"/>
    <w:rsid w:val="009979FE"/>
    <w:rsid w:val="00997A3F"/>
    <w:rsid w:val="00997A9E"/>
    <w:rsid w:val="00997AD0"/>
    <w:rsid w:val="00997C55"/>
    <w:rsid w:val="00997E10"/>
    <w:rsid w:val="00997EE8"/>
    <w:rsid w:val="00997FA3"/>
    <w:rsid w:val="009A004C"/>
    <w:rsid w:val="009A01F1"/>
    <w:rsid w:val="009A03A6"/>
    <w:rsid w:val="009A06CD"/>
    <w:rsid w:val="009A06E9"/>
    <w:rsid w:val="009A07D4"/>
    <w:rsid w:val="009A085E"/>
    <w:rsid w:val="009A0935"/>
    <w:rsid w:val="009A09F5"/>
    <w:rsid w:val="009A0AF2"/>
    <w:rsid w:val="009A0BC7"/>
    <w:rsid w:val="009A0E7B"/>
    <w:rsid w:val="009A0FF1"/>
    <w:rsid w:val="009A109D"/>
    <w:rsid w:val="009A1195"/>
    <w:rsid w:val="009A12E7"/>
    <w:rsid w:val="009A13B7"/>
    <w:rsid w:val="009A15E0"/>
    <w:rsid w:val="009A18F3"/>
    <w:rsid w:val="009A1BA7"/>
    <w:rsid w:val="009A1BE3"/>
    <w:rsid w:val="009A1D22"/>
    <w:rsid w:val="009A1D89"/>
    <w:rsid w:val="009A1DD2"/>
    <w:rsid w:val="009A1E91"/>
    <w:rsid w:val="009A2081"/>
    <w:rsid w:val="009A20D4"/>
    <w:rsid w:val="009A20F3"/>
    <w:rsid w:val="009A2300"/>
    <w:rsid w:val="009A2446"/>
    <w:rsid w:val="009A24F3"/>
    <w:rsid w:val="009A251D"/>
    <w:rsid w:val="009A255D"/>
    <w:rsid w:val="009A25B0"/>
    <w:rsid w:val="009A25F7"/>
    <w:rsid w:val="009A265F"/>
    <w:rsid w:val="009A2697"/>
    <w:rsid w:val="009A2736"/>
    <w:rsid w:val="009A278E"/>
    <w:rsid w:val="009A28A2"/>
    <w:rsid w:val="009A2955"/>
    <w:rsid w:val="009A29B0"/>
    <w:rsid w:val="009A2B73"/>
    <w:rsid w:val="009A2BF7"/>
    <w:rsid w:val="009A2D35"/>
    <w:rsid w:val="009A2FCC"/>
    <w:rsid w:val="009A308F"/>
    <w:rsid w:val="009A3207"/>
    <w:rsid w:val="009A321D"/>
    <w:rsid w:val="009A345A"/>
    <w:rsid w:val="009A3467"/>
    <w:rsid w:val="009A352F"/>
    <w:rsid w:val="009A37A8"/>
    <w:rsid w:val="009A3803"/>
    <w:rsid w:val="009A3898"/>
    <w:rsid w:val="009A3AD7"/>
    <w:rsid w:val="009A3AFA"/>
    <w:rsid w:val="009A3B0F"/>
    <w:rsid w:val="009A3B9E"/>
    <w:rsid w:val="009A3C35"/>
    <w:rsid w:val="009A3C70"/>
    <w:rsid w:val="009A3D5B"/>
    <w:rsid w:val="009A3EE1"/>
    <w:rsid w:val="009A3F2C"/>
    <w:rsid w:val="009A3F74"/>
    <w:rsid w:val="009A3F94"/>
    <w:rsid w:val="009A3FB3"/>
    <w:rsid w:val="009A401F"/>
    <w:rsid w:val="009A419C"/>
    <w:rsid w:val="009A42D4"/>
    <w:rsid w:val="009A4348"/>
    <w:rsid w:val="009A44AF"/>
    <w:rsid w:val="009A45A0"/>
    <w:rsid w:val="009A475D"/>
    <w:rsid w:val="009A478A"/>
    <w:rsid w:val="009A4903"/>
    <w:rsid w:val="009A49A3"/>
    <w:rsid w:val="009A4A17"/>
    <w:rsid w:val="009A4A22"/>
    <w:rsid w:val="009A4BE2"/>
    <w:rsid w:val="009A4C2C"/>
    <w:rsid w:val="009A4D01"/>
    <w:rsid w:val="009A5199"/>
    <w:rsid w:val="009A5329"/>
    <w:rsid w:val="009A5381"/>
    <w:rsid w:val="009A5486"/>
    <w:rsid w:val="009A54E8"/>
    <w:rsid w:val="009A5534"/>
    <w:rsid w:val="009A587E"/>
    <w:rsid w:val="009A593B"/>
    <w:rsid w:val="009A59A1"/>
    <w:rsid w:val="009A5B47"/>
    <w:rsid w:val="009A5E94"/>
    <w:rsid w:val="009A5EA3"/>
    <w:rsid w:val="009A5EB5"/>
    <w:rsid w:val="009A5F89"/>
    <w:rsid w:val="009A6286"/>
    <w:rsid w:val="009A62B3"/>
    <w:rsid w:val="009A63C2"/>
    <w:rsid w:val="009A6406"/>
    <w:rsid w:val="009A64AD"/>
    <w:rsid w:val="009A65B4"/>
    <w:rsid w:val="009A68F9"/>
    <w:rsid w:val="009A6900"/>
    <w:rsid w:val="009A6964"/>
    <w:rsid w:val="009A6D4F"/>
    <w:rsid w:val="009A6E05"/>
    <w:rsid w:val="009A6E6D"/>
    <w:rsid w:val="009A70BF"/>
    <w:rsid w:val="009A7195"/>
    <w:rsid w:val="009A7339"/>
    <w:rsid w:val="009A7522"/>
    <w:rsid w:val="009A7767"/>
    <w:rsid w:val="009A77D3"/>
    <w:rsid w:val="009A78DD"/>
    <w:rsid w:val="009A7BA1"/>
    <w:rsid w:val="009A7BE7"/>
    <w:rsid w:val="009A7C22"/>
    <w:rsid w:val="009A7D5C"/>
    <w:rsid w:val="009A7D8A"/>
    <w:rsid w:val="009B01A2"/>
    <w:rsid w:val="009B0258"/>
    <w:rsid w:val="009B0310"/>
    <w:rsid w:val="009B04EA"/>
    <w:rsid w:val="009B083E"/>
    <w:rsid w:val="009B0869"/>
    <w:rsid w:val="009B0872"/>
    <w:rsid w:val="009B0A3A"/>
    <w:rsid w:val="009B0AD5"/>
    <w:rsid w:val="009B0B8D"/>
    <w:rsid w:val="009B0DB3"/>
    <w:rsid w:val="009B0E1D"/>
    <w:rsid w:val="009B0F56"/>
    <w:rsid w:val="009B1054"/>
    <w:rsid w:val="009B10C1"/>
    <w:rsid w:val="009B1282"/>
    <w:rsid w:val="009B13D3"/>
    <w:rsid w:val="009B156D"/>
    <w:rsid w:val="009B15E0"/>
    <w:rsid w:val="009B188F"/>
    <w:rsid w:val="009B191D"/>
    <w:rsid w:val="009B198F"/>
    <w:rsid w:val="009B1ADF"/>
    <w:rsid w:val="009B1C77"/>
    <w:rsid w:val="009B1E25"/>
    <w:rsid w:val="009B1E34"/>
    <w:rsid w:val="009B1EAB"/>
    <w:rsid w:val="009B1EEB"/>
    <w:rsid w:val="009B1F7D"/>
    <w:rsid w:val="009B2051"/>
    <w:rsid w:val="009B2134"/>
    <w:rsid w:val="009B215F"/>
    <w:rsid w:val="009B21D3"/>
    <w:rsid w:val="009B227C"/>
    <w:rsid w:val="009B2342"/>
    <w:rsid w:val="009B23D5"/>
    <w:rsid w:val="009B24FE"/>
    <w:rsid w:val="009B25B2"/>
    <w:rsid w:val="009B27F4"/>
    <w:rsid w:val="009B28F7"/>
    <w:rsid w:val="009B2A04"/>
    <w:rsid w:val="009B2D06"/>
    <w:rsid w:val="009B2D54"/>
    <w:rsid w:val="009B2E75"/>
    <w:rsid w:val="009B3105"/>
    <w:rsid w:val="009B31A7"/>
    <w:rsid w:val="009B3225"/>
    <w:rsid w:val="009B33AC"/>
    <w:rsid w:val="009B39E4"/>
    <w:rsid w:val="009B3A86"/>
    <w:rsid w:val="009B3AF2"/>
    <w:rsid w:val="009B3D6D"/>
    <w:rsid w:val="009B3EB0"/>
    <w:rsid w:val="009B3F0C"/>
    <w:rsid w:val="009B3FB2"/>
    <w:rsid w:val="009B413A"/>
    <w:rsid w:val="009B4146"/>
    <w:rsid w:val="009B42FA"/>
    <w:rsid w:val="009B4373"/>
    <w:rsid w:val="009B43C8"/>
    <w:rsid w:val="009B4407"/>
    <w:rsid w:val="009B4563"/>
    <w:rsid w:val="009B46EA"/>
    <w:rsid w:val="009B4700"/>
    <w:rsid w:val="009B48D8"/>
    <w:rsid w:val="009B4F28"/>
    <w:rsid w:val="009B4F85"/>
    <w:rsid w:val="009B50A2"/>
    <w:rsid w:val="009B5190"/>
    <w:rsid w:val="009B51DD"/>
    <w:rsid w:val="009B56AD"/>
    <w:rsid w:val="009B586F"/>
    <w:rsid w:val="009B58E5"/>
    <w:rsid w:val="009B5953"/>
    <w:rsid w:val="009B59BD"/>
    <w:rsid w:val="009B5A93"/>
    <w:rsid w:val="009B5ADA"/>
    <w:rsid w:val="009B5F99"/>
    <w:rsid w:val="009B606A"/>
    <w:rsid w:val="009B60E2"/>
    <w:rsid w:val="009B612F"/>
    <w:rsid w:val="009B63A6"/>
    <w:rsid w:val="009B64B3"/>
    <w:rsid w:val="009B65A4"/>
    <w:rsid w:val="009B667B"/>
    <w:rsid w:val="009B688B"/>
    <w:rsid w:val="009B690C"/>
    <w:rsid w:val="009B6AE7"/>
    <w:rsid w:val="009B6D86"/>
    <w:rsid w:val="009B6D8E"/>
    <w:rsid w:val="009B6EE8"/>
    <w:rsid w:val="009B6F86"/>
    <w:rsid w:val="009B706E"/>
    <w:rsid w:val="009B7191"/>
    <w:rsid w:val="009B71E8"/>
    <w:rsid w:val="009B72F8"/>
    <w:rsid w:val="009B7590"/>
    <w:rsid w:val="009B75A3"/>
    <w:rsid w:val="009B7739"/>
    <w:rsid w:val="009B77B4"/>
    <w:rsid w:val="009B781D"/>
    <w:rsid w:val="009B79B7"/>
    <w:rsid w:val="009B7C99"/>
    <w:rsid w:val="009B7D1F"/>
    <w:rsid w:val="009B7D43"/>
    <w:rsid w:val="009B7EF2"/>
    <w:rsid w:val="009B7EF4"/>
    <w:rsid w:val="009B7F2A"/>
    <w:rsid w:val="009C0084"/>
    <w:rsid w:val="009C010D"/>
    <w:rsid w:val="009C0404"/>
    <w:rsid w:val="009C05A2"/>
    <w:rsid w:val="009C05FA"/>
    <w:rsid w:val="009C0A9F"/>
    <w:rsid w:val="009C0B63"/>
    <w:rsid w:val="009C0BC1"/>
    <w:rsid w:val="009C0C01"/>
    <w:rsid w:val="009C0C95"/>
    <w:rsid w:val="009C0D25"/>
    <w:rsid w:val="009C0E72"/>
    <w:rsid w:val="009C0EBD"/>
    <w:rsid w:val="009C0EEB"/>
    <w:rsid w:val="009C1216"/>
    <w:rsid w:val="009C1399"/>
    <w:rsid w:val="009C13F3"/>
    <w:rsid w:val="009C1410"/>
    <w:rsid w:val="009C14F8"/>
    <w:rsid w:val="009C160C"/>
    <w:rsid w:val="009C16BA"/>
    <w:rsid w:val="009C16F1"/>
    <w:rsid w:val="009C17AD"/>
    <w:rsid w:val="009C1A7E"/>
    <w:rsid w:val="009C1AA3"/>
    <w:rsid w:val="009C1BB9"/>
    <w:rsid w:val="009C1CB5"/>
    <w:rsid w:val="009C1D27"/>
    <w:rsid w:val="009C1DA2"/>
    <w:rsid w:val="009C1ECE"/>
    <w:rsid w:val="009C2026"/>
    <w:rsid w:val="009C2542"/>
    <w:rsid w:val="009C2665"/>
    <w:rsid w:val="009C27A3"/>
    <w:rsid w:val="009C27CA"/>
    <w:rsid w:val="009C27CB"/>
    <w:rsid w:val="009C282F"/>
    <w:rsid w:val="009C2865"/>
    <w:rsid w:val="009C2A30"/>
    <w:rsid w:val="009C2AA9"/>
    <w:rsid w:val="009C2ABD"/>
    <w:rsid w:val="009C2B1F"/>
    <w:rsid w:val="009C2B86"/>
    <w:rsid w:val="009C2D8D"/>
    <w:rsid w:val="009C32DD"/>
    <w:rsid w:val="009C3571"/>
    <w:rsid w:val="009C359C"/>
    <w:rsid w:val="009C35B7"/>
    <w:rsid w:val="009C385E"/>
    <w:rsid w:val="009C3A0E"/>
    <w:rsid w:val="009C3D38"/>
    <w:rsid w:val="009C3D96"/>
    <w:rsid w:val="009C3DC3"/>
    <w:rsid w:val="009C3E86"/>
    <w:rsid w:val="009C407A"/>
    <w:rsid w:val="009C410B"/>
    <w:rsid w:val="009C414C"/>
    <w:rsid w:val="009C41F8"/>
    <w:rsid w:val="009C423A"/>
    <w:rsid w:val="009C4394"/>
    <w:rsid w:val="009C4744"/>
    <w:rsid w:val="009C4797"/>
    <w:rsid w:val="009C47E2"/>
    <w:rsid w:val="009C4825"/>
    <w:rsid w:val="009C48D1"/>
    <w:rsid w:val="009C4980"/>
    <w:rsid w:val="009C4A08"/>
    <w:rsid w:val="009C4B40"/>
    <w:rsid w:val="009C4B98"/>
    <w:rsid w:val="009C4C9F"/>
    <w:rsid w:val="009C4CC7"/>
    <w:rsid w:val="009C4D0B"/>
    <w:rsid w:val="009C4D5F"/>
    <w:rsid w:val="009C4D82"/>
    <w:rsid w:val="009C4DFC"/>
    <w:rsid w:val="009C4F8A"/>
    <w:rsid w:val="009C4FC5"/>
    <w:rsid w:val="009C51D4"/>
    <w:rsid w:val="009C5235"/>
    <w:rsid w:val="009C52D0"/>
    <w:rsid w:val="009C52E5"/>
    <w:rsid w:val="009C546B"/>
    <w:rsid w:val="009C548C"/>
    <w:rsid w:val="009C5668"/>
    <w:rsid w:val="009C57BD"/>
    <w:rsid w:val="009C59ED"/>
    <w:rsid w:val="009C5B07"/>
    <w:rsid w:val="009C5C1C"/>
    <w:rsid w:val="009C5C63"/>
    <w:rsid w:val="009C5CC5"/>
    <w:rsid w:val="009C5EDC"/>
    <w:rsid w:val="009C5FD2"/>
    <w:rsid w:val="009C6051"/>
    <w:rsid w:val="009C6129"/>
    <w:rsid w:val="009C615D"/>
    <w:rsid w:val="009C619F"/>
    <w:rsid w:val="009C63FE"/>
    <w:rsid w:val="009C6419"/>
    <w:rsid w:val="009C6547"/>
    <w:rsid w:val="009C6723"/>
    <w:rsid w:val="009C675A"/>
    <w:rsid w:val="009C6A09"/>
    <w:rsid w:val="009C6A17"/>
    <w:rsid w:val="009C6A19"/>
    <w:rsid w:val="009C6B0D"/>
    <w:rsid w:val="009C6BEA"/>
    <w:rsid w:val="009C6C32"/>
    <w:rsid w:val="009C6C66"/>
    <w:rsid w:val="009C6D3A"/>
    <w:rsid w:val="009C6DD6"/>
    <w:rsid w:val="009C6E79"/>
    <w:rsid w:val="009C6F0A"/>
    <w:rsid w:val="009C70E7"/>
    <w:rsid w:val="009C75A0"/>
    <w:rsid w:val="009C76BB"/>
    <w:rsid w:val="009C76CE"/>
    <w:rsid w:val="009C79ED"/>
    <w:rsid w:val="009C7B8B"/>
    <w:rsid w:val="009C7CED"/>
    <w:rsid w:val="009C7E7B"/>
    <w:rsid w:val="009C7F44"/>
    <w:rsid w:val="009C7FF2"/>
    <w:rsid w:val="009D00CA"/>
    <w:rsid w:val="009D0123"/>
    <w:rsid w:val="009D0162"/>
    <w:rsid w:val="009D0579"/>
    <w:rsid w:val="009D064B"/>
    <w:rsid w:val="009D070C"/>
    <w:rsid w:val="009D0BD1"/>
    <w:rsid w:val="009D0BED"/>
    <w:rsid w:val="009D0BFB"/>
    <w:rsid w:val="009D0C07"/>
    <w:rsid w:val="009D0D26"/>
    <w:rsid w:val="009D0DF1"/>
    <w:rsid w:val="009D0EE6"/>
    <w:rsid w:val="009D0F33"/>
    <w:rsid w:val="009D0F9E"/>
    <w:rsid w:val="009D1079"/>
    <w:rsid w:val="009D119E"/>
    <w:rsid w:val="009D1372"/>
    <w:rsid w:val="009D142F"/>
    <w:rsid w:val="009D1447"/>
    <w:rsid w:val="009D145B"/>
    <w:rsid w:val="009D17A8"/>
    <w:rsid w:val="009D190B"/>
    <w:rsid w:val="009D1A0E"/>
    <w:rsid w:val="009D1A58"/>
    <w:rsid w:val="009D1A7C"/>
    <w:rsid w:val="009D1F3C"/>
    <w:rsid w:val="009D1FC5"/>
    <w:rsid w:val="009D20CB"/>
    <w:rsid w:val="009D213A"/>
    <w:rsid w:val="009D21AE"/>
    <w:rsid w:val="009D22C6"/>
    <w:rsid w:val="009D242A"/>
    <w:rsid w:val="009D24BC"/>
    <w:rsid w:val="009D2583"/>
    <w:rsid w:val="009D2625"/>
    <w:rsid w:val="009D293D"/>
    <w:rsid w:val="009D2ADC"/>
    <w:rsid w:val="009D2B61"/>
    <w:rsid w:val="009D2CAE"/>
    <w:rsid w:val="009D2F2E"/>
    <w:rsid w:val="009D31E3"/>
    <w:rsid w:val="009D329B"/>
    <w:rsid w:val="009D32BF"/>
    <w:rsid w:val="009D3312"/>
    <w:rsid w:val="009D33FE"/>
    <w:rsid w:val="009D3614"/>
    <w:rsid w:val="009D367F"/>
    <w:rsid w:val="009D36BE"/>
    <w:rsid w:val="009D3890"/>
    <w:rsid w:val="009D38F1"/>
    <w:rsid w:val="009D392E"/>
    <w:rsid w:val="009D39F3"/>
    <w:rsid w:val="009D3A18"/>
    <w:rsid w:val="009D3A64"/>
    <w:rsid w:val="009D3B10"/>
    <w:rsid w:val="009D3D03"/>
    <w:rsid w:val="009D3E26"/>
    <w:rsid w:val="009D3E45"/>
    <w:rsid w:val="009D3F95"/>
    <w:rsid w:val="009D4216"/>
    <w:rsid w:val="009D4382"/>
    <w:rsid w:val="009D4583"/>
    <w:rsid w:val="009D45DE"/>
    <w:rsid w:val="009D48F0"/>
    <w:rsid w:val="009D497F"/>
    <w:rsid w:val="009D4A27"/>
    <w:rsid w:val="009D4CF8"/>
    <w:rsid w:val="009D4E3B"/>
    <w:rsid w:val="009D5170"/>
    <w:rsid w:val="009D5460"/>
    <w:rsid w:val="009D5461"/>
    <w:rsid w:val="009D5559"/>
    <w:rsid w:val="009D5629"/>
    <w:rsid w:val="009D56EE"/>
    <w:rsid w:val="009D571B"/>
    <w:rsid w:val="009D5761"/>
    <w:rsid w:val="009D579F"/>
    <w:rsid w:val="009D57D6"/>
    <w:rsid w:val="009D5A1E"/>
    <w:rsid w:val="009D5B3D"/>
    <w:rsid w:val="009D5E23"/>
    <w:rsid w:val="009D5E55"/>
    <w:rsid w:val="009D5FAA"/>
    <w:rsid w:val="009D5FF4"/>
    <w:rsid w:val="009D62D1"/>
    <w:rsid w:val="009D660B"/>
    <w:rsid w:val="009D6620"/>
    <w:rsid w:val="009D6645"/>
    <w:rsid w:val="009D6782"/>
    <w:rsid w:val="009D67F4"/>
    <w:rsid w:val="009D6998"/>
    <w:rsid w:val="009D6A1B"/>
    <w:rsid w:val="009D6A71"/>
    <w:rsid w:val="009D6CF4"/>
    <w:rsid w:val="009D6E05"/>
    <w:rsid w:val="009D709F"/>
    <w:rsid w:val="009D7269"/>
    <w:rsid w:val="009D72D2"/>
    <w:rsid w:val="009D738B"/>
    <w:rsid w:val="009D73F0"/>
    <w:rsid w:val="009D7405"/>
    <w:rsid w:val="009D7475"/>
    <w:rsid w:val="009D75E2"/>
    <w:rsid w:val="009D77EE"/>
    <w:rsid w:val="009D785B"/>
    <w:rsid w:val="009D7860"/>
    <w:rsid w:val="009D79F5"/>
    <w:rsid w:val="009D7B26"/>
    <w:rsid w:val="009D7D80"/>
    <w:rsid w:val="009D7E33"/>
    <w:rsid w:val="009D7EF8"/>
    <w:rsid w:val="009D7FA3"/>
    <w:rsid w:val="009E0100"/>
    <w:rsid w:val="009E018D"/>
    <w:rsid w:val="009E023E"/>
    <w:rsid w:val="009E0374"/>
    <w:rsid w:val="009E0457"/>
    <w:rsid w:val="009E04E0"/>
    <w:rsid w:val="009E0650"/>
    <w:rsid w:val="009E08C2"/>
    <w:rsid w:val="009E09E7"/>
    <w:rsid w:val="009E0B64"/>
    <w:rsid w:val="009E0C29"/>
    <w:rsid w:val="009E0DA0"/>
    <w:rsid w:val="009E0F38"/>
    <w:rsid w:val="009E1161"/>
    <w:rsid w:val="009E11CC"/>
    <w:rsid w:val="009E12B9"/>
    <w:rsid w:val="009E131E"/>
    <w:rsid w:val="009E134D"/>
    <w:rsid w:val="009E13AC"/>
    <w:rsid w:val="009E1517"/>
    <w:rsid w:val="009E1601"/>
    <w:rsid w:val="009E1732"/>
    <w:rsid w:val="009E17B4"/>
    <w:rsid w:val="009E1842"/>
    <w:rsid w:val="009E19A9"/>
    <w:rsid w:val="009E1A24"/>
    <w:rsid w:val="009E1A70"/>
    <w:rsid w:val="009E1A94"/>
    <w:rsid w:val="009E1C32"/>
    <w:rsid w:val="009E1CA5"/>
    <w:rsid w:val="009E1E94"/>
    <w:rsid w:val="009E1EEA"/>
    <w:rsid w:val="009E20F0"/>
    <w:rsid w:val="009E20F7"/>
    <w:rsid w:val="009E230B"/>
    <w:rsid w:val="009E23A8"/>
    <w:rsid w:val="009E24D8"/>
    <w:rsid w:val="009E27DB"/>
    <w:rsid w:val="009E285A"/>
    <w:rsid w:val="009E2F3F"/>
    <w:rsid w:val="009E30CB"/>
    <w:rsid w:val="009E30FA"/>
    <w:rsid w:val="009E312B"/>
    <w:rsid w:val="009E3164"/>
    <w:rsid w:val="009E31AE"/>
    <w:rsid w:val="009E3268"/>
    <w:rsid w:val="009E3285"/>
    <w:rsid w:val="009E3598"/>
    <w:rsid w:val="009E35D2"/>
    <w:rsid w:val="009E3727"/>
    <w:rsid w:val="009E37E8"/>
    <w:rsid w:val="009E37FC"/>
    <w:rsid w:val="009E3989"/>
    <w:rsid w:val="009E3B3B"/>
    <w:rsid w:val="009E3BDE"/>
    <w:rsid w:val="009E3DA0"/>
    <w:rsid w:val="009E427A"/>
    <w:rsid w:val="009E42DC"/>
    <w:rsid w:val="009E45C9"/>
    <w:rsid w:val="009E4834"/>
    <w:rsid w:val="009E4B76"/>
    <w:rsid w:val="009E4B8B"/>
    <w:rsid w:val="009E4D52"/>
    <w:rsid w:val="009E5101"/>
    <w:rsid w:val="009E51D5"/>
    <w:rsid w:val="009E5289"/>
    <w:rsid w:val="009E55BC"/>
    <w:rsid w:val="009E564C"/>
    <w:rsid w:val="009E5822"/>
    <w:rsid w:val="009E58F8"/>
    <w:rsid w:val="009E5921"/>
    <w:rsid w:val="009E5D30"/>
    <w:rsid w:val="009E5EBE"/>
    <w:rsid w:val="009E5F3D"/>
    <w:rsid w:val="009E5F63"/>
    <w:rsid w:val="009E5F7A"/>
    <w:rsid w:val="009E5FD6"/>
    <w:rsid w:val="009E5FF0"/>
    <w:rsid w:val="009E61C2"/>
    <w:rsid w:val="009E62F0"/>
    <w:rsid w:val="009E65F6"/>
    <w:rsid w:val="009E661F"/>
    <w:rsid w:val="009E67F2"/>
    <w:rsid w:val="009E685A"/>
    <w:rsid w:val="009E69F1"/>
    <w:rsid w:val="009E6A41"/>
    <w:rsid w:val="009E6BD2"/>
    <w:rsid w:val="009E6BF3"/>
    <w:rsid w:val="009E6C30"/>
    <w:rsid w:val="009E6DEA"/>
    <w:rsid w:val="009E7067"/>
    <w:rsid w:val="009E707F"/>
    <w:rsid w:val="009E717B"/>
    <w:rsid w:val="009E7389"/>
    <w:rsid w:val="009E7450"/>
    <w:rsid w:val="009E75F0"/>
    <w:rsid w:val="009E77DE"/>
    <w:rsid w:val="009E77F6"/>
    <w:rsid w:val="009E79ED"/>
    <w:rsid w:val="009E7A2B"/>
    <w:rsid w:val="009E7AA7"/>
    <w:rsid w:val="009E7B20"/>
    <w:rsid w:val="009E7BC4"/>
    <w:rsid w:val="009E7BD7"/>
    <w:rsid w:val="009E7D31"/>
    <w:rsid w:val="009E7DC4"/>
    <w:rsid w:val="009E7E50"/>
    <w:rsid w:val="009E7FA2"/>
    <w:rsid w:val="009F018C"/>
    <w:rsid w:val="009F01D4"/>
    <w:rsid w:val="009F0262"/>
    <w:rsid w:val="009F028F"/>
    <w:rsid w:val="009F02A1"/>
    <w:rsid w:val="009F0399"/>
    <w:rsid w:val="009F044A"/>
    <w:rsid w:val="009F04EA"/>
    <w:rsid w:val="009F095C"/>
    <w:rsid w:val="009F0A5E"/>
    <w:rsid w:val="009F0ADB"/>
    <w:rsid w:val="009F0B3F"/>
    <w:rsid w:val="009F0B9C"/>
    <w:rsid w:val="009F0C14"/>
    <w:rsid w:val="009F0D22"/>
    <w:rsid w:val="009F0D99"/>
    <w:rsid w:val="009F0DD2"/>
    <w:rsid w:val="009F0E17"/>
    <w:rsid w:val="009F0E70"/>
    <w:rsid w:val="009F0F2A"/>
    <w:rsid w:val="009F1032"/>
    <w:rsid w:val="009F1051"/>
    <w:rsid w:val="009F116E"/>
    <w:rsid w:val="009F1186"/>
    <w:rsid w:val="009F11E9"/>
    <w:rsid w:val="009F1500"/>
    <w:rsid w:val="009F15A4"/>
    <w:rsid w:val="009F169C"/>
    <w:rsid w:val="009F183F"/>
    <w:rsid w:val="009F195C"/>
    <w:rsid w:val="009F19A0"/>
    <w:rsid w:val="009F1AC4"/>
    <w:rsid w:val="009F1BA4"/>
    <w:rsid w:val="009F1D0A"/>
    <w:rsid w:val="009F1DB0"/>
    <w:rsid w:val="009F1E9F"/>
    <w:rsid w:val="009F1EB8"/>
    <w:rsid w:val="009F1ECE"/>
    <w:rsid w:val="009F1F9E"/>
    <w:rsid w:val="009F1FFC"/>
    <w:rsid w:val="009F20F9"/>
    <w:rsid w:val="009F23B3"/>
    <w:rsid w:val="009F2459"/>
    <w:rsid w:val="009F25AE"/>
    <w:rsid w:val="009F2678"/>
    <w:rsid w:val="009F2826"/>
    <w:rsid w:val="009F2A57"/>
    <w:rsid w:val="009F2AA9"/>
    <w:rsid w:val="009F2B0A"/>
    <w:rsid w:val="009F2B2D"/>
    <w:rsid w:val="009F2D5D"/>
    <w:rsid w:val="009F2DCE"/>
    <w:rsid w:val="009F2F21"/>
    <w:rsid w:val="009F2FEF"/>
    <w:rsid w:val="009F3049"/>
    <w:rsid w:val="009F31A6"/>
    <w:rsid w:val="009F31B7"/>
    <w:rsid w:val="009F31DC"/>
    <w:rsid w:val="009F335A"/>
    <w:rsid w:val="009F33DD"/>
    <w:rsid w:val="009F33E9"/>
    <w:rsid w:val="009F3484"/>
    <w:rsid w:val="009F34A7"/>
    <w:rsid w:val="009F367F"/>
    <w:rsid w:val="009F38EB"/>
    <w:rsid w:val="009F39CD"/>
    <w:rsid w:val="009F3A26"/>
    <w:rsid w:val="009F3BA9"/>
    <w:rsid w:val="009F3C15"/>
    <w:rsid w:val="009F3C7B"/>
    <w:rsid w:val="009F3C9F"/>
    <w:rsid w:val="009F4142"/>
    <w:rsid w:val="009F4153"/>
    <w:rsid w:val="009F41AF"/>
    <w:rsid w:val="009F44E7"/>
    <w:rsid w:val="009F4623"/>
    <w:rsid w:val="009F4800"/>
    <w:rsid w:val="009F481B"/>
    <w:rsid w:val="009F48B1"/>
    <w:rsid w:val="009F491F"/>
    <w:rsid w:val="009F4C50"/>
    <w:rsid w:val="009F4F20"/>
    <w:rsid w:val="009F4F29"/>
    <w:rsid w:val="009F4FDD"/>
    <w:rsid w:val="009F50E6"/>
    <w:rsid w:val="009F5189"/>
    <w:rsid w:val="009F51F0"/>
    <w:rsid w:val="009F51F6"/>
    <w:rsid w:val="009F5418"/>
    <w:rsid w:val="009F54B6"/>
    <w:rsid w:val="009F552C"/>
    <w:rsid w:val="009F55B1"/>
    <w:rsid w:val="009F568F"/>
    <w:rsid w:val="009F5A4E"/>
    <w:rsid w:val="009F5B77"/>
    <w:rsid w:val="009F5CF1"/>
    <w:rsid w:val="009F5D0D"/>
    <w:rsid w:val="009F5DB4"/>
    <w:rsid w:val="009F5EFF"/>
    <w:rsid w:val="009F6044"/>
    <w:rsid w:val="009F6223"/>
    <w:rsid w:val="009F62B0"/>
    <w:rsid w:val="009F63F1"/>
    <w:rsid w:val="009F645B"/>
    <w:rsid w:val="009F645F"/>
    <w:rsid w:val="009F6803"/>
    <w:rsid w:val="009F6875"/>
    <w:rsid w:val="009F6984"/>
    <w:rsid w:val="009F698F"/>
    <w:rsid w:val="009F6B04"/>
    <w:rsid w:val="009F6BB7"/>
    <w:rsid w:val="009F6C46"/>
    <w:rsid w:val="009F6E61"/>
    <w:rsid w:val="009F6F0D"/>
    <w:rsid w:val="009F6FFE"/>
    <w:rsid w:val="009F71AE"/>
    <w:rsid w:val="009F71CE"/>
    <w:rsid w:val="009F74B1"/>
    <w:rsid w:val="009F76BF"/>
    <w:rsid w:val="009F76CA"/>
    <w:rsid w:val="009F7782"/>
    <w:rsid w:val="009F79A9"/>
    <w:rsid w:val="009F7A91"/>
    <w:rsid w:val="009F7AA0"/>
    <w:rsid w:val="009F7CBF"/>
    <w:rsid w:val="009F7DC3"/>
    <w:rsid w:val="009F7E0A"/>
    <w:rsid w:val="009F7E89"/>
    <w:rsid w:val="009F7F15"/>
    <w:rsid w:val="009F7F4D"/>
    <w:rsid w:val="009F7FFB"/>
    <w:rsid w:val="00A0002A"/>
    <w:rsid w:val="00A00292"/>
    <w:rsid w:val="00A00387"/>
    <w:rsid w:val="00A003AF"/>
    <w:rsid w:val="00A004AB"/>
    <w:rsid w:val="00A004FF"/>
    <w:rsid w:val="00A0066A"/>
    <w:rsid w:val="00A008E5"/>
    <w:rsid w:val="00A008ED"/>
    <w:rsid w:val="00A00961"/>
    <w:rsid w:val="00A00A34"/>
    <w:rsid w:val="00A00B00"/>
    <w:rsid w:val="00A00BCB"/>
    <w:rsid w:val="00A00BEC"/>
    <w:rsid w:val="00A00C26"/>
    <w:rsid w:val="00A00FC0"/>
    <w:rsid w:val="00A010AB"/>
    <w:rsid w:val="00A01112"/>
    <w:rsid w:val="00A0111E"/>
    <w:rsid w:val="00A01123"/>
    <w:rsid w:val="00A01152"/>
    <w:rsid w:val="00A0115D"/>
    <w:rsid w:val="00A011B0"/>
    <w:rsid w:val="00A01380"/>
    <w:rsid w:val="00A01414"/>
    <w:rsid w:val="00A01465"/>
    <w:rsid w:val="00A014DC"/>
    <w:rsid w:val="00A0169F"/>
    <w:rsid w:val="00A0193E"/>
    <w:rsid w:val="00A01A01"/>
    <w:rsid w:val="00A01A71"/>
    <w:rsid w:val="00A01B52"/>
    <w:rsid w:val="00A01C4A"/>
    <w:rsid w:val="00A01E43"/>
    <w:rsid w:val="00A01ED3"/>
    <w:rsid w:val="00A02021"/>
    <w:rsid w:val="00A021B3"/>
    <w:rsid w:val="00A025B1"/>
    <w:rsid w:val="00A02659"/>
    <w:rsid w:val="00A026D0"/>
    <w:rsid w:val="00A0271C"/>
    <w:rsid w:val="00A0275D"/>
    <w:rsid w:val="00A027C9"/>
    <w:rsid w:val="00A0281B"/>
    <w:rsid w:val="00A0293F"/>
    <w:rsid w:val="00A029B1"/>
    <w:rsid w:val="00A029C6"/>
    <w:rsid w:val="00A02A58"/>
    <w:rsid w:val="00A02A71"/>
    <w:rsid w:val="00A02C51"/>
    <w:rsid w:val="00A02C76"/>
    <w:rsid w:val="00A02C91"/>
    <w:rsid w:val="00A02E8E"/>
    <w:rsid w:val="00A02FD3"/>
    <w:rsid w:val="00A03055"/>
    <w:rsid w:val="00A032D1"/>
    <w:rsid w:val="00A03948"/>
    <w:rsid w:val="00A039AF"/>
    <w:rsid w:val="00A039ED"/>
    <w:rsid w:val="00A03BDB"/>
    <w:rsid w:val="00A03D7D"/>
    <w:rsid w:val="00A03DA3"/>
    <w:rsid w:val="00A03EB2"/>
    <w:rsid w:val="00A03EB9"/>
    <w:rsid w:val="00A04029"/>
    <w:rsid w:val="00A04107"/>
    <w:rsid w:val="00A0410C"/>
    <w:rsid w:val="00A04333"/>
    <w:rsid w:val="00A04672"/>
    <w:rsid w:val="00A046A6"/>
    <w:rsid w:val="00A047A2"/>
    <w:rsid w:val="00A04AB0"/>
    <w:rsid w:val="00A04AF4"/>
    <w:rsid w:val="00A04D6D"/>
    <w:rsid w:val="00A04F8C"/>
    <w:rsid w:val="00A0508A"/>
    <w:rsid w:val="00A0513A"/>
    <w:rsid w:val="00A051A2"/>
    <w:rsid w:val="00A05281"/>
    <w:rsid w:val="00A05413"/>
    <w:rsid w:val="00A05474"/>
    <w:rsid w:val="00A054E9"/>
    <w:rsid w:val="00A057CE"/>
    <w:rsid w:val="00A05822"/>
    <w:rsid w:val="00A0587F"/>
    <w:rsid w:val="00A059A7"/>
    <w:rsid w:val="00A05AB9"/>
    <w:rsid w:val="00A05AEB"/>
    <w:rsid w:val="00A05BD0"/>
    <w:rsid w:val="00A05D52"/>
    <w:rsid w:val="00A05DBE"/>
    <w:rsid w:val="00A05DFC"/>
    <w:rsid w:val="00A05F22"/>
    <w:rsid w:val="00A0617C"/>
    <w:rsid w:val="00A061B3"/>
    <w:rsid w:val="00A063F6"/>
    <w:rsid w:val="00A0658C"/>
    <w:rsid w:val="00A065A1"/>
    <w:rsid w:val="00A065A3"/>
    <w:rsid w:val="00A066D3"/>
    <w:rsid w:val="00A066F2"/>
    <w:rsid w:val="00A067C1"/>
    <w:rsid w:val="00A06894"/>
    <w:rsid w:val="00A0691B"/>
    <w:rsid w:val="00A0698A"/>
    <w:rsid w:val="00A069C5"/>
    <w:rsid w:val="00A06A14"/>
    <w:rsid w:val="00A06C20"/>
    <w:rsid w:val="00A06C5C"/>
    <w:rsid w:val="00A06CBA"/>
    <w:rsid w:val="00A06E0F"/>
    <w:rsid w:val="00A06E48"/>
    <w:rsid w:val="00A06F24"/>
    <w:rsid w:val="00A07111"/>
    <w:rsid w:val="00A0712B"/>
    <w:rsid w:val="00A07278"/>
    <w:rsid w:val="00A07329"/>
    <w:rsid w:val="00A073B2"/>
    <w:rsid w:val="00A073B3"/>
    <w:rsid w:val="00A07596"/>
    <w:rsid w:val="00A075A0"/>
    <w:rsid w:val="00A07666"/>
    <w:rsid w:val="00A07686"/>
    <w:rsid w:val="00A07749"/>
    <w:rsid w:val="00A077F8"/>
    <w:rsid w:val="00A07B55"/>
    <w:rsid w:val="00A07C12"/>
    <w:rsid w:val="00A07C55"/>
    <w:rsid w:val="00A07C8D"/>
    <w:rsid w:val="00A10088"/>
    <w:rsid w:val="00A10106"/>
    <w:rsid w:val="00A1025B"/>
    <w:rsid w:val="00A1027F"/>
    <w:rsid w:val="00A102E6"/>
    <w:rsid w:val="00A1076A"/>
    <w:rsid w:val="00A1093A"/>
    <w:rsid w:val="00A10953"/>
    <w:rsid w:val="00A10C65"/>
    <w:rsid w:val="00A10C86"/>
    <w:rsid w:val="00A10D52"/>
    <w:rsid w:val="00A10D57"/>
    <w:rsid w:val="00A10D7F"/>
    <w:rsid w:val="00A10E30"/>
    <w:rsid w:val="00A11031"/>
    <w:rsid w:val="00A110C9"/>
    <w:rsid w:val="00A1112D"/>
    <w:rsid w:val="00A113F0"/>
    <w:rsid w:val="00A1142E"/>
    <w:rsid w:val="00A115A6"/>
    <w:rsid w:val="00A115C3"/>
    <w:rsid w:val="00A116E3"/>
    <w:rsid w:val="00A116EA"/>
    <w:rsid w:val="00A11897"/>
    <w:rsid w:val="00A1193D"/>
    <w:rsid w:val="00A11A70"/>
    <w:rsid w:val="00A11C74"/>
    <w:rsid w:val="00A11D66"/>
    <w:rsid w:val="00A11F45"/>
    <w:rsid w:val="00A121E9"/>
    <w:rsid w:val="00A1227D"/>
    <w:rsid w:val="00A122D7"/>
    <w:rsid w:val="00A1233B"/>
    <w:rsid w:val="00A12471"/>
    <w:rsid w:val="00A12492"/>
    <w:rsid w:val="00A124AE"/>
    <w:rsid w:val="00A1254E"/>
    <w:rsid w:val="00A125AC"/>
    <w:rsid w:val="00A1269D"/>
    <w:rsid w:val="00A126B7"/>
    <w:rsid w:val="00A127FC"/>
    <w:rsid w:val="00A1283D"/>
    <w:rsid w:val="00A12B11"/>
    <w:rsid w:val="00A12E5F"/>
    <w:rsid w:val="00A12F54"/>
    <w:rsid w:val="00A12FA1"/>
    <w:rsid w:val="00A13045"/>
    <w:rsid w:val="00A1315B"/>
    <w:rsid w:val="00A13401"/>
    <w:rsid w:val="00A135EC"/>
    <w:rsid w:val="00A13844"/>
    <w:rsid w:val="00A13884"/>
    <w:rsid w:val="00A13BF4"/>
    <w:rsid w:val="00A13C61"/>
    <w:rsid w:val="00A13D2C"/>
    <w:rsid w:val="00A13E7C"/>
    <w:rsid w:val="00A1409A"/>
    <w:rsid w:val="00A14372"/>
    <w:rsid w:val="00A143AC"/>
    <w:rsid w:val="00A144BA"/>
    <w:rsid w:val="00A14519"/>
    <w:rsid w:val="00A145C1"/>
    <w:rsid w:val="00A1471E"/>
    <w:rsid w:val="00A1480C"/>
    <w:rsid w:val="00A14A44"/>
    <w:rsid w:val="00A14B07"/>
    <w:rsid w:val="00A14B31"/>
    <w:rsid w:val="00A14D03"/>
    <w:rsid w:val="00A14E11"/>
    <w:rsid w:val="00A14F56"/>
    <w:rsid w:val="00A150E3"/>
    <w:rsid w:val="00A152E1"/>
    <w:rsid w:val="00A153C7"/>
    <w:rsid w:val="00A153D9"/>
    <w:rsid w:val="00A153FF"/>
    <w:rsid w:val="00A15593"/>
    <w:rsid w:val="00A15613"/>
    <w:rsid w:val="00A1573B"/>
    <w:rsid w:val="00A159BB"/>
    <w:rsid w:val="00A159DE"/>
    <w:rsid w:val="00A159F2"/>
    <w:rsid w:val="00A15ACF"/>
    <w:rsid w:val="00A15B69"/>
    <w:rsid w:val="00A15B97"/>
    <w:rsid w:val="00A15F97"/>
    <w:rsid w:val="00A15F9B"/>
    <w:rsid w:val="00A1602A"/>
    <w:rsid w:val="00A1620C"/>
    <w:rsid w:val="00A16232"/>
    <w:rsid w:val="00A1634F"/>
    <w:rsid w:val="00A163DA"/>
    <w:rsid w:val="00A164DE"/>
    <w:rsid w:val="00A1675D"/>
    <w:rsid w:val="00A169A6"/>
    <w:rsid w:val="00A16E33"/>
    <w:rsid w:val="00A16E80"/>
    <w:rsid w:val="00A16F40"/>
    <w:rsid w:val="00A16F81"/>
    <w:rsid w:val="00A1705A"/>
    <w:rsid w:val="00A1705E"/>
    <w:rsid w:val="00A170F0"/>
    <w:rsid w:val="00A170F8"/>
    <w:rsid w:val="00A1710A"/>
    <w:rsid w:val="00A171EA"/>
    <w:rsid w:val="00A172C9"/>
    <w:rsid w:val="00A17343"/>
    <w:rsid w:val="00A17652"/>
    <w:rsid w:val="00A178F8"/>
    <w:rsid w:val="00A179BF"/>
    <w:rsid w:val="00A17A08"/>
    <w:rsid w:val="00A17C8C"/>
    <w:rsid w:val="00A17CE9"/>
    <w:rsid w:val="00A17D37"/>
    <w:rsid w:val="00A17F87"/>
    <w:rsid w:val="00A2003A"/>
    <w:rsid w:val="00A2039C"/>
    <w:rsid w:val="00A203D5"/>
    <w:rsid w:val="00A2054B"/>
    <w:rsid w:val="00A206CE"/>
    <w:rsid w:val="00A207BF"/>
    <w:rsid w:val="00A2097F"/>
    <w:rsid w:val="00A20B84"/>
    <w:rsid w:val="00A211C5"/>
    <w:rsid w:val="00A21688"/>
    <w:rsid w:val="00A21805"/>
    <w:rsid w:val="00A21871"/>
    <w:rsid w:val="00A21893"/>
    <w:rsid w:val="00A21A7B"/>
    <w:rsid w:val="00A21A95"/>
    <w:rsid w:val="00A21AD6"/>
    <w:rsid w:val="00A21B0C"/>
    <w:rsid w:val="00A21B86"/>
    <w:rsid w:val="00A21D18"/>
    <w:rsid w:val="00A21DEF"/>
    <w:rsid w:val="00A21EE0"/>
    <w:rsid w:val="00A220A5"/>
    <w:rsid w:val="00A220CD"/>
    <w:rsid w:val="00A2226A"/>
    <w:rsid w:val="00A22338"/>
    <w:rsid w:val="00A22355"/>
    <w:rsid w:val="00A223A7"/>
    <w:rsid w:val="00A223DD"/>
    <w:rsid w:val="00A22435"/>
    <w:rsid w:val="00A224C2"/>
    <w:rsid w:val="00A224E7"/>
    <w:rsid w:val="00A224FA"/>
    <w:rsid w:val="00A225C0"/>
    <w:rsid w:val="00A225CF"/>
    <w:rsid w:val="00A2266D"/>
    <w:rsid w:val="00A226DF"/>
    <w:rsid w:val="00A22973"/>
    <w:rsid w:val="00A229AA"/>
    <w:rsid w:val="00A22D5C"/>
    <w:rsid w:val="00A2301B"/>
    <w:rsid w:val="00A23101"/>
    <w:rsid w:val="00A23240"/>
    <w:rsid w:val="00A232E5"/>
    <w:rsid w:val="00A2341E"/>
    <w:rsid w:val="00A2351C"/>
    <w:rsid w:val="00A2359E"/>
    <w:rsid w:val="00A23604"/>
    <w:rsid w:val="00A23633"/>
    <w:rsid w:val="00A23638"/>
    <w:rsid w:val="00A2374D"/>
    <w:rsid w:val="00A23943"/>
    <w:rsid w:val="00A23BF0"/>
    <w:rsid w:val="00A23CE8"/>
    <w:rsid w:val="00A23D30"/>
    <w:rsid w:val="00A23DF6"/>
    <w:rsid w:val="00A23E0F"/>
    <w:rsid w:val="00A23E9A"/>
    <w:rsid w:val="00A2418E"/>
    <w:rsid w:val="00A241C2"/>
    <w:rsid w:val="00A241CC"/>
    <w:rsid w:val="00A241D9"/>
    <w:rsid w:val="00A24284"/>
    <w:rsid w:val="00A24598"/>
    <w:rsid w:val="00A24603"/>
    <w:rsid w:val="00A24697"/>
    <w:rsid w:val="00A247FA"/>
    <w:rsid w:val="00A248C7"/>
    <w:rsid w:val="00A24960"/>
    <w:rsid w:val="00A24AE6"/>
    <w:rsid w:val="00A24B57"/>
    <w:rsid w:val="00A24BD8"/>
    <w:rsid w:val="00A24C9C"/>
    <w:rsid w:val="00A24CD5"/>
    <w:rsid w:val="00A24DA1"/>
    <w:rsid w:val="00A24F5F"/>
    <w:rsid w:val="00A24FEC"/>
    <w:rsid w:val="00A2504A"/>
    <w:rsid w:val="00A250AE"/>
    <w:rsid w:val="00A251C0"/>
    <w:rsid w:val="00A251EF"/>
    <w:rsid w:val="00A2538A"/>
    <w:rsid w:val="00A255E9"/>
    <w:rsid w:val="00A2574C"/>
    <w:rsid w:val="00A2575A"/>
    <w:rsid w:val="00A257CD"/>
    <w:rsid w:val="00A25975"/>
    <w:rsid w:val="00A259D9"/>
    <w:rsid w:val="00A25B9C"/>
    <w:rsid w:val="00A25C9C"/>
    <w:rsid w:val="00A25D23"/>
    <w:rsid w:val="00A25D67"/>
    <w:rsid w:val="00A25E6F"/>
    <w:rsid w:val="00A25E97"/>
    <w:rsid w:val="00A25FC5"/>
    <w:rsid w:val="00A25FD1"/>
    <w:rsid w:val="00A2613E"/>
    <w:rsid w:val="00A261A8"/>
    <w:rsid w:val="00A262DA"/>
    <w:rsid w:val="00A26488"/>
    <w:rsid w:val="00A26522"/>
    <w:rsid w:val="00A2657B"/>
    <w:rsid w:val="00A2668F"/>
    <w:rsid w:val="00A266D1"/>
    <w:rsid w:val="00A267A3"/>
    <w:rsid w:val="00A268AA"/>
    <w:rsid w:val="00A268F3"/>
    <w:rsid w:val="00A26956"/>
    <w:rsid w:val="00A26A26"/>
    <w:rsid w:val="00A26B9B"/>
    <w:rsid w:val="00A26C4B"/>
    <w:rsid w:val="00A26D7C"/>
    <w:rsid w:val="00A26E38"/>
    <w:rsid w:val="00A26FB9"/>
    <w:rsid w:val="00A26FC0"/>
    <w:rsid w:val="00A27165"/>
    <w:rsid w:val="00A27339"/>
    <w:rsid w:val="00A2737D"/>
    <w:rsid w:val="00A2748F"/>
    <w:rsid w:val="00A274BE"/>
    <w:rsid w:val="00A274CB"/>
    <w:rsid w:val="00A274DA"/>
    <w:rsid w:val="00A2769F"/>
    <w:rsid w:val="00A277CF"/>
    <w:rsid w:val="00A279BC"/>
    <w:rsid w:val="00A27A6F"/>
    <w:rsid w:val="00A27A77"/>
    <w:rsid w:val="00A27B2F"/>
    <w:rsid w:val="00A27C55"/>
    <w:rsid w:val="00A27D12"/>
    <w:rsid w:val="00A27D77"/>
    <w:rsid w:val="00A27DCC"/>
    <w:rsid w:val="00A27F20"/>
    <w:rsid w:val="00A2C1F3"/>
    <w:rsid w:val="00A2F87D"/>
    <w:rsid w:val="00A300D2"/>
    <w:rsid w:val="00A30122"/>
    <w:rsid w:val="00A30131"/>
    <w:rsid w:val="00A301A7"/>
    <w:rsid w:val="00A303C9"/>
    <w:rsid w:val="00A303FC"/>
    <w:rsid w:val="00A3050B"/>
    <w:rsid w:val="00A3055F"/>
    <w:rsid w:val="00A30820"/>
    <w:rsid w:val="00A30909"/>
    <w:rsid w:val="00A30A2D"/>
    <w:rsid w:val="00A30E58"/>
    <w:rsid w:val="00A30E68"/>
    <w:rsid w:val="00A310A1"/>
    <w:rsid w:val="00A31203"/>
    <w:rsid w:val="00A31385"/>
    <w:rsid w:val="00A313EB"/>
    <w:rsid w:val="00A31468"/>
    <w:rsid w:val="00A31567"/>
    <w:rsid w:val="00A31609"/>
    <w:rsid w:val="00A3165A"/>
    <w:rsid w:val="00A31700"/>
    <w:rsid w:val="00A31754"/>
    <w:rsid w:val="00A31825"/>
    <w:rsid w:val="00A3191D"/>
    <w:rsid w:val="00A319F4"/>
    <w:rsid w:val="00A31A22"/>
    <w:rsid w:val="00A31A79"/>
    <w:rsid w:val="00A31C34"/>
    <w:rsid w:val="00A31CEB"/>
    <w:rsid w:val="00A31DC2"/>
    <w:rsid w:val="00A31FA2"/>
    <w:rsid w:val="00A32148"/>
    <w:rsid w:val="00A32289"/>
    <w:rsid w:val="00A323C6"/>
    <w:rsid w:val="00A32454"/>
    <w:rsid w:val="00A32498"/>
    <w:rsid w:val="00A3251E"/>
    <w:rsid w:val="00A32526"/>
    <w:rsid w:val="00A3258E"/>
    <w:rsid w:val="00A325A5"/>
    <w:rsid w:val="00A326D9"/>
    <w:rsid w:val="00A32998"/>
    <w:rsid w:val="00A329BF"/>
    <w:rsid w:val="00A329C1"/>
    <w:rsid w:val="00A32ABF"/>
    <w:rsid w:val="00A32DCC"/>
    <w:rsid w:val="00A32E30"/>
    <w:rsid w:val="00A32F66"/>
    <w:rsid w:val="00A330C9"/>
    <w:rsid w:val="00A3312E"/>
    <w:rsid w:val="00A3313A"/>
    <w:rsid w:val="00A331BC"/>
    <w:rsid w:val="00A332E9"/>
    <w:rsid w:val="00A33414"/>
    <w:rsid w:val="00A33465"/>
    <w:rsid w:val="00A336D3"/>
    <w:rsid w:val="00A337DB"/>
    <w:rsid w:val="00A33821"/>
    <w:rsid w:val="00A3390A"/>
    <w:rsid w:val="00A33930"/>
    <w:rsid w:val="00A33B45"/>
    <w:rsid w:val="00A33BAC"/>
    <w:rsid w:val="00A33CCD"/>
    <w:rsid w:val="00A33D6C"/>
    <w:rsid w:val="00A33E4B"/>
    <w:rsid w:val="00A33EC8"/>
    <w:rsid w:val="00A33F45"/>
    <w:rsid w:val="00A33F4E"/>
    <w:rsid w:val="00A33F5B"/>
    <w:rsid w:val="00A34061"/>
    <w:rsid w:val="00A341CB"/>
    <w:rsid w:val="00A3429B"/>
    <w:rsid w:val="00A3435F"/>
    <w:rsid w:val="00A3441B"/>
    <w:rsid w:val="00A34493"/>
    <w:rsid w:val="00A3451B"/>
    <w:rsid w:val="00A34565"/>
    <w:rsid w:val="00A3475E"/>
    <w:rsid w:val="00A34803"/>
    <w:rsid w:val="00A34804"/>
    <w:rsid w:val="00A3497F"/>
    <w:rsid w:val="00A349A1"/>
    <w:rsid w:val="00A34A44"/>
    <w:rsid w:val="00A34AA2"/>
    <w:rsid w:val="00A34AF2"/>
    <w:rsid w:val="00A34B24"/>
    <w:rsid w:val="00A34C3C"/>
    <w:rsid w:val="00A34C3D"/>
    <w:rsid w:val="00A34CB2"/>
    <w:rsid w:val="00A34CDC"/>
    <w:rsid w:val="00A34F8A"/>
    <w:rsid w:val="00A3509C"/>
    <w:rsid w:val="00A35578"/>
    <w:rsid w:val="00A356D9"/>
    <w:rsid w:val="00A35722"/>
    <w:rsid w:val="00A35AF9"/>
    <w:rsid w:val="00A35EDE"/>
    <w:rsid w:val="00A360C2"/>
    <w:rsid w:val="00A36154"/>
    <w:rsid w:val="00A36280"/>
    <w:rsid w:val="00A36363"/>
    <w:rsid w:val="00A363BD"/>
    <w:rsid w:val="00A3652D"/>
    <w:rsid w:val="00A36551"/>
    <w:rsid w:val="00A36753"/>
    <w:rsid w:val="00A36C29"/>
    <w:rsid w:val="00A36C4E"/>
    <w:rsid w:val="00A36C86"/>
    <w:rsid w:val="00A36D23"/>
    <w:rsid w:val="00A36DE7"/>
    <w:rsid w:val="00A36EAB"/>
    <w:rsid w:val="00A36F16"/>
    <w:rsid w:val="00A36F23"/>
    <w:rsid w:val="00A36FA4"/>
    <w:rsid w:val="00A36FB8"/>
    <w:rsid w:val="00A370AC"/>
    <w:rsid w:val="00A371CA"/>
    <w:rsid w:val="00A372E6"/>
    <w:rsid w:val="00A37329"/>
    <w:rsid w:val="00A374AC"/>
    <w:rsid w:val="00A374FF"/>
    <w:rsid w:val="00A3763C"/>
    <w:rsid w:val="00A3771D"/>
    <w:rsid w:val="00A377DF"/>
    <w:rsid w:val="00A3785E"/>
    <w:rsid w:val="00A3795B"/>
    <w:rsid w:val="00A37A1A"/>
    <w:rsid w:val="00A37D86"/>
    <w:rsid w:val="00A37EB9"/>
    <w:rsid w:val="00A37EF8"/>
    <w:rsid w:val="00A37FA9"/>
    <w:rsid w:val="00A37FE2"/>
    <w:rsid w:val="00A4003B"/>
    <w:rsid w:val="00A40142"/>
    <w:rsid w:val="00A40372"/>
    <w:rsid w:val="00A4055F"/>
    <w:rsid w:val="00A4081A"/>
    <w:rsid w:val="00A4082E"/>
    <w:rsid w:val="00A40AC0"/>
    <w:rsid w:val="00A40AD5"/>
    <w:rsid w:val="00A40F50"/>
    <w:rsid w:val="00A4109A"/>
    <w:rsid w:val="00A41171"/>
    <w:rsid w:val="00A411E1"/>
    <w:rsid w:val="00A4123F"/>
    <w:rsid w:val="00A412AE"/>
    <w:rsid w:val="00A412C1"/>
    <w:rsid w:val="00A412E8"/>
    <w:rsid w:val="00A41720"/>
    <w:rsid w:val="00A41836"/>
    <w:rsid w:val="00A41843"/>
    <w:rsid w:val="00A41D52"/>
    <w:rsid w:val="00A41E1B"/>
    <w:rsid w:val="00A41EA4"/>
    <w:rsid w:val="00A41F6E"/>
    <w:rsid w:val="00A420C8"/>
    <w:rsid w:val="00A42273"/>
    <w:rsid w:val="00A42576"/>
    <w:rsid w:val="00A42633"/>
    <w:rsid w:val="00A429BF"/>
    <w:rsid w:val="00A42ADA"/>
    <w:rsid w:val="00A42B45"/>
    <w:rsid w:val="00A42CB1"/>
    <w:rsid w:val="00A42E26"/>
    <w:rsid w:val="00A42EE0"/>
    <w:rsid w:val="00A4322D"/>
    <w:rsid w:val="00A432BE"/>
    <w:rsid w:val="00A432F2"/>
    <w:rsid w:val="00A43304"/>
    <w:rsid w:val="00A43505"/>
    <w:rsid w:val="00A43677"/>
    <w:rsid w:val="00A4370A"/>
    <w:rsid w:val="00A43C9D"/>
    <w:rsid w:val="00A43D06"/>
    <w:rsid w:val="00A43DBB"/>
    <w:rsid w:val="00A43E9C"/>
    <w:rsid w:val="00A43EB6"/>
    <w:rsid w:val="00A43F87"/>
    <w:rsid w:val="00A440EA"/>
    <w:rsid w:val="00A44126"/>
    <w:rsid w:val="00A4421F"/>
    <w:rsid w:val="00A44272"/>
    <w:rsid w:val="00A442BD"/>
    <w:rsid w:val="00A4433A"/>
    <w:rsid w:val="00A44652"/>
    <w:rsid w:val="00A44702"/>
    <w:rsid w:val="00A44767"/>
    <w:rsid w:val="00A4476F"/>
    <w:rsid w:val="00A4492E"/>
    <w:rsid w:val="00A44A5B"/>
    <w:rsid w:val="00A44B77"/>
    <w:rsid w:val="00A44C3F"/>
    <w:rsid w:val="00A44CB2"/>
    <w:rsid w:val="00A44E0A"/>
    <w:rsid w:val="00A44F19"/>
    <w:rsid w:val="00A450EB"/>
    <w:rsid w:val="00A451FD"/>
    <w:rsid w:val="00A4539C"/>
    <w:rsid w:val="00A45451"/>
    <w:rsid w:val="00A4553C"/>
    <w:rsid w:val="00A4565B"/>
    <w:rsid w:val="00A456A5"/>
    <w:rsid w:val="00A457B6"/>
    <w:rsid w:val="00A458FD"/>
    <w:rsid w:val="00A45C2D"/>
    <w:rsid w:val="00A45CEE"/>
    <w:rsid w:val="00A45DBC"/>
    <w:rsid w:val="00A45E8C"/>
    <w:rsid w:val="00A464CC"/>
    <w:rsid w:val="00A4666F"/>
    <w:rsid w:val="00A46756"/>
    <w:rsid w:val="00A46AB3"/>
    <w:rsid w:val="00A46D52"/>
    <w:rsid w:val="00A46D9C"/>
    <w:rsid w:val="00A46E69"/>
    <w:rsid w:val="00A46F1E"/>
    <w:rsid w:val="00A4700A"/>
    <w:rsid w:val="00A471B7"/>
    <w:rsid w:val="00A47357"/>
    <w:rsid w:val="00A4750C"/>
    <w:rsid w:val="00A4782C"/>
    <w:rsid w:val="00A478A6"/>
    <w:rsid w:val="00A478B1"/>
    <w:rsid w:val="00A47B0D"/>
    <w:rsid w:val="00A47CCC"/>
    <w:rsid w:val="00A47DF0"/>
    <w:rsid w:val="00A47EAF"/>
    <w:rsid w:val="00A47EBF"/>
    <w:rsid w:val="00A47EF1"/>
    <w:rsid w:val="00A47F40"/>
    <w:rsid w:val="00A47FB4"/>
    <w:rsid w:val="00A503CE"/>
    <w:rsid w:val="00A503F4"/>
    <w:rsid w:val="00A5041B"/>
    <w:rsid w:val="00A505FE"/>
    <w:rsid w:val="00A50644"/>
    <w:rsid w:val="00A50648"/>
    <w:rsid w:val="00A5071F"/>
    <w:rsid w:val="00A50773"/>
    <w:rsid w:val="00A5080E"/>
    <w:rsid w:val="00A5098C"/>
    <w:rsid w:val="00A50DF9"/>
    <w:rsid w:val="00A50E7C"/>
    <w:rsid w:val="00A50EE1"/>
    <w:rsid w:val="00A50F29"/>
    <w:rsid w:val="00A50FF2"/>
    <w:rsid w:val="00A51163"/>
    <w:rsid w:val="00A5131C"/>
    <w:rsid w:val="00A51332"/>
    <w:rsid w:val="00A5168F"/>
    <w:rsid w:val="00A516C0"/>
    <w:rsid w:val="00A5187B"/>
    <w:rsid w:val="00A5190B"/>
    <w:rsid w:val="00A51A28"/>
    <w:rsid w:val="00A51A87"/>
    <w:rsid w:val="00A51C4C"/>
    <w:rsid w:val="00A51F01"/>
    <w:rsid w:val="00A5207C"/>
    <w:rsid w:val="00A520AC"/>
    <w:rsid w:val="00A521CC"/>
    <w:rsid w:val="00A52455"/>
    <w:rsid w:val="00A525D3"/>
    <w:rsid w:val="00A526E1"/>
    <w:rsid w:val="00A527A7"/>
    <w:rsid w:val="00A5281D"/>
    <w:rsid w:val="00A528EA"/>
    <w:rsid w:val="00A52958"/>
    <w:rsid w:val="00A52A64"/>
    <w:rsid w:val="00A52A7B"/>
    <w:rsid w:val="00A52B53"/>
    <w:rsid w:val="00A52B73"/>
    <w:rsid w:val="00A52B86"/>
    <w:rsid w:val="00A52B8C"/>
    <w:rsid w:val="00A52C56"/>
    <w:rsid w:val="00A52EDD"/>
    <w:rsid w:val="00A52F30"/>
    <w:rsid w:val="00A530D8"/>
    <w:rsid w:val="00A531A5"/>
    <w:rsid w:val="00A53389"/>
    <w:rsid w:val="00A5347D"/>
    <w:rsid w:val="00A5354B"/>
    <w:rsid w:val="00A53841"/>
    <w:rsid w:val="00A53900"/>
    <w:rsid w:val="00A5392B"/>
    <w:rsid w:val="00A53954"/>
    <w:rsid w:val="00A53A9A"/>
    <w:rsid w:val="00A53AC2"/>
    <w:rsid w:val="00A53B61"/>
    <w:rsid w:val="00A53C58"/>
    <w:rsid w:val="00A53DB6"/>
    <w:rsid w:val="00A53DE7"/>
    <w:rsid w:val="00A53F55"/>
    <w:rsid w:val="00A54083"/>
    <w:rsid w:val="00A5420E"/>
    <w:rsid w:val="00A54262"/>
    <w:rsid w:val="00A542F0"/>
    <w:rsid w:val="00A543EA"/>
    <w:rsid w:val="00A543FE"/>
    <w:rsid w:val="00A54402"/>
    <w:rsid w:val="00A544D6"/>
    <w:rsid w:val="00A5471E"/>
    <w:rsid w:val="00A547A1"/>
    <w:rsid w:val="00A547DA"/>
    <w:rsid w:val="00A547E6"/>
    <w:rsid w:val="00A54954"/>
    <w:rsid w:val="00A5499D"/>
    <w:rsid w:val="00A54DEB"/>
    <w:rsid w:val="00A54E0D"/>
    <w:rsid w:val="00A54E32"/>
    <w:rsid w:val="00A54E92"/>
    <w:rsid w:val="00A54EFB"/>
    <w:rsid w:val="00A54F02"/>
    <w:rsid w:val="00A5518F"/>
    <w:rsid w:val="00A55287"/>
    <w:rsid w:val="00A552F2"/>
    <w:rsid w:val="00A55311"/>
    <w:rsid w:val="00A55339"/>
    <w:rsid w:val="00A554F8"/>
    <w:rsid w:val="00A55756"/>
    <w:rsid w:val="00A5585D"/>
    <w:rsid w:val="00A558E4"/>
    <w:rsid w:val="00A558F6"/>
    <w:rsid w:val="00A55933"/>
    <w:rsid w:val="00A55A03"/>
    <w:rsid w:val="00A55B3B"/>
    <w:rsid w:val="00A55BC5"/>
    <w:rsid w:val="00A55C6A"/>
    <w:rsid w:val="00A55C79"/>
    <w:rsid w:val="00A55EDA"/>
    <w:rsid w:val="00A55F9E"/>
    <w:rsid w:val="00A561A6"/>
    <w:rsid w:val="00A562E1"/>
    <w:rsid w:val="00A56531"/>
    <w:rsid w:val="00A565A5"/>
    <w:rsid w:val="00A565E1"/>
    <w:rsid w:val="00A56663"/>
    <w:rsid w:val="00A5685E"/>
    <w:rsid w:val="00A568F6"/>
    <w:rsid w:val="00A56A82"/>
    <w:rsid w:val="00A56CC1"/>
    <w:rsid w:val="00A56D70"/>
    <w:rsid w:val="00A56E05"/>
    <w:rsid w:val="00A570B4"/>
    <w:rsid w:val="00A570CA"/>
    <w:rsid w:val="00A571CC"/>
    <w:rsid w:val="00A57220"/>
    <w:rsid w:val="00A5725C"/>
    <w:rsid w:val="00A57551"/>
    <w:rsid w:val="00A575B9"/>
    <w:rsid w:val="00A575CE"/>
    <w:rsid w:val="00A57770"/>
    <w:rsid w:val="00A5780B"/>
    <w:rsid w:val="00A578CA"/>
    <w:rsid w:val="00A578D4"/>
    <w:rsid w:val="00A57C45"/>
    <w:rsid w:val="00A57CB7"/>
    <w:rsid w:val="00A57CD3"/>
    <w:rsid w:val="00A57ED4"/>
    <w:rsid w:val="00A57FF2"/>
    <w:rsid w:val="00A60140"/>
    <w:rsid w:val="00A6014B"/>
    <w:rsid w:val="00A602D2"/>
    <w:rsid w:val="00A602D7"/>
    <w:rsid w:val="00A602E9"/>
    <w:rsid w:val="00A6038B"/>
    <w:rsid w:val="00A604C9"/>
    <w:rsid w:val="00A605C1"/>
    <w:rsid w:val="00A605D7"/>
    <w:rsid w:val="00A605FA"/>
    <w:rsid w:val="00A60673"/>
    <w:rsid w:val="00A6074E"/>
    <w:rsid w:val="00A607C8"/>
    <w:rsid w:val="00A60898"/>
    <w:rsid w:val="00A60974"/>
    <w:rsid w:val="00A609C2"/>
    <w:rsid w:val="00A609C3"/>
    <w:rsid w:val="00A60B24"/>
    <w:rsid w:val="00A60C6E"/>
    <w:rsid w:val="00A60C71"/>
    <w:rsid w:val="00A60D96"/>
    <w:rsid w:val="00A6116E"/>
    <w:rsid w:val="00A6144F"/>
    <w:rsid w:val="00A619B5"/>
    <w:rsid w:val="00A61AA4"/>
    <w:rsid w:val="00A61AD4"/>
    <w:rsid w:val="00A61B71"/>
    <w:rsid w:val="00A61D24"/>
    <w:rsid w:val="00A61DF2"/>
    <w:rsid w:val="00A61EB0"/>
    <w:rsid w:val="00A62062"/>
    <w:rsid w:val="00A6210C"/>
    <w:rsid w:val="00A62388"/>
    <w:rsid w:val="00A623FD"/>
    <w:rsid w:val="00A6273B"/>
    <w:rsid w:val="00A62862"/>
    <w:rsid w:val="00A62895"/>
    <w:rsid w:val="00A62A1E"/>
    <w:rsid w:val="00A62D02"/>
    <w:rsid w:val="00A62F03"/>
    <w:rsid w:val="00A62F64"/>
    <w:rsid w:val="00A63337"/>
    <w:rsid w:val="00A63364"/>
    <w:rsid w:val="00A63381"/>
    <w:rsid w:val="00A63398"/>
    <w:rsid w:val="00A633B8"/>
    <w:rsid w:val="00A63421"/>
    <w:rsid w:val="00A63429"/>
    <w:rsid w:val="00A6346E"/>
    <w:rsid w:val="00A63486"/>
    <w:rsid w:val="00A63547"/>
    <w:rsid w:val="00A6389E"/>
    <w:rsid w:val="00A638A5"/>
    <w:rsid w:val="00A638AE"/>
    <w:rsid w:val="00A63B2C"/>
    <w:rsid w:val="00A63BEF"/>
    <w:rsid w:val="00A63D3E"/>
    <w:rsid w:val="00A63E82"/>
    <w:rsid w:val="00A63F9A"/>
    <w:rsid w:val="00A63FD7"/>
    <w:rsid w:val="00A641C6"/>
    <w:rsid w:val="00A641E1"/>
    <w:rsid w:val="00A641E8"/>
    <w:rsid w:val="00A641F1"/>
    <w:rsid w:val="00A6459E"/>
    <w:rsid w:val="00A645E0"/>
    <w:rsid w:val="00A646DE"/>
    <w:rsid w:val="00A647FC"/>
    <w:rsid w:val="00A6481F"/>
    <w:rsid w:val="00A64D88"/>
    <w:rsid w:val="00A64E47"/>
    <w:rsid w:val="00A64E93"/>
    <w:rsid w:val="00A64ECE"/>
    <w:rsid w:val="00A64ED7"/>
    <w:rsid w:val="00A65010"/>
    <w:rsid w:val="00A6503D"/>
    <w:rsid w:val="00A652CA"/>
    <w:rsid w:val="00A652D7"/>
    <w:rsid w:val="00A65472"/>
    <w:rsid w:val="00A654C9"/>
    <w:rsid w:val="00A65700"/>
    <w:rsid w:val="00A658CE"/>
    <w:rsid w:val="00A65A92"/>
    <w:rsid w:val="00A65C49"/>
    <w:rsid w:val="00A65FEA"/>
    <w:rsid w:val="00A6607D"/>
    <w:rsid w:val="00A66486"/>
    <w:rsid w:val="00A666F1"/>
    <w:rsid w:val="00A667C2"/>
    <w:rsid w:val="00A66830"/>
    <w:rsid w:val="00A6699E"/>
    <w:rsid w:val="00A669C0"/>
    <w:rsid w:val="00A66A27"/>
    <w:rsid w:val="00A66B51"/>
    <w:rsid w:val="00A66C37"/>
    <w:rsid w:val="00A66C6E"/>
    <w:rsid w:val="00A66CB8"/>
    <w:rsid w:val="00A66DC7"/>
    <w:rsid w:val="00A66E35"/>
    <w:rsid w:val="00A66F3E"/>
    <w:rsid w:val="00A66F40"/>
    <w:rsid w:val="00A66FAE"/>
    <w:rsid w:val="00A670D4"/>
    <w:rsid w:val="00A670E6"/>
    <w:rsid w:val="00A670F2"/>
    <w:rsid w:val="00A67157"/>
    <w:rsid w:val="00A67198"/>
    <w:rsid w:val="00A6720A"/>
    <w:rsid w:val="00A67309"/>
    <w:rsid w:val="00A6737B"/>
    <w:rsid w:val="00A675C1"/>
    <w:rsid w:val="00A679B3"/>
    <w:rsid w:val="00A679C5"/>
    <w:rsid w:val="00A67A34"/>
    <w:rsid w:val="00A67A69"/>
    <w:rsid w:val="00A67C16"/>
    <w:rsid w:val="00A67D31"/>
    <w:rsid w:val="00A67ECF"/>
    <w:rsid w:val="00A67F75"/>
    <w:rsid w:val="00A67FD2"/>
    <w:rsid w:val="00A70124"/>
    <w:rsid w:val="00A70178"/>
    <w:rsid w:val="00A70209"/>
    <w:rsid w:val="00A70274"/>
    <w:rsid w:val="00A7030D"/>
    <w:rsid w:val="00A705EA"/>
    <w:rsid w:val="00A7069E"/>
    <w:rsid w:val="00A707BA"/>
    <w:rsid w:val="00A7082F"/>
    <w:rsid w:val="00A7085F"/>
    <w:rsid w:val="00A708D1"/>
    <w:rsid w:val="00A70908"/>
    <w:rsid w:val="00A70979"/>
    <w:rsid w:val="00A70C40"/>
    <w:rsid w:val="00A70D12"/>
    <w:rsid w:val="00A70DEC"/>
    <w:rsid w:val="00A70DF5"/>
    <w:rsid w:val="00A70E07"/>
    <w:rsid w:val="00A71026"/>
    <w:rsid w:val="00A710DF"/>
    <w:rsid w:val="00A7127A"/>
    <w:rsid w:val="00A712AB"/>
    <w:rsid w:val="00A71440"/>
    <w:rsid w:val="00A715B7"/>
    <w:rsid w:val="00A71908"/>
    <w:rsid w:val="00A71B02"/>
    <w:rsid w:val="00A71B76"/>
    <w:rsid w:val="00A71BF9"/>
    <w:rsid w:val="00A71C0C"/>
    <w:rsid w:val="00A71C63"/>
    <w:rsid w:val="00A71F7D"/>
    <w:rsid w:val="00A71F98"/>
    <w:rsid w:val="00A71FC9"/>
    <w:rsid w:val="00A72135"/>
    <w:rsid w:val="00A7224C"/>
    <w:rsid w:val="00A722A6"/>
    <w:rsid w:val="00A72396"/>
    <w:rsid w:val="00A72519"/>
    <w:rsid w:val="00A7258F"/>
    <w:rsid w:val="00A725E4"/>
    <w:rsid w:val="00A72685"/>
    <w:rsid w:val="00A7290B"/>
    <w:rsid w:val="00A72912"/>
    <w:rsid w:val="00A72938"/>
    <w:rsid w:val="00A72965"/>
    <w:rsid w:val="00A72BA5"/>
    <w:rsid w:val="00A72CDC"/>
    <w:rsid w:val="00A72D1E"/>
    <w:rsid w:val="00A72DB6"/>
    <w:rsid w:val="00A72E3A"/>
    <w:rsid w:val="00A72E62"/>
    <w:rsid w:val="00A72E70"/>
    <w:rsid w:val="00A72F49"/>
    <w:rsid w:val="00A72F86"/>
    <w:rsid w:val="00A730A8"/>
    <w:rsid w:val="00A73110"/>
    <w:rsid w:val="00A73313"/>
    <w:rsid w:val="00A733C9"/>
    <w:rsid w:val="00A733F2"/>
    <w:rsid w:val="00A7351A"/>
    <w:rsid w:val="00A736CD"/>
    <w:rsid w:val="00A738A3"/>
    <w:rsid w:val="00A7399B"/>
    <w:rsid w:val="00A73E64"/>
    <w:rsid w:val="00A7400C"/>
    <w:rsid w:val="00A74187"/>
    <w:rsid w:val="00A7452C"/>
    <w:rsid w:val="00A74670"/>
    <w:rsid w:val="00A74686"/>
    <w:rsid w:val="00A7470E"/>
    <w:rsid w:val="00A74918"/>
    <w:rsid w:val="00A7491F"/>
    <w:rsid w:val="00A74A58"/>
    <w:rsid w:val="00A74A83"/>
    <w:rsid w:val="00A74A8A"/>
    <w:rsid w:val="00A74AF1"/>
    <w:rsid w:val="00A74BAB"/>
    <w:rsid w:val="00A74BF1"/>
    <w:rsid w:val="00A74C4E"/>
    <w:rsid w:val="00A74DEB"/>
    <w:rsid w:val="00A74F74"/>
    <w:rsid w:val="00A752D9"/>
    <w:rsid w:val="00A752F2"/>
    <w:rsid w:val="00A75471"/>
    <w:rsid w:val="00A75483"/>
    <w:rsid w:val="00A75540"/>
    <w:rsid w:val="00A75881"/>
    <w:rsid w:val="00A75920"/>
    <w:rsid w:val="00A75A64"/>
    <w:rsid w:val="00A75AD6"/>
    <w:rsid w:val="00A75B19"/>
    <w:rsid w:val="00A75B34"/>
    <w:rsid w:val="00A75C17"/>
    <w:rsid w:val="00A75E3E"/>
    <w:rsid w:val="00A75F4D"/>
    <w:rsid w:val="00A7639C"/>
    <w:rsid w:val="00A76489"/>
    <w:rsid w:val="00A764C3"/>
    <w:rsid w:val="00A764DF"/>
    <w:rsid w:val="00A7679D"/>
    <w:rsid w:val="00A769E9"/>
    <w:rsid w:val="00A76A18"/>
    <w:rsid w:val="00A76B0F"/>
    <w:rsid w:val="00A76B95"/>
    <w:rsid w:val="00A76E65"/>
    <w:rsid w:val="00A76FB1"/>
    <w:rsid w:val="00A77158"/>
    <w:rsid w:val="00A7715A"/>
    <w:rsid w:val="00A7727B"/>
    <w:rsid w:val="00A772BC"/>
    <w:rsid w:val="00A77491"/>
    <w:rsid w:val="00A77508"/>
    <w:rsid w:val="00A7764F"/>
    <w:rsid w:val="00A776D6"/>
    <w:rsid w:val="00A778E5"/>
    <w:rsid w:val="00A77E41"/>
    <w:rsid w:val="00A77EC4"/>
    <w:rsid w:val="00A77ED9"/>
    <w:rsid w:val="00A7CC58"/>
    <w:rsid w:val="00A80147"/>
    <w:rsid w:val="00A80189"/>
    <w:rsid w:val="00A80660"/>
    <w:rsid w:val="00A80767"/>
    <w:rsid w:val="00A8076E"/>
    <w:rsid w:val="00A808E6"/>
    <w:rsid w:val="00A80A56"/>
    <w:rsid w:val="00A80DD0"/>
    <w:rsid w:val="00A80EB9"/>
    <w:rsid w:val="00A80F74"/>
    <w:rsid w:val="00A81008"/>
    <w:rsid w:val="00A81096"/>
    <w:rsid w:val="00A812BC"/>
    <w:rsid w:val="00A8158B"/>
    <w:rsid w:val="00A81630"/>
    <w:rsid w:val="00A816C6"/>
    <w:rsid w:val="00A81870"/>
    <w:rsid w:val="00A819E1"/>
    <w:rsid w:val="00A81CBF"/>
    <w:rsid w:val="00A81D6E"/>
    <w:rsid w:val="00A81DCA"/>
    <w:rsid w:val="00A81F86"/>
    <w:rsid w:val="00A81FBC"/>
    <w:rsid w:val="00A81FD4"/>
    <w:rsid w:val="00A82048"/>
    <w:rsid w:val="00A82296"/>
    <w:rsid w:val="00A822CA"/>
    <w:rsid w:val="00A822FC"/>
    <w:rsid w:val="00A82357"/>
    <w:rsid w:val="00A82365"/>
    <w:rsid w:val="00A823A0"/>
    <w:rsid w:val="00A82527"/>
    <w:rsid w:val="00A829AB"/>
    <w:rsid w:val="00A82BFD"/>
    <w:rsid w:val="00A82C15"/>
    <w:rsid w:val="00A82DED"/>
    <w:rsid w:val="00A82E62"/>
    <w:rsid w:val="00A82F46"/>
    <w:rsid w:val="00A831B0"/>
    <w:rsid w:val="00A831E1"/>
    <w:rsid w:val="00A8329C"/>
    <w:rsid w:val="00A83323"/>
    <w:rsid w:val="00A83364"/>
    <w:rsid w:val="00A833E8"/>
    <w:rsid w:val="00A834D3"/>
    <w:rsid w:val="00A8377B"/>
    <w:rsid w:val="00A8390A"/>
    <w:rsid w:val="00A83940"/>
    <w:rsid w:val="00A8396F"/>
    <w:rsid w:val="00A8399C"/>
    <w:rsid w:val="00A839C5"/>
    <w:rsid w:val="00A83A4A"/>
    <w:rsid w:val="00A83C07"/>
    <w:rsid w:val="00A83C26"/>
    <w:rsid w:val="00A83C92"/>
    <w:rsid w:val="00A83D38"/>
    <w:rsid w:val="00A83E3E"/>
    <w:rsid w:val="00A83EFB"/>
    <w:rsid w:val="00A83F2B"/>
    <w:rsid w:val="00A83FFB"/>
    <w:rsid w:val="00A84100"/>
    <w:rsid w:val="00A8424D"/>
    <w:rsid w:val="00A84308"/>
    <w:rsid w:val="00A8437C"/>
    <w:rsid w:val="00A84382"/>
    <w:rsid w:val="00A844BE"/>
    <w:rsid w:val="00A845E3"/>
    <w:rsid w:val="00A8465B"/>
    <w:rsid w:val="00A84795"/>
    <w:rsid w:val="00A847C0"/>
    <w:rsid w:val="00A849B6"/>
    <w:rsid w:val="00A84B1D"/>
    <w:rsid w:val="00A84CE3"/>
    <w:rsid w:val="00A84EB8"/>
    <w:rsid w:val="00A84F04"/>
    <w:rsid w:val="00A84FA7"/>
    <w:rsid w:val="00A84FF5"/>
    <w:rsid w:val="00A8520E"/>
    <w:rsid w:val="00A85221"/>
    <w:rsid w:val="00A85374"/>
    <w:rsid w:val="00A853CA"/>
    <w:rsid w:val="00A853F7"/>
    <w:rsid w:val="00A855DA"/>
    <w:rsid w:val="00A85627"/>
    <w:rsid w:val="00A8577F"/>
    <w:rsid w:val="00A85793"/>
    <w:rsid w:val="00A8582E"/>
    <w:rsid w:val="00A85961"/>
    <w:rsid w:val="00A85B1D"/>
    <w:rsid w:val="00A85B55"/>
    <w:rsid w:val="00A85B7F"/>
    <w:rsid w:val="00A85C01"/>
    <w:rsid w:val="00A85C49"/>
    <w:rsid w:val="00A85C64"/>
    <w:rsid w:val="00A85F33"/>
    <w:rsid w:val="00A85FD2"/>
    <w:rsid w:val="00A8618A"/>
    <w:rsid w:val="00A8622D"/>
    <w:rsid w:val="00A86397"/>
    <w:rsid w:val="00A86465"/>
    <w:rsid w:val="00A86531"/>
    <w:rsid w:val="00A865B6"/>
    <w:rsid w:val="00A8663E"/>
    <w:rsid w:val="00A86A08"/>
    <w:rsid w:val="00A86B78"/>
    <w:rsid w:val="00A86BC2"/>
    <w:rsid w:val="00A86C23"/>
    <w:rsid w:val="00A86C77"/>
    <w:rsid w:val="00A86D51"/>
    <w:rsid w:val="00A86D9F"/>
    <w:rsid w:val="00A86DBC"/>
    <w:rsid w:val="00A86E69"/>
    <w:rsid w:val="00A86F4A"/>
    <w:rsid w:val="00A87004"/>
    <w:rsid w:val="00A87181"/>
    <w:rsid w:val="00A87349"/>
    <w:rsid w:val="00A873D0"/>
    <w:rsid w:val="00A8759F"/>
    <w:rsid w:val="00A875BB"/>
    <w:rsid w:val="00A87732"/>
    <w:rsid w:val="00A877A4"/>
    <w:rsid w:val="00A87923"/>
    <w:rsid w:val="00A87932"/>
    <w:rsid w:val="00A87DD8"/>
    <w:rsid w:val="00A87FCF"/>
    <w:rsid w:val="00A8B6D9"/>
    <w:rsid w:val="00A900B8"/>
    <w:rsid w:val="00A9014C"/>
    <w:rsid w:val="00A901C5"/>
    <w:rsid w:val="00A90314"/>
    <w:rsid w:val="00A903C7"/>
    <w:rsid w:val="00A90403"/>
    <w:rsid w:val="00A904C5"/>
    <w:rsid w:val="00A904D3"/>
    <w:rsid w:val="00A905BE"/>
    <w:rsid w:val="00A90D8F"/>
    <w:rsid w:val="00A90E65"/>
    <w:rsid w:val="00A90F7E"/>
    <w:rsid w:val="00A90F85"/>
    <w:rsid w:val="00A9111A"/>
    <w:rsid w:val="00A9113D"/>
    <w:rsid w:val="00A911D6"/>
    <w:rsid w:val="00A91322"/>
    <w:rsid w:val="00A913D9"/>
    <w:rsid w:val="00A9147A"/>
    <w:rsid w:val="00A914D3"/>
    <w:rsid w:val="00A915CE"/>
    <w:rsid w:val="00A9176F"/>
    <w:rsid w:val="00A918D9"/>
    <w:rsid w:val="00A91910"/>
    <w:rsid w:val="00A91B31"/>
    <w:rsid w:val="00A91C32"/>
    <w:rsid w:val="00A91C44"/>
    <w:rsid w:val="00A91E5B"/>
    <w:rsid w:val="00A91E63"/>
    <w:rsid w:val="00A9229A"/>
    <w:rsid w:val="00A924AE"/>
    <w:rsid w:val="00A9257B"/>
    <w:rsid w:val="00A92694"/>
    <w:rsid w:val="00A927C5"/>
    <w:rsid w:val="00A92806"/>
    <w:rsid w:val="00A9282D"/>
    <w:rsid w:val="00A928C1"/>
    <w:rsid w:val="00A9294E"/>
    <w:rsid w:val="00A92A47"/>
    <w:rsid w:val="00A92A4B"/>
    <w:rsid w:val="00A92B07"/>
    <w:rsid w:val="00A92BB7"/>
    <w:rsid w:val="00A92CC6"/>
    <w:rsid w:val="00A92E36"/>
    <w:rsid w:val="00A92E58"/>
    <w:rsid w:val="00A9324E"/>
    <w:rsid w:val="00A9343E"/>
    <w:rsid w:val="00A93525"/>
    <w:rsid w:val="00A937BE"/>
    <w:rsid w:val="00A937FF"/>
    <w:rsid w:val="00A938EE"/>
    <w:rsid w:val="00A93AC3"/>
    <w:rsid w:val="00A93B45"/>
    <w:rsid w:val="00A93B84"/>
    <w:rsid w:val="00A93D06"/>
    <w:rsid w:val="00A93D0C"/>
    <w:rsid w:val="00A93DD1"/>
    <w:rsid w:val="00A93F41"/>
    <w:rsid w:val="00A94088"/>
    <w:rsid w:val="00A94234"/>
    <w:rsid w:val="00A942D2"/>
    <w:rsid w:val="00A9436E"/>
    <w:rsid w:val="00A9448F"/>
    <w:rsid w:val="00A94548"/>
    <w:rsid w:val="00A945A8"/>
    <w:rsid w:val="00A94689"/>
    <w:rsid w:val="00A946EA"/>
    <w:rsid w:val="00A9481B"/>
    <w:rsid w:val="00A948AC"/>
    <w:rsid w:val="00A948F3"/>
    <w:rsid w:val="00A94A09"/>
    <w:rsid w:val="00A94C85"/>
    <w:rsid w:val="00A94D71"/>
    <w:rsid w:val="00A94E32"/>
    <w:rsid w:val="00A94E87"/>
    <w:rsid w:val="00A94EE2"/>
    <w:rsid w:val="00A951AD"/>
    <w:rsid w:val="00A95832"/>
    <w:rsid w:val="00A95895"/>
    <w:rsid w:val="00A95AB6"/>
    <w:rsid w:val="00A95B2E"/>
    <w:rsid w:val="00A95B65"/>
    <w:rsid w:val="00A95CA0"/>
    <w:rsid w:val="00A95F8F"/>
    <w:rsid w:val="00A9602C"/>
    <w:rsid w:val="00A960FC"/>
    <w:rsid w:val="00A9614A"/>
    <w:rsid w:val="00A96268"/>
    <w:rsid w:val="00A96524"/>
    <w:rsid w:val="00A965E4"/>
    <w:rsid w:val="00A9664A"/>
    <w:rsid w:val="00A96753"/>
    <w:rsid w:val="00A96944"/>
    <w:rsid w:val="00A96A84"/>
    <w:rsid w:val="00A96BB4"/>
    <w:rsid w:val="00A96C7F"/>
    <w:rsid w:val="00A96DD0"/>
    <w:rsid w:val="00A96E0D"/>
    <w:rsid w:val="00A96E87"/>
    <w:rsid w:val="00A96FB5"/>
    <w:rsid w:val="00A96FCA"/>
    <w:rsid w:val="00A9706E"/>
    <w:rsid w:val="00A97242"/>
    <w:rsid w:val="00A97326"/>
    <w:rsid w:val="00A97344"/>
    <w:rsid w:val="00A973AB"/>
    <w:rsid w:val="00A97433"/>
    <w:rsid w:val="00A97585"/>
    <w:rsid w:val="00A975AD"/>
    <w:rsid w:val="00A97699"/>
    <w:rsid w:val="00A9788C"/>
    <w:rsid w:val="00A979CE"/>
    <w:rsid w:val="00A97ACB"/>
    <w:rsid w:val="00A97BCE"/>
    <w:rsid w:val="00A97C82"/>
    <w:rsid w:val="00A97DB6"/>
    <w:rsid w:val="00A97F80"/>
    <w:rsid w:val="00AA001C"/>
    <w:rsid w:val="00AA00BD"/>
    <w:rsid w:val="00AA00C5"/>
    <w:rsid w:val="00AA0161"/>
    <w:rsid w:val="00AA024C"/>
    <w:rsid w:val="00AA02D9"/>
    <w:rsid w:val="00AA0340"/>
    <w:rsid w:val="00AA0471"/>
    <w:rsid w:val="00AA0B5B"/>
    <w:rsid w:val="00AA0CC1"/>
    <w:rsid w:val="00AA0E7C"/>
    <w:rsid w:val="00AA0F71"/>
    <w:rsid w:val="00AA112B"/>
    <w:rsid w:val="00AA1145"/>
    <w:rsid w:val="00AA1298"/>
    <w:rsid w:val="00AA12F1"/>
    <w:rsid w:val="00AA153F"/>
    <w:rsid w:val="00AA166B"/>
    <w:rsid w:val="00AA170A"/>
    <w:rsid w:val="00AA1762"/>
    <w:rsid w:val="00AA1767"/>
    <w:rsid w:val="00AA18EE"/>
    <w:rsid w:val="00AA1A82"/>
    <w:rsid w:val="00AA1AB6"/>
    <w:rsid w:val="00AA1AF5"/>
    <w:rsid w:val="00AA2071"/>
    <w:rsid w:val="00AA2137"/>
    <w:rsid w:val="00AA22B9"/>
    <w:rsid w:val="00AA23F3"/>
    <w:rsid w:val="00AA248A"/>
    <w:rsid w:val="00AA24EC"/>
    <w:rsid w:val="00AA24F7"/>
    <w:rsid w:val="00AA2603"/>
    <w:rsid w:val="00AA261A"/>
    <w:rsid w:val="00AA278B"/>
    <w:rsid w:val="00AA28A5"/>
    <w:rsid w:val="00AA28C9"/>
    <w:rsid w:val="00AA294D"/>
    <w:rsid w:val="00AA2A2F"/>
    <w:rsid w:val="00AA2B0C"/>
    <w:rsid w:val="00AA2B2B"/>
    <w:rsid w:val="00AA2DD1"/>
    <w:rsid w:val="00AA30E5"/>
    <w:rsid w:val="00AA30E7"/>
    <w:rsid w:val="00AA32B4"/>
    <w:rsid w:val="00AA351A"/>
    <w:rsid w:val="00AA356B"/>
    <w:rsid w:val="00AA3621"/>
    <w:rsid w:val="00AA37E5"/>
    <w:rsid w:val="00AA3839"/>
    <w:rsid w:val="00AA3848"/>
    <w:rsid w:val="00AA38DB"/>
    <w:rsid w:val="00AA38FD"/>
    <w:rsid w:val="00AA39A8"/>
    <w:rsid w:val="00AA3A2C"/>
    <w:rsid w:val="00AA3BF5"/>
    <w:rsid w:val="00AA3D1A"/>
    <w:rsid w:val="00AA3D65"/>
    <w:rsid w:val="00AA3E7C"/>
    <w:rsid w:val="00AA3F69"/>
    <w:rsid w:val="00AA410C"/>
    <w:rsid w:val="00AA41A7"/>
    <w:rsid w:val="00AA4211"/>
    <w:rsid w:val="00AA458C"/>
    <w:rsid w:val="00AA46F0"/>
    <w:rsid w:val="00AA47A7"/>
    <w:rsid w:val="00AA47E5"/>
    <w:rsid w:val="00AA4887"/>
    <w:rsid w:val="00AA4991"/>
    <w:rsid w:val="00AA4A3B"/>
    <w:rsid w:val="00AA4C48"/>
    <w:rsid w:val="00AA4F70"/>
    <w:rsid w:val="00AA4FF7"/>
    <w:rsid w:val="00AA5888"/>
    <w:rsid w:val="00AA5946"/>
    <w:rsid w:val="00AA5D69"/>
    <w:rsid w:val="00AA5E69"/>
    <w:rsid w:val="00AA5EA6"/>
    <w:rsid w:val="00AA608E"/>
    <w:rsid w:val="00AA60FF"/>
    <w:rsid w:val="00AA619F"/>
    <w:rsid w:val="00AA64C8"/>
    <w:rsid w:val="00AA65A6"/>
    <w:rsid w:val="00AA6657"/>
    <w:rsid w:val="00AA6908"/>
    <w:rsid w:val="00AA6A01"/>
    <w:rsid w:val="00AA6BE5"/>
    <w:rsid w:val="00AA6C58"/>
    <w:rsid w:val="00AA6C9D"/>
    <w:rsid w:val="00AA6E89"/>
    <w:rsid w:val="00AA6F30"/>
    <w:rsid w:val="00AA709A"/>
    <w:rsid w:val="00AA70F1"/>
    <w:rsid w:val="00AA71A6"/>
    <w:rsid w:val="00AA71C0"/>
    <w:rsid w:val="00AA7421"/>
    <w:rsid w:val="00AA744D"/>
    <w:rsid w:val="00AA7588"/>
    <w:rsid w:val="00AA76F6"/>
    <w:rsid w:val="00AA7722"/>
    <w:rsid w:val="00AA7727"/>
    <w:rsid w:val="00AA78AF"/>
    <w:rsid w:val="00AA79DD"/>
    <w:rsid w:val="00AA7A20"/>
    <w:rsid w:val="00AA7B08"/>
    <w:rsid w:val="00AA7C95"/>
    <w:rsid w:val="00AA7D96"/>
    <w:rsid w:val="00AA7D97"/>
    <w:rsid w:val="00AA7EEF"/>
    <w:rsid w:val="00AA7FF8"/>
    <w:rsid w:val="00AB00F5"/>
    <w:rsid w:val="00AB01EE"/>
    <w:rsid w:val="00AB02A2"/>
    <w:rsid w:val="00AB048C"/>
    <w:rsid w:val="00AB0774"/>
    <w:rsid w:val="00AB093F"/>
    <w:rsid w:val="00AB0957"/>
    <w:rsid w:val="00AB0AEE"/>
    <w:rsid w:val="00AB0C0F"/>
    <w:rsid w:val="00AB0C3E"/>
    <w:rsid w:val="00AB0CA0"/>
    <w:rsid w:val="00AB0DA5"/>
    <w:rsid w:val="00AB0DAF"/>
    <w:rsid w:val="00AB0DB3"/>
    <w:rsid w:val="00AB0DBD"/>
    <w:rsid w:val="00AB0E50"/>
    <w:rsid w:val="00AB0EA8"/>
    <w:rsid w:val="00AB10B2"/>
    <w:rsid w:val="00AB10C9"/>
    <w:rsid w:val="00AB12A2"/>
    <w:rsid w:val="00AB1463"/>
    <w:rsid w:val="00AB1678"/>
    <w:rsid w:val="00AB18AC"/>
    <w:rsid w:val="00AB1A43"/>
    <w:rsid w:val="00AB1AB8"/>
    <w:rsid w:val="00AB1B14"/>
    <w:rsid w:val="00AB1DEB"/>
    <w:rsid w:val="00AB1E29"/>
    <w:rsid w:val="00AB1F65"/>
    <w:rsid w:val="00AB1FD3"/>
    <w:rsid w:val="00AB20A4"/>
    <w:rsid w:val="00AB214E"/>
    <w:rsid w:val="00AB2175"/>
    <w:rsid w:val="00AB21D2"/>
    <w:rsid w:val="00AB2235"/>
    <w:rsid w:val="00AB23E1"/>
    <w:rsid w:val="00AB2498"/>
    <w:rsid w:val="00AB2942"/>
    <w:rsid w:val="00AB29B1"/>
    <w:rsid w:val="00AB2A47"/>
    <w:rsid w:val="00AB2AD7"/>
    <w:rsid w:val="00AB2D38"/>
    <w:rsid w:val="00AB2D84"/>
    <w:rsid w:val="00AB2E6E"/>
    <w:rsid w:val="00AB2F13"/>
    <w:rsid w:val="00AB2F4B"/>
    <w:rsid w:val="00AB2F7E"/>
    <w:rsid w:val="00AB2FBE"/>
    <w:rsid w:val="00AB328C"/>
    <w:rsid w:val="00AB33C5"/>
    <w:rsid w:val="00AB36B7"/>
    <w:rsid w:val="00AB37AA"/>
    <w:rsid w:val="00AB39C6"/>
    <w:rsid w:val="00AB3A95"/>
    <w:rsid w:val="00AB3BE4"/>
    <w:rsid w:val="00AB3C3C"/>
    <w:rsid w:val="00AB3CB7"/>
    <w:rsid w:val="00AB3E28"/>
    <w:rsid w:val="00AB4483"/>
    <w:rsid w:val="00AB46EB"/>
    <w:rsid w:val="00AB4744"/>
    <w:rsid w:val="00AB4774"/>
    <w:rsid w:val="00AB4856"/>
    <w:rsid w:val="00AB49A3"/>
    <w:rsid w:val="00AB4A53"/>
    <w:rsid w:val="00AB4ACF"/>
    <w:rsid w:val="00AB4AF3"/>
    <w:rsid w:val="00AB4DC6"/>
    <w:rsid w:val="00AB4E71"/>
    <w:rsid w:val="00AB4F9C"/>
    <w:rsid w:val="00AB4FD3"/>
    <w:rsid w:val="00AB4FDE"/>
    <w:rsid w:val="00AB50E5"/>
    <w:rsid w:val="00AB5140"/>
    <w:rsid w:val="00AB5194"/>
    <w:rsid w:val="00AB51DE"/>
    <w:rsid w:val="00AB524A"/>
    <w:rsid w:val="00AB52AE"/>
    <w:rsid w:val="00AB5303"/>
    <w:rsid w:val="00AB53D6"/>
    <w:rsid w:val="00AB56EE"/>
    <w:rsid w:val="00AB5708"/>
    <w:rsid w:val="00AB5713"/>
    <w:rsid w:val="00AB57A0"/>
    <w:rsid w:val="00AB57BA"/>
    <w:rsid w:val="00AB5A28"/>
    <w:rsid w:val="00AB5BB2"/>
    <w:rsid w:val="00AB5BE1"/>
    <w:rsid w:val="00AB5D3D"/>
    <w:rsid w:val="00AB5D5F"/>
    <w:rsid w:val="00AB5E03"/>
    <w:rsid w:val="00AB5E7C"/>
    <w:rsid w:val="00AB5EBB"/>
    <w:rsid w:val="00AB5FF6"/>
    <w:rsid w:val="00AB6049"/>
    <w:rsid w:val="00AB6268"/>
    <w:rsid w:val="00AB6355"/>
    <w:rsid w:val="00AB6449"/>
    <w:rsid w:val="00AB649E"/>
    <w:rsid w:val="00AB659B"/>
    <w:rsid w:val="00AB6652"/>
    <w:rsid w:val="00AB6952"/>
    <w:rsid w:val="00AB6C44"/>
    <w:rsid w:val="00AB6F8C"/>
    <w:rsid w:val="00AB7255"/>
    <w:rsid w:val="00AB72A9"/>
    <w:rsid w:val="00AB72F7"/>
    <w:rsid w:val="00AB72FD"/>
    <w:rsid w:val="00AB74A3"/>
    <w:rsid w:val="00AB74B1"/>
    <w:rsid w:val="00AB75DE"/>
    <w:rsid w:val="00AB76DA"/>
    <w:rsid w:val="00AB7728"/>
    <w:rsid w:val="00AB7751"/>
    <w:rsid w:val="00AB7769"/>
    <w:rsid w:val="00AB7978"/>
    <w:rsid w:val="00AB7A0D"/>
    <w:rsid w:val="00AB7BFA"/>
    <w:rsid w:val="00AB7C67"/>
    <w:rsid w:val="00AB7D4E"/>
    <w:rsid w:val="00AB7F9E"/>
    <w:rsid w:val="00AB7FEE"/>
    <w:rsid w:val="00AC0460"/>
    <w:rsid w:val="00AC0481"/>
    <w:rsid w:val="00AC071B"/>
    <w:rsid w:val="00AC0956"/>
    <w:rsid w:val="00AC095A"/>
    <w:rsid w:val="00AC0D99"/>
    <w:rsid w:val="00AC140A"/>
    <w:rsid w:val="00AC1438"/>
    <w:rsid w:val="00AC1625"/>
    <w:rsid w:val="00AC163E"/>
    <w:rsid w:val="00AC1766"/>
    <w:rsid w:val="00AC1828"/>
    <w:rsid w:val="00AC1872"/>
    <w:rsid w:val="00AC188A"/>
    <w:rsid w:val="00AC191E"/>
    <w:rsid w:val="00AC1A6B"/>
    <w:rsid w:val="00AC1D24"/>
    <w:rsid w:val="00AC20AD"/>
    <w:rsid w:val="00AC2238"/>
    <w:rsid w:val="00AC224E"/>
    <w:rsid w:val="00AC2366"/>
    <w:rsid w:val="00AC2A19"/>
    <w:rsid w:val="00AC2A51"/>
    <w:rsid w:val="00AC2B40"/>
    <w:rsid w:val="00AC2B64"/>
    <w:rsid w:val="00AC2E58"/>
    <w:rsid w:val="00AC2F1B"/>
    <w:rsid w:val="00AC2F7A"/>
    <w:rsid w:val="00AC3194"/>
    <w:rsid w:val="00AC324F"/>
    <w:rsid w:val="00AC32BC"/>
    <w:rsid w:val="00AC3352"/>
    <w:rsid w:val="00AC350A"/>
    <w:rsid w:val="00AC3885"/>
    <w:rsid w:val="00AC38D2"/>
    <w:rsid w:val="00AC3954"/>
    <w:rsid w:val="00AC3A9E"/>
    <w:rsid w:val="00AC3D8E"/>
    <w:rsid w:val="00AC3F35"/>
    <w:rsid w:val="00AC414A"/>
    <w:rsid w:val="00AC416F"/>
    <w:rsid w:val="00AC42E1"/>
    <w:rsid w:val="00AC4310"/>
    <w:rsid w:val="00AC4330"/>
    <w:rsid w:val="00AC43D0"/>
    <w:rsid w:val="00AC447C"/>
    <w:rsid w:val="00AC459E"/>
    <w:rsid w:val="00AC45CD"/>
    <w:rsid w:val="00AC4830"/>
    <w:rsid w:val="00AC4888"/>
    <w:rsid w:val="00AC4943"/>
    <w:rsid w:val="00AC4CF0"/>
    <w:rsid w:val="00AC4D2D"/>
    <w:rsid w:val="00AC4DBE"/>
    <w:rsid w:val="00AC4E4A"/>
    <w:rsid w:val="00AC52C3"/>
    <w:rsid w:val="00AC55EC"/>
    <w:rsid w:val="00AC56AF"/>
    <w:rsid w:val="00AC5796"/>
    <w:rsid w:val="00AC58E0"/>
    <w:rsid w:val="00AC5954"/>
    <w:rsid w:val="00AC5A42"/>
    <w:rsid w:val="00AC5CE5"/>
    <w:rsid w:val="00AC5F07"/>
    <w:rsid w:val="00AC6114"/>
    <w:rsid w:val="00AC6138"/>
    <w:rsid w:val="00AC6394"/>
    <w:rsid w:val="00AC649F"/>
    <w:rsid w:val="00AC67A7"/>
    <w:rsid w:val="00AC68D6"/>
    <w:rsid w:val="00AC69F8"/>
    <w:rsid w:val="00AC6A37"/>
    <w:rsid w:val="00AC6FEB"/>
    <w:rsid w:val="00AC7057"/>
    <w:rsid w:val="00AC7110"/>
    <w:rsid w:val="00AC7248"/>
    <w:rsid w:val="00AC72DF"/>
    <w:rsid w:val="00AC7375"/>
    <w:rsid w:val="00AC73E5"/>
    <w:rsid w:val="00AC7542"/>
    <w:rsid w:val="00AC75A4"/>
    <w:rsid w:val="00AC7741"/>
    <w:rsid w:val="00AC77EC"/>
    <w:rsid w:val="00AC7D45"/>
    <w:rsid w:val="00AC7D7C"/>
    <w:rsid w:val="00AC7DCE"/>
    <w:rsid w:val="00AC7EC1"/>
    <w:rsid w:val="00AD0087"/>
    <w:rsid w:val="00AD028D"/>
    <w:rsid w:val="00AD034D"/>
    <w:rsid w:val="00AD03A8"/>
    <w:rsid w:val="00AD0553"/>
    <w:rsid w:val="00AD0577"/>
    <w:rsid w:val="00AD0832"/>
    <w:rsid w:val="00AD0922"/>
    <w:rsid w:val="00AD0A50"/>
    <w:rsid w:val="00AD0B32"/>
    <w:rsid w:val="00AD0C90"/>
    <w:rsid w:val="00AD0CD0"/>
    <w:rsid w:val="00AD0EA9"/>
    <w:rsid w:val="00AD0EE6"/>
    <w:rsid w:val="00AD0EF1"/>
    <w:rsid w:val="00AD1028"/>
    <w:rsid w:val="00AD1133"/>
    <w:rsid w:val="00AD1148"/>
    <w:rsid w:val="00AD1446"/>
    <w:rsid w:val="00AD14A5"/>
    <w:rsid w:val="00AD14CC"/>
    <w:rsid w:val="00AD1722"/>
    <w:rsid w:val="00AD1761"/>
    <w:rsid w:val="00AD185B"/>
    <w:rsid w:val="00AD1A16"/>
    <w:rsid w:val="00AD1B3A"/>
    <w:rsid w:val="00AD1B5F"/>
    <w:rsid w:val="00AD1B7F"/>
    <w:rsid w:val="00AD1B81"/>
    <w:rsid w:val="00AD1CE0"/>
    <w:rsid w:val="00AD1EFF"/>
    <w:rsid w:val="00AD2024"/>
    <w:rsid w:val="00AD20C8"/>
    <w:rsid w:val="00AD20F5"/>
    <w:rsid w:val="00AD2139"/>
    <w:rsid w:val="00AD2240"/>
    <w:rsid w:val="00AD231B"/>
    <w:rsid w:val="00AD2336"/>
    <w:rsid w:val="00AD23FC"/>
    <w:rsid w:val="00AD26E5"/>
    <w:rsid w:val="00AD278A"/>
    <w:rsid w:val="00AD2924"/>
    <w:rsid w:val="00AD29AF"/>
    <w:rsid w:val="00AD2D75"/>
    <w:rsid w:val="00AD2D8B"/>
    <w:rsid w:val="00AD2F94"/>
    <w:rsid w:val="00AD30BC"/>
    <w:rsid w:val="00AD31A8"/>
    <w:rsid w:val="00AD32A7"/>
    <w:rsid w:val="00AD33E1"/>
    <w:rsid w:val="00AD340F"/>
    <w:rsid w:val="00AD3433"/>
    <w:rsid w:val="00AD34B9"/>
    <w:rsid w:val="00AD352F"/>
    <w:rsid w:val="00AD3673"/>
    <w:rsid w:val="00AD374A"/>
    <w:rsid w:val="00AD375B"/>
    <w:rsid w:val="00AD3818"/>
    <w:rsid w:val="00AD3826"/>
    <w:rsid w:val="00AD384A"/>
    <w:rsid w:val="00AD395A"/>
    <w:rsid w:val="00AD39CC"/>
    <w:rsid w:val="00AD3A95"/>
    <w:rsid w:val="00AD3B2C"/>
    <w:rsid w:val="00AD3C39"/>
    <w:rsid w:val="00AD3CC3"/>
    <w:rsid w:val="00AD3D53"/>
    <w:rsid w:val="00AD3DC6"/>
    <w:rsid w:val="00AD3F70"/>
    <w:rsid w:val="00AD3FDA"/>
    <w:rsid w:val="00AD411E"/>
    <w:rsid w:val="00AD4158"/>
    <w:rsid w:val="00AD422D"/>
    <w:rsid w:val="00AD4283"/>
    <w:rsid w:val="00AD429D"/>
    <w:rsid w:val="00AD4373"/>
    <w:rsid w:val="00AD4444"/>
    <w:rsid w:val="00AD4463"/>
    <w:rsid w:val="00AD449B"/>
    <w:rsid w:val="00AD4562"/>
    <w:rsid w:val="00AD46BD"/>
    <w:rsid w:val="00AD46C1"/>
    <w:rsid w:val="00AD4783"/>
    <w:rsid w:val="00AD4914"/>
    <w:rsid w:val="00AD49E2"/>
    <w:rsid w:val="00AD4A8F"/>
    <w:rsid w:val="00AD4AAA"/>
    <w:rsid w:val="00AD4C6D"/>
    <w:rsid w:val="00AD4D37"/>
    <w:rsid w:val="00AD4E56"/>
    <w:rsid w:val="00AD50A8"/>
    <w:rsid w:val="00AD5138"/>
    <w:rsid w:val="00AD51E4"/>
    <w:rsid w:val="00AD51FF"/>
    <w:rsid w:val="00AD525A"/>
    <w:rsid w:val="00AD531D"/>
    <w:rsid w:val="00AD5473"/>
    <w:rsid w:val="00AD55AF"/>
    <w:rsid w:val="00AD5734"/>
    <w:rsid w:val="00AD57B3"/>
    <w:rsid w:val="00AD58CC"/>
    <w:rsid w:val="00AD58E0"/>
    <w:rsid w:val="00AD5A4F"/>
    <w:rsid w:val="00AD5AEC"/>
    <w:rsid w:val="00AD5B95"/>
    <w:rsid w:val="00AD5C30"/>
    <w:rsid w:val="00AD5ECE"/>
    <w:rsid w:val="00AD5F18"/>
    <w:rsid w:val="00AD61E5"/>
    <w:rsid w:val="00AD62E8"/>
    <w:rsid w:val="00AD631F"/>
    <w:rsid w:val="00AD63B8"/>
    <w:rsid w:val="00AD64E0"/>
    <w:rsid w:val="00AD66AC"/>
    <w:rsid w:val="00AD67EF"/>
    <w:rsid w:val="00AD698C"/>
    <w:rsid w:val="00AD6995"/>
    <w:rsid w:val="00AD6A03"/>
    <w:rsid w:val="00AD6B7E"/>
    <w:rsid w:val="00AD6C77"/>
    <w:rsid w:val="00AD6CE8"/>
    <w:rsid w:val="00AD6D0B"/>
    <w:rsid w:val="00AD6D3C"/>
    <w:rsid w:val="00AD6DA0"/>
    <w:rsid w:val="00AD6E05"/>
    <w:rsid w:val="00AD6E6A"/>
    <w:rsid w:val="00AD6F11"/>
    <w:rsid w:val="00AD6F81"/>
    <w:rsid w:val="00AD6FA1"/>
    <w:rsid w:val="00AD7124"/>
    <w:rsid w:val="00AD7321"/>
    <w:rsid w:val="00AD744B"/>
    <w:rsid w:val="00AD7472"/>
    <w:rsid w:val="00AD74B3"/>
    <w:rsid w:val="00AD762E"/>
    <w:rsid w:val="00AD77BE"/>
    <w:rsid w:val="00AD798C"/>
    <w:rsid w:val="00AD7B01"/>
    <w:rsid w:val="00AD7BD4"/>
    <w:rsid w:val="00AE0225"/>
    <w:rsid w:val="00AE028B"/>
    <w:rsid w:val="00AE0785"/>
    <w:rsid w:val="00AE0B35"/>
    <w:rsid w:val="00AE0EB6"/>
    <w:rsid w:val="00AE0F90"/>
    <w:rsid w:val="00AE11B5"/>
    <w:rsid w:val="00AE11E0"/>
    <w:rsid w:val="00AE12A2"/>
    <w:rsid w:val="00AE12B2"/>
    <w:rsid w:val="00AE133F"/>
    <w:rsid w:val="00AE141C"/>
    <w:rsid w:val="00AE1624"/>
    <w:rsid w:val="00AE1728"/>
    <w:rsid w:val="00AE1891"/>
    <w:rsid w:val="00AE19A8"/>
    <w:rsid w:val="00AE1A60"/>
    <w:rsid w:val="00AE1A89"/>
    <w:rsid w:val="00AE1BC6"/>
    <w:rsid w:val="00AE1FA6"/>
    <w:rsid w:val="00AE1FF0"/>
    <w:rsid w:val="00AE2015"/>
    <w:rsid w:val="00AE20D7"/>
    <w:rsid w:val="00AE21FF"/>
    <w:rsid w:val="00AE2331"/>
    <w:rsid w:val="00AE23B6"/>
    <w:rsid w:val="00AE249A"/>
    <w:rsid w:val="00AE24D0"/>
    <w:rsid w:val="00AE26FC"/>
    <w:rsid w:val="00AE275C"/>
    <w:rsid w:val="00AE2B2B"/>
    <w:rsid w:val="00AE2CC8"/>
    <w:rsid w:val="00AE2CF0"/>
    <w:rsid w:val="00AE2F7F"/>
    <w:rsid w:val="00AE30B0"/>
    <w:rsid w:val="00AE3336"/>
    <w:rsid w:val="00AE3515"/>
    <w:rsid w:val="00AE36BD"/>
    <w:rsid w:val="00AE37A8"/>
    <w:rsid w:val="00AE3A19"/>
    <w:rsid w:val="00AE3E7F"/>
    <w:rsid w:val="00AE3E85"/>
    <w:rsid w:val="00AE3F44"/>
    <w:rsid w:val="00AE3F8C"/>
    <w:rsid w:val="00AE3FAE"/>
    <w:rsid w:val="00AE40B2"/>
    <w:rsid w:val="00AE418D"/>
    <w:rsid w:val="00AE41E5"/>
    <w:rsid w:val="00AE425F"/>
    <w:rsid w:val="00AE4274"/>
    <w:rsid w:val="00AE42DC"/>
    <w:rsid w:val="00AE42F3"/>
    <w:rsid w:val="00AE4307"/>
    <w:rsid w:val="00AE434A"/>
    <w:rsid w:val="00AE4663"/>
    <w:rsid w:val="00AE4665"/>
    <w:rsid w:val="00AE4A83"/>
    <w:rsid w:val="00AE4AB6"/>
    <w:rsid w:val="00AE4ABF"/>
    <w:rsid w:val="00AE4B35"/>
    <w:rsid w:val="00AE4B99"/>
    <w:rsid w:val="00AE4CF7"/>
    <w:rsid w:val="00AE50D6"/>
    <w:rsid w:val="00AE5271"/>
    <w:rsid w:val="00AE5280"/>
    <w:rsid w:val="00AE572C"/>
    <w:rsid w:val="00AE57AE"/>
    <w:rsid w:val="00AE58BF"/>
    <w:rsid w:val="00AE5926"/>
    <w:rsid w:val="00AE5A2C"/>
    <w:rsid w:val="00AE5A49"/>
    <w:rsid w:val="00AE5AC3"/>
    <w:rsid w:val="00AE5C00"/>
    <w:rsid w:val="00AE5E72"/>
    <w:rsid w:val="00AE5F63"/>
    <w:rsid w:val="00AE6215"/>
    <w:rsid w:val="00AE6219"/>
    <w:rsid w:val="00AE62F8"/>
    <w:rsid w:val="00AE63FB"/>
    <w:rsid w:val="00AE6412"/>
    <w:rsid w:val="00AE654A"/>
    <w:rsid w:val="00AE6616"/>
    <w:rsid w:val="00AE6643"/>
    <w:rsid w:val="00AE6846"/>
    <w:rsid w:val="00AE69EC"/>
    <w:rsid w:val="00AE6ADD"/>
    <w:rsid w:val="00AE6DC9"/>
    <w:rsid w:val="00AE6DED"/>
    <w:rsid w:val="00AE7069"/>
    <w:rsid w:val="00AE71B6"/>
    <w:rsid w:val="00AE71EE"/>
    <w:rsid w:val="00AE7252"/>
    <w:rsid w:val="00AE7370"/>
    <w:rsid w:val="00AE74D7"/>
    <w:rsid w:val="00AE7647"/>
    <w:rsid w:val="00AE7828"/>
    <w:rsid w:val="00AE7CA2"/>
    <w:rsid w:val="00AE7CD2"/>
    <w:rsid w:val="00AE7CEA"/>
    <w:rsid w:val="00AE7D33"/>
    <w:rsid w:val="00AE7DBE"/>
    <w:rsid w:val="00AE7E7B"/>
    <w:rsid w:val="00AE7F66"/>
    <w:rsid w:val="00AF01C7"/>
    <w:rsid w:val="00AF0379"/>
    <w:rsid w:val="00AF0475"/>
    <w:rsid w:val="00AF04D9"/>
    <w:rsid w:val="00AF04EA"/>
    <w:rsid w:val="00AF0506"/>
    <w:rsid w:val="00AF0548"/>
    <w:rsid w:val="00AF0646"/>
    <w:rsid w:val="00AF073A"/>
    <w:rsid w:val="00AF0808"/>
    <w:rsid w:val="00AF0950"/>
    <w:rsid w:val="00AF0967"/>
    <w:rsid w:val="00AF09BC"/>
    <w:rsid w:val="00AF0A26"/>
    <w:rsid w:val="00AF0DCC"/>
    <w:rsid w:val="00AF0DD7"/>
    <w:rsid w:val="00AF0E17"/>
    <w:rsid w:val="00AF0E60"/>
    <w:rsid w:val="00AF0F23"/>
    <w:rsid w:val="00AF100F"/>
    <w:rsid w:val="00AF1181"/>
    <w:rsid w:val="00AF11BE"/>
    <w:rsid w:val="00AF162A"/>
    <w:rsid w:val="00AF167C"/>
    <w:rsid w:val="00AF1788"/>
    <w:rsid w:val="00AF183F"/>
    <w:rsid w:val="00AF1968"/>
    <w:rsid w:val="00AF1A1E"/>
    <w:rsid w:val="00AF1BFE"/>
    <w:rsid w:val="00AF1C39"/>
    <w:rsid w:val="00AF1CFC"/>
    <w:rsid w:val="00AF1F18"/>
    <w:rsid w:val="00AF20B0"/>
    <w:rsid w:val="00AF213C"/>
    <w:rsid w:val="00AF21E9"/>
    <w:rsid w:val="00AF2289"/>
    <w:rsid w:val="00AF2433"/>
    <w:rsid w:val="00AF243A"/>
    <w:rsid w:val="00AF261A"/>
    <w:rsid w:val="00AF2665"/>
    <w:rsid w:val="00AF27C7"/>
    <w:rsid w:val="00AF2905"/>
    <w:rsid w:val="00AF2B7D"/>
    <w:rsid w:val="00AF2B93"/>
    <w:rsid w:val="00AF2CD9"/>
    <w:rsid w:val="00AF332F"/>
    <w:rsid w:val="00AF33E6"/>
    <w:rsid w:val="00AF3441"/>
    <w:rsid w:val="00AF3555"/>
    <w:rsid w:val="00AF3579"/>
    <w:rsid w:val="00AF3895"/>
    <w:rsid w:val="00AF396D"/>
    <w:rsid w:val="00AF39E3"/>
    <w:rsid w:val="00AF3A2A"/>
    <w:rsid w:val="00AF3A78"/>
    <w:rsid w:val="00AF3C32"/>
    <w:rsid w:val="00AF3C4D"/>
    <w:rsid w:val="00AF3C86"/>
    <w:rsid w:val="00AF3D34"/>
    <w:rsid w:val="00AF3F17"/>
    <w:rsid w:val="00AF424B"/>
    <w:rsid w:val="00AF4269"/>
    <w:rsid w:val="00AF4376"/>
    <w:rsid w:val="00AF43E8"/>
    <w:rsid w:val="00AF44D5"/>
    <w:rsid w:val="00AF4566"/>
    <w:rsid w:val="00AF4676"/>
    <w:rsid w:val="00AF481E"/>
    <w:rsid w:val="00AF48B0"/>
    <w:rsid w:val="00AF4C96"/>
    <w:rsid w:val="00AF4D40"/>
    <w:rsid w:val="00AF4D79"/>
    <w:rsid w:val="00AF4EC0"/>
    <w:rsid w:val="00AF4F1A"/>
    <w:rsid w:val="00AF5142"/>
    <w:rsid w:val="00AF5295"/>
    <w:rsid w:val="00AF52E6"/>
    <w:rsid w:val="00AF538E"/>
    <w:rsid w:val="00AF53F2"/>
    <w:rsid w:val="00AF55F9"/>
    <w:rsid w:val="00AF5601"/>
    <w:rsid w:val="00AF570B"/>
    <w:rsid w:val="00AF5785"/>
    <w:rsid w:val="00AF57C8"/>
    <w:rsid w:val="00AF58F6"/>
    <w:rsid w:val="00AF595C"/>
    <w:rsid w:val="00AF5A52"/>
    <w:rsid w:val="00AF5C11"/>
    <w:rsid w:val="00AF5D7D"/>
    <w:rsid w:val="00AF5D85"/>
    <w:rsid w:val="00AF5DF3"/>
    <w:rsid w:val="00AF61C1"/>
    <w:rsid w:val="00AF6236"/>
    <w:rsid w:val="00AF625E"/>
    <w:rsid w:val="00AF634E"/>
    <w:rsid w:val="00AF6356"/>
    <w:rsid w:val="00AF6370"/>
    <w:rsid w:val="00AF63EA"/>
    <w:rsid w:val="00AF656B"/>
    <w:rsid w:val="00AF65D3"/>
    <w:rsid w:val="00AF685A"/>
    <w:rsid w:val="00AF68F3"/>
    <w:rsid w:val="00AF6A11"/>
    <w:rsid w:val="00AF6A5C"/>
    <w:rsid w:val="00AF6B54"/>
    <w:rsid w:val="00AF6BBE"/>
    <w:rsid w:val="00AF6C9D"/>
    <w:rsid w:val="00AF6CA4"/>
    <w:rsid w:val="00AF6D5A"/>
    <w:rsid w:val="00AF6E73"/>
    <w:rsid w:val="00AF6FDB"/>
    <w:rsid w:val="00AF7007"/>
    <w:rsid w:val="00AF7010"/>
    <w:rsid w:val="00AF7049"/>
    <w:rsid w:val="00AF7297"/>
    <w:rsid w:val="00AF7330"/>
    <w:rsid w:val="00AF746C"/>
    <w:rsid w:val="00AF7500"/>
    <w:rsid w:val="00AF7578"/>
    <w:rsid w:val="00AF76FC"/>
    <w:rsid w:val="00AF777D"/>
    <w:rsid w:val="00AF77CA"/>
    <w:rsid w:val="00AF7AEB"/>
    <w:rsid w:val="00AF7C28"/>
    <w:rsid w:val="00AF7D56"/>
    <w:rsid w:val="00AF7E7C"/>
    <w:rsid w:val="00B000C6"/>
    <w:rsid w:val="00B00204"/>
    <w:rsid w:val="00B00270"/>
    <w:rsid w:val="00B00308"/>
    <w:rsid w:val="00B003AF"/>
    <w:rsid w:val="00B0049D"/>
    <w:rsid w:val="00B004E1"/>
    <w:rsid w:val="00B005BE"/>
    <w:rsid w:val="00B0070A"/>
    <w:rsid w:val="00B00777"/>
    <w:rsid w:val="00B00A20"/>
    <w:rsid w:val="00B00A81"/>
    <w:rsid w:val="00B00AF6"/>
    <w:rsid w:val="00B00B83"/>
    <w:rsid w:val="00B00C17"/>
    <w:rsid w:val="00B00D54"/>
    <w:rsid w:val="00B0110E"/>
    <w:rsid w:val="00B01224"/>
    <w:rsid w:val="00B01398"/>
    <w:rsid w:val="00B0151D"/>
    <w:rsid w:val="00B0167A"/>
    <w:rsid w:val="00B0177B"/>
    <w:rsid w:val="00B01AE9"/>
    <w:rsid w:val="00B01D06"/>
    <w:rsid w:val="00B01D3A"/>
    <w:rsid w:val="00B020D1"/>
    <w:rsid w:val="00B0218B"/>
    <w:rsid w:val="00B02194"/>
    <w:rsid w:val="00B0228A"/>
    <w:rsid w:val="00B0228D"/>
    <w:rsid w:val="00B023CE"/>
    <w:rsid w:val="00B0243B"/>
    <w:rsid w:val="00B027D0"/>
    <w:rsid w:val="00B027DD"/>
    <w:rsid w:val="00B02CAC"/>
    <w:rsid w:val="00B02EC9"/>
    <w:rsid w:val="00B0308F"/>
    <w:rsid w:val="00B03177"/>
    <w:rsid w:val="00B031B9"/>
    <w:rsid w:val="00B032F3"/>
    <w:rsid w:val="00B03414"/>
    <w:rsid w:val="00B03443"/>
    <w:rsid w:val="00B03676"/>
    <w:rsid w:val="00B037C3"/>
    <w:rsid w:val="00B039E3"/>
    <w:rsid w:val="00B03ADD"/>
    <w:rsid w:val="00B03AFD"/>
    <w:rsid w:val="00B03B36"/>
    <w:rsid w:val="00B03B3F"/>
    <w:rsid w:val="00B03B73"/>
    <w:rsid w:val="00B03B90"/>
    <w:rsid w:val="00B03BB0"/>
    <w:rsid w:val="00B03BBF"/>
    <w:rsid w:val="00B03C57"/>
    <w:rsid w:val="00B03E3D"/>
    <w:rsid w:val="00B03E9F"/>
    <w:rsid w:val="00B03F7D"/>
    <w:rsid w:val="00B04045"/>
    <w:rsid w:val="00B041CF"/>
    <w:rsid w:val="00B04239"/>
    <w:rsid w:val="00B043B0"/>
    <w:rsid w:val="00B04408"/>
    <w:rsid w:val="00B04476"/>
    <w:rsid w:val="00B047BC"/>
    <w:rsid w:val="00B0491B"/>
    <w:rsid w:val="00B04AD7"/>
    <w:rsid w:val="00B04B04"/>
    <w:rsid w:val="00B04CB6"/>
    <w:rsid w:val="00B05048"/>
    <w:rsid w:val="00B051B5"/>
    <w:rsid w:val="00B05233"/>
    <w:rsid w:val="00B052BC"/>
    <w:rsid w:val="00B05417"/>
    <w:rsid w:val="00B0542D"/>
    <w:rsid w:val="00B05601"/>
    <w:rsid w:val="00B05B19"/>
    <w:rsid w:val="00B05C07"/>
    <w:rsid w:val="00B05C98"/>
    <w:rsid w:val="00B05DD1"/>
    <w:rsid w:val="00B06010"/>
    <w:rsid w:val="00B06022"/>
    <w:rsid w:val="00B06116"/>
    <w:rsid w:val="00B06224"/>
    <w:rsid w:val="00B06359"/>
    <w:rsid w:val="00B06467"/>
    <w:rsid w:val="00B06613"/>
    <w:rsid w:val="00B06811"/>
    <w:rsid w:val="00B0695A"/>
    <w:rsid w:val="00B06D1B"/>
    <w:rsid w:val="00B06D9C"/>
    <w:rsid w:val="00B06E3C"/>
    <w:rsid w:val="00B06EB1"/>
    <w:rsid w:val="00B06ECA"/>
    <w:rsid w:val="00B0700B"/>
    <w:rsid w:val="00B070BC"/>
    <w:rsid w:val="00B07181"/>
    <w:rsid w:val="00B071A8"/>
    <w:rsid w:val="00B071C2"/>
    <w:rsid w:val="00B0726E"/>
    <w:rsid w:val="00B0732B"/>
    <w:rsid w:val="00B0752E"/>
    <w:rsid w:val="00B076D9"/>
    <w:rsid w:val="00B07799"/>
    <w:rsid w:val="00B0789D"/>
    <w:rsid w:val="00B078F1"/>
    <w:rsid w:val="00B078FB"/>
    <w:rsid w:val="00B079E1"/>
    <w:rsid w:val="00B07AA7"/>
    <w:rsid w:val="00B07B24"/>
    <w:rsid w:val="00B07B94"/>
    <w:rsid w:val="00B07C69"/>
    <w:rsid w:val="00B07D1A"/>
    <w:rsid w:val="00B0BDC5"/>
    <w:rsid w:val="00B1015D"/>
    <w:rsid w:val="00B1018A"/>
    <w:rsid w:val="00B10453"/>
    <w:rsid w:val="00B104CB"/>
    <w:rsid w:val="00B109C2"/>
    <w:rsid w:val="00B109FB"/>
    <w:rsid w:val="00B10A0E"/>
    <w:rsid w:val="00B10A76"/>
    <w:rsid w:val="00B10B7E"/>
    <w:rsid w:val="00B10D62"/>
    <w:rsid w:val="00B10FB9"/>
    <w:rsid w:val="00B11314"/>
    <w:rsid w:val="00B113A8"/>
    <w:rsid w:val="00B113EA"/>
    <w:rsid w:val="00B11421"/>
    <w:rsid w:val="00B114EC"/>
    <w:rsid w:val="00B115F0"/>
    <w:rsid w:val="00B11A7F"/>
    <w:rsid w:val="00B11B23"/>
    <w:rsid w:val="00B11C3C"/>
    <w:rsid w:val="00B11D2B"/>
    <w:rsid w:val="00B11D85"/>
    <w:rsid w:val="00B11DFE"/>
    <w:rsid w:val="00B11E0D"/>
    <w:rsid w:val="00B11EE1"/>
    <w:rsid w:val="00B11F03"/>
    <w:rsid w:val="00B11F72"/>
    <w:rsid w:val="00B11FE3"/>
    <w:rsid w:val="00B121C4"/>
    <w:rsid w:val="00B12277"/>
    <w:rsid w:val="00B125A1"/>
    <w:rsid w:val="00B12603"/>
    <w:rsid w:val="00B127F0"/>
    <w:rsid w:val="00B12970"/>
    <w:rsid w:val="00B12B40"/>
    <w:rsid w:val="00B12C02"/>
    <w:rsid w:val="00B12C38"/>
    <w:rsid w:val="00B12DF8"/>
    <w:rsid w:val="00B12E2C"/>
    <w:rsid w:val="00B13011"/>
    <w:rsid w:val="00B1307E"/>
    <w:rsid w:val="00B132B4"/>
    <w:rsid w:val="00B1336F"/>
    <w:rsid w:val="00B134E9"/>
    <w:rsid w:val="00B135C4"/>
    <w:rsid w:val="00B137DE"/>
    <w:rsid w:val="00B13910"/>
    <w:rsid w:val="00B13A1C"/>
    <w:rsid w:val="00B13A3F"/>
    <w:rsid w:val="00B13BD0"/>
    <w:rsid w:val="00B13C0F"/>
    <w:rsid w:val="00B13D26"/>
    <w:rsid w:val="00B13DA8"/>
    <w:rsid w:val="00B142C7"/>
    <w:rsid w:val="00B142CD"/>
    <w:rsid w:val="00B14454"/>
    <w:rsid w:val="00B14695"/>
    <w:rsid w:val="00B147D2"/>
    <w:rsid w:val="00B147DF"/>
    <w:rsid w:val="00B14ABF"/>
    <w:rsid w:val="00B14B6D"/>
    <w:rsid w:val="00B14C3A"/>
    <w:rsid w:val="00B14E23"/>
    <w:rsid w:val="00B1505B"/>
    <w:rsid w:val="00B1523A"/>
    <w:rsid w:val="00B15265"/>
    <w:rsid w:val="00B152BA"/>
    <w:rsid w:val="00B15370"/>
    <w:rsid w:val="00B15665"/>
    <w:rsid w:val="00B15684"/>
    <w:rsid w:val="00B157DB"/>
    <w:rsid w:val="00B15B91"/>
    <w:rsid w:val="00B15C3D"/>
    <w:rsid w:val="00B1602D"/>
    <w:rsid w:val="00B16083"/>
    <w:rsid w:val="00B160F1"/>
    <w:rsid w:val="00B162E5"/>
    <w:rsid w:val="00B16668"/>
    <w:rsid w:val="00B16928"/>
    <w:rsid w:val="00B1698B"/>
    <w:rsid w:val="00B169F8"/>
    <w:rsid w:val="00B16A09"/>
    <w:rsid w:val="00B16A8B"/>
    <w:rsid w:val="00B16CD5"/>
    <w:rsid w:val="00B170C6"/>
    <w:rsid w:val="00B17298"/>
    <w:rsid w:val="00B17397"/>
    <w:rsid w:val="00B1745B"/>
    <w:rsid w:val="00B1747F"/>
    <w:rsid w:val="00B175F3"/>
    <w:rsid w:val="00B1768D"/>
    <w:rsid w:val="00B1780D"/>
    <w:rsid w:val="00B17919"/>
    <w:rsid w:val="00B17922"/>
    <w:rsid w:val="00B179DC"/>
    <w:rsid w:val="00B17B8B"/>
    <w:rsid w:val="00B17BA2"/>
    <w:rsid w:val="00B17D19"/>
    <w:rsid w:val="00B17D65"/>
    <w:rsid w:val="00B17E49"/>
    <w:rsid w:val="00B20018"/>
    <w:rsid w:val="00B2025C"/>
    <w:rsid w:val="00B2027B"/>
    <w:rsid w:val="00B2028F"/>
    <w:rsid w:val="00B2034C"/>
    <w:rsid w:val="00B2036E"/>
    <w:rsid w:val="00B2043A"/>
    <w:rsid w:val="00B20563"/>
    <w:rsid w:val="00B20713"/>
    <w:rsid w:val="00B20942"/>
    <w:rsid w:val="00B20A05"/>
    <w:rsid w:val="00B20A37"/>
    <w:rsid w:val="00B20C7D"/>
    <w:rsid w:val="00B21131"/>
    <w:rsid w:val="00B213BF"/>
    <w:rsid w:val="00B21584"/>
    <w:rsid w:val="00B2162E"/>
    <w:rsid w:val="00B216CC"/>
    <w:rsid w:val="00B216D3"/>
    <w:rsid w:val="00B216E3"/>
    <w:rsid w:val="00B216EE"/>
    <w:rsid w:val="00B21703"/>
    <w:rsid w:val="00B21725"/>
    <w:rsid w:val="00B2182C"/>
    <w:rsid w:val="00B219D1"/>
    <w:rsid w:val="00B21B08"/>
    <w:rsid w:val="00B21B3D"/>
    <w:rsid w:val="00B21D2F"/>
    <w:rsid w:val="00B21D36"/>
    <w:rsid w:val="00B21D5D"/>
    <w:rsid w:val="00B21F57"/>
    <w:rsid w:val="00B220B1"/>
    <w:rsid w:val="00B2240A"/>
    <w:rsid w:val="00B225EA"/>
    <w:rsid w:val="00B2280B"/>
    <w:rsid w:val="00B22C86"/>
    <w:rsid w:val="00B22CCA"/>
    <w:rsid w:val="00B231F6"/>
    <w:rsid w:val="00B232AC"/>
    <w:rsid w:val="00B23314"/>
    <w:rsid w:val="00B2347E"/>
    <w:rsid w:val="00B23480"/>
    <w:rsid w:val="00B23642"/>
    <w:rsid w:val="00B236DA"/>
    <w:rsid w:val="00B23D56"/>
    <w:rsid w:val="00B23DC4"/>
    <w:rsid w:val="00B23FB8"/>
    <w:rsid w:val="00B23FCF"/>
    <w:rsid w:val="00B2407F"/>
    <w:rsid w:val="00B240A1"/>
    <w:rsid w:val="00B24301"/>
    <w:rsid w:val="00B24342"/>
    <w:rsid w:val="00B243BE"/>
    <w:rsid w:val="00B243FD"/>
    <w:rsid w:val="00B24415"/>
    <w:rsid w:val="00B24769"/>
    <w:rsid w:val="00B24A10"/>
    <w:rsid w:val="00B24A44"/>
    <w:rsid w:val="00B24BC2"/>
    <w:rsid w:val="00B24C38"/>
    <w:rsid w:val="00B24CEB"/>
    <w:rsid w:val="00B24D4F"/>
    <w:rsid w:val="00B24D5F"/>
    <w:rsid w:val="00B24D83"/>
    <w:rsid w:val="00B24D84"/>
    <w:rsid w:val="00B24DCD"/>
    <w:rsid w:val="00B24E3C"/>
    <w:rsid w:val="00B24E4C"/>
    <w:rsid w:val="00B24F70"/>
    <w:rsid w:val="00B24FC6"/>
    <w:rsid w:val="00B2509E"/>
    <w:rsid w:val="00B251E6"/>
    <w:rsid w:val="00B25442"/>
    <w:rsid w:val="00B2546D"/>
    <w:rsid w:val="00B2570B"/>
    <w:rsid w:val="00B25711"/>
    <w:rsid w:val="00B257EB"/>
    <w:rsid w:val="00B25977"/>
    <w:rsid w:val="00B25C89"/>
    <w:rsid w:val="00B25E50"/>
    <w:rsid w:val="00B25F2D"/>
    <w:rsid w:val="00B26280"/>
    <w:rsid w:val="00B262E3"/>
    <w:rsid w:val="00B2636B"/>
    <w:rsid w:val="00B26410"/>
    <w:rsid w:val="00B26675"/>
    <w:rsid w:val="00B26697"/>
    <w:rsid w:val="00B26749"/>
    <w:rsid w:val="00B26810"/>
    <w:rsid w:val="00B26912"/>
    <w:rsid w:val="00B26924"/>
    <w:rsid w:val="00B2697E"/>
    <w:rsid w:val="00B269DA"/>
    <w:rsid w:val="00B26CF2"/>
    <w:rsid w:val="00B26D99"/>
    <w:rsid w:val="00B26F20"/>
    <w:rsid w:val="00B27111"/>
    <w:rsid w:val="00B272EB"/>
    <w:rsid w:val="00B27317"/>
    <w:rsid w:val="00B27348"/>
    <w:rsid w:val="00B27457"/>
    <w:rsid w:val="00B2750A"/>
    <w:rsid w:val="00B27545"/>
    <w:rsid w:val="00B277D2"/>
    <w:rsid w:val="00B27CF6"/>
    <w:rsid w:val="00B27D15"/>
    <w:rsid w:val="00B27D1E"/>
    <w:rsid w:val="00B27E3C"/>
    <w:rsid w:val="00B27FAE"/>
    <w:rsid w:val="00B301EC"/>
    <w:rsid w:val="00B3055B"/>
    <w:rsid w:val="00B306D7"/>
    <w:rsid w:val="00B306EB"/>
    <w:rsid w:val="00B3077C"/>
    <w:rsid w:val="00B307A6"/>
    <w:rsid w:val="00B30876"/>
    <w:rsid w:val="00B30DE6"/>
    <w:rsid w:val="00B30F2A"/>
    <w:rsid w:val="00B31149"/>
    <w:rsid w:val="00B3129F"/>
    <w:rsid w:val="00B312D7"/>
    <w:rsid w:val="00B3152C"/>
    <w:rsid w:val="00B31544"/>
    <w:rsid w:val="00B31573"/>
    <w:rsid w:val="00B31738"/>
    <w:rsid w:val="00B31A24"/>
    <w:rsid w:val="00B31BB9"/>
    <w:rsid w:val="00B31BCB"/>
    <w:rsid w:val="00B31C3F"/>
    <w:rsid w:val="00B31CB7"/>
    <w:rsid w:val="00B31E03"/>
    <w:rsid w:val="00B31E0F"/>
    <w:rsid w:val="00B31E52"/>
    <w:rsid w:val="00B31ECB"/>
    <w:rsid w:val="00B31EFC"/>
    <w:rsid w:val="00B32173"/>
    <w:rsid w:val="00B321EB"/>
    <w:rsid w:val="00B322A1"/>
    <w:rsid w:val="00B324C5"/>
    <w:rsid w:val="00B32849"/>
    <w:rsid w:val="00B3287E"/>
    <w:rsid w:val="00B32957"/>
    <w:rsid w:val="00B32A05"/>
    <w:rsid w:val="00B32B32"/>
    <w:rsid w:val="00B32B76"/>
    <w:rsid w:val="00B32C61"/>
    <w:rsid w:val="00B32D9E"/>
    <w:rsid w:val="00B33079"/>
    <w:rsid w:val="00B330AF"/>
    <w:rsid w:val="00B3327C"/>
    <w:rsid w:val="00B332B6"/>
    <w:rsid w:val="00B33316"/>
    <w:rsid w:val="00B333C2"/>
    <w:rsid w:val="00B334A8"/>
    <w:rsid w:val="00B334F2"/>
    <w:rsid w:val="00B3350F"/>
    <w:rsid w:val="00B33533"/>
    <w:rsid w:val="00B336B0"/>
    <w:rsid w:val="00B33702"/>
    <w:rsid w:val="00B33769"/>
    <w:rsid w:val="00B3378E"/>
    <w:rsid w:val="00B3385A"/>
    <w:rsid w:val="00B338B8"/>
    <w:rsid w:val="00B33B36"/>
    <w:rsid w:val="00B33C25"/>
    <w:rsid w:val="00B33D09"/>
    <w:rsid w:val="00B33DE7"/>
    <w:rsid w:val="00B33E8F"/>
    <w:rsid w:val="00B33FA2"/>
    <w:rsid w:val="00B342A5"/>
    <w:rsid w:val="00B3437A"/>
    <w:rsid w:val="00B345BF"/>
    <w:rsid w:val="00B346FE"/>
    <w:rsid w:val="00B34853"/>
    <w:rsid w:val="00B348C7"/>
    <w:rsid w:val="00B34937"/>
    <w:rsid w:val="00B34B65"/>
    <w:rsid w:val="00B34C62"/>
    <w:rsid w:val="00B34CDE"/>
    <w:rsid w:val="00B34F31"/>
    <w:rsid w:val="00B34FA0"/>
    <w:rsid w:val="00B35074"/>
    <w:rsid w:val="00B35097"/>
    <w:rsid w:val="00B35252"/>
    <w:rsid w:val="00B3529A"/>
    <w:rsid w:val="00B35334"/>
    <w:rsid w:val="00B35398"/>
    <w:rsid w:val="00B35576"/>
    <w:rsid w:val="00B35591"/>
    <w:rsid w:val="00B3569D"/>
    <w:rsid w:val="00B358B3"/>
    <w:rsid w:val="00B35C33"/>
    <w:rsid w:val="00B35DB6"/>
    <w:rsid w:val="00B35DF2"/>
    <w:rsid w:val="00B35F95"/>
    <w:rsid w:val="00B36039"/>
    <w:rsid w:val="00B36114"/>
    <w:rsid w:val="00B362B5"/>
    <w:rsid w:val="00B36337"/>
    <w:rsid w:val="00B36344"/>
    <w:rsid w:val="00B36349"/>
    <w:rsid w:val="00B3648E"/>
    <w:rsid w:val="00B3660D"/>
    <w:rsid w:val="00B36674"/>
    <w:rsid w:val="00B36735"/>
    <w:rsid w:val="00B367BA"/>
    <w:rsid w:val="00B36979"/>
    <w:rsid w:val="00B36C5F"/>
    <w:rsid w:val="00B36EE4"/>
    <w:rsid w:val="00B3716C"/>
    <w:rsid w:val="00B3722B"/>
    <w:rsid w:val="00B37285"/>
    <w:rsid w:val="00B37363"/>
    <w:rsid w:val="00B37403"/>
    <w:rsid w:val="00B3740A"/>
    <w:rsid w:val="00B374EF"/>
    <w:rsid w:val="00B3755E"/>
    <w:rsid w:val="00B3759B"/>
    <w:rsid w:val="00B376AD"/>
    <w:rsid w:val="00B376B2"/>
    <w:rsid w:val="00B37701"/>
    <w:rsid w:val="00B37951"/>
    <w:rsid w:val="00B3798C"/>
    <w:rsid w:val="00B379C8"/>
    <w:rsid w:val="00B37C22"/>
    <w:rsid w:val="00B37CD9"/>
    <w:rsid w:val="00B37CE3"/>
    <w:rsid w:val="00B402C7"/>
    <w:rsid w:val="00B405D5"/>
    <w:rsid w:val="00B4062F"/>
    <w:rsid w:val="00B406A3"/>
    <w:rsid w:val="00B406DF"/>
    <w:rsid w:val="00B406E4"/>
    <w:rsid w:val="00B407D9"/>
    <w:rsid w:val="00B4081F"/>
    <w:rsid w:val="00B40AF5"/>
    <w:rsid w:val="00B40BAA"/>
    <w:rsid w:val="00B40D77"/>
    <w:rsid w:val="00B40DA4"/>
    <w:rsid w:val="00B40DF1"/>
    <w:rsid w:val="00B40E80"/>
    <w:rsid w:val="00B40EC5"/>
    <w:rsid w:val="00B40EDF"/>
    <w:rsid w:val="00B40F1F"/>
    <w:rsid w:val="00B41034"/>
    <w:rsid w:val="00B41333"/>
    <w:rsid w:val="00B4136E"/>
    <w:rsid w:val="00B414A5"/>
    <w:rsid w:val="00B41524"/>
    <w:rsid w:val="00B415D8"/>
    <w:rsid w:val="00B41771"/>
    <w:rsid w:val="00B41969"/>
    <w:rsid w:val="00B419C9"/>
    <w:rsid w:val="00B41A2A"/>
    <w:rsid w:val="00B41A6B"/>
    <w:rsid w:val="00B41ADA"/>
    <w:rsid w:val="00B41BB9"/>
    <w:rsid w:val="00B41C72"/>
    <w:rsid w:val="00B41EA3"/>
    <w:rsid w:val="00B41F87"/>
    <w:rsid w:val="00B41FCA"/>
    <w:rsid w:val="00B42018"/>
    <w:rsid w:val="00B4204B"/>
    <w:rsid w:val="00B42146"/>
    <w:rsid w:val="00B42190"/>
    <w:rsid w:val="00B4221C"/>
    <w:rsid w:val="00B4229D"/>
    <w:rsid w:val="00B42377"/>
    <w:rsid w:val="00B42676"/>
    <w:rsid w:val="00B427AC"/>
    <w:rsid w:val="00B427D9"/>
    <w:rsid w:val="00B42871"/>
    <w:rsid w:val="00B428F7"/>
    <w:rsid w:val="00B42ABB"/>
    <w:rsid w:val="00B42C53"/>
    <w:rsid w:val="00B42DDA"/>
    <w:rsid w:val="00B42E0D"/>
    <w:rsid w:val="00B42E4B"/>
    <w:rsid w:val="00B42E89"/>
    <w:rsid w:val="00B42EA7"/>
    <w:rsid w:val="00B42EC5"/>
    <w:rsid w:val="00B42F56"/>
    <w:rsid w:val="00B43035"/>
    <w:rsid w:val="00B43038"/>
    <w:rsid w:val="00B43175"/>
    <w:rsid w:val="00B431A5"/>
    <w:rsid w:val="00B4322D"/>
    <w:rsid w:val="00B432A6"/>
    <w:rsid w:val="00B4336A"/>
    <w:rsid w:val="00B43407"/>
    <w:rsid w:val="00B4362C"/>
    <w:rsid w:val="00B438AE"/>
    <w:rsid w:val="00B438DF"/>
    <w:rsid w:val="00B43B00"/>
    <w:rsid w:val="00B43BEB"/>
    <w:rsid w:val="00B43CCF"/>
    <w:rsid w:val="00B43DBE"/>
    <w:rsid w:val="00B43E5A"/>
    <w:rsid w:val="00B43EDF"/>
    <w:rsid w:val="00B43F1E"/>
    <w:rsid w:val="00B43FD9"/>
    <w:rsid w:val="00B44121"/>
    <w:rsid w:val="00B441F1"/>
    <w:rsid w:val="00B44669"/>
    <w:rsid w:val="00B44721"/>
    <w:rsid w:val="00B447FF"/>
    <w:rsid w:val="00B44875"/>
    <w:rsid w:val="00B44A63"/>
    <w:rsid w:val="00B44BFF"/>
    <w:rsid w:val="00B44C9E"/>
    <w:rsid w:val="00B44D62"/>
    <w:rsid w:val="00B44D8D"/>
    <w:rsid w:val="00B44DD1"/>
    <w:rsid w:val="00B44E81"/>
    <w:rsid w:val="00B44EC4"/>
    <w:rsid w:val="00B4502F"/>
    <w:rsid w:val="00B4505D"/>
    <w:rsid w:val="00B452A6"/>
    <w:rsid w:val="00B45340"/>
    <w:rsid w:val="00B455B1"/>
    <w:rsid w:val="00B4569A"/>
    <w:rsid w:val="00B45732"/>
    <w:rsid w:val="00B4573B"/>
    <w:rsid w:val="00B457C6"/>
    <w:rsid w:val="00B4595F"/>
    <w:rsid w:val="00B459C7"/>
    <w:rsid w:val="00B459C9"/>
    <w:rsid w:val="00B45BDA"/>
    <w:rsid w:val="00B45C0C"/>
    <w:rsid w:val="00B45CF6"/>
    <w:rsid w:val="00B45D73"/>
    <w:rsid w:val="00B45EB1"/>
    <w:rsid w:val="00B45EB3"/>
    <w:rsid w:val="00B46170"/>
    <w:rsid w:val="00B46354"/>
    <w:rsid w:val="00B463B9"/>
    <w:rsid w:val="00B4640F"/>
    <w:rsid w:val="00B464B6"/>
    <w:rsid w:val="00B464C2"/>
    <w:rsid w:val="00B46570"/>
    <w:rsid w:val="00B465EB"/>
    <w:rsid w:val="00B4665B"/>
    <w:rsid w:val="00B46851"/>
    <w:rsid w:val="00B469C5"/>
    <w:rsid w:val="00B469DB"/>
    <w:rsid w:val="00B46A9D"/>
    <w:rsid w:val="00B46BC2"/>
    <w:rsid w:val="00B46D04"/>
    <w:rsid w:val="00B46EC7"/>
    <w:rsid w:val="00B46F33"/>
    <w:rsid w:val="00B46FAB"/>
    <w:rsid w:val="00B4722B"/>
    <w:rsid w:val="00B47274"/>
    <w:rsid w:val="00B47345"/>
    <w:rsid w:val="00B473D3"/>
    <w:rsid w:val="00B47538"/>
    <w:rsid w:val="00B47636"/>
    <w:rsid w:val="00B476CB"/>
    <w:rsid w:val="00B47866"/>
    <w:rsid w:val="00B4786F"/>
    <w:rsid w:val="00B47877"/>
    <w:rsid w:val="00B47931"/>
    <w:rsid w:val="00B47995"/>
    <w:rsid w:val="00B47A02"/>
    <w:rsid w:val="00B47BB6"/>
    <w:rsid w:val="00B47BE3"/>
    <w:rsid w:val="00B47C10"/>
    <w:rsid w:val="00B47C66"/>
    <w:rsid w:val="00B47DEF"/>
    <w:rsid w:val="00B47EB7"/>
    <w:rsid w:val="00B47F67"/>
    <w:rsid w:val="00B4C000"/>
    <w:rsid w:val="00B50175"/>
    <w:rsid w:val="00B50205"/>
    <w:rsid w:val="00B50319"/>
    <w:rsid w:val="00B50361"/>
    <w:rsid w:val="00B50412"/>
    <w:rsid w:val="00B50661"/>
    <w:rsid w:val="00B50992"/>
    <w:rsid w:val="00B50AA6"/>
    <w:rsid w:val="00B50AFD"/>
    <w:rsid w:val="00B50B9C"/>
    <w:rsid w:val="00B50C6B"/>
    <w:rsid w:val="00B50C9D"/>
    <w:rsid w:val="00B50CB2"/>
    <w:rsid w:val="00B50E19"/>
    <w:rsid w:val="00B50F16"/>
    <w:rsid w:val="00B51064"/>
    <w:rsid w:val="00B5106F"/>
    <w:rsid w:val="00B51150"/>
    <w:rsid w:val="00B51223"/>
    <w:rsid w:val="00B5132F"/>
    <w:rsid w:val="00B51574"/>
    <w:rsid w:val="00B51629"/>
    <w:rsid w:val="00B516EC"/>
    <w:rsid w:val="00B51725"/>
    <w:rsid w:val="00B517A8"/>
    <w:rsid w:val="00B517D1"/>
    <w:rsid w:val="00B51895"/>
    <w:rsid w:val="00B519E9"/>
    <w:rsid w:val="00B51A47"/>
    <w:rsid w:val="00B51A85"/>
    <w:rsid w:val="00B51BA2"/>
    <w:rsid w:val="00B51C1D"/>
    <w:rsid w:val="00B51CDE"/>
    <w:rsid w:val="00B51D95"/>
    <w:rsid w:val="00B51DB1"/>
    <w:rsid w:val="00B52386"/>
    <w:rsid w:val="00B523EC"/>
    <w:rsid w:val="00B5250B"/>
    <w:rsid w:val="00B525F5"/>
    <w:rsid w:val="00B528E4"/>
    <w:rsid w:val="00B52A09"/>
    <w:rsid w:val="00B52B58"/>
    <w:rsid w:val="00B52B5C"/>
    <w:rsid w:val="00B52B66"/>
    <w:rsid w:val="00B52B70"/>
    <w:rsid w:val="00B52C7D"/>
    <w:rsid w:val="00B52D9C"/>
    <w:rsid w:val="00B52DC8"/>
    <w:rsid w:val="00B52F95"/>
    <w:rsid w:val="00B5307B"/>
    <w:rsid w:val="00B531C3"/>
    <w:rsid w:val="00B532CA"/>
    <w:rsid w:val="00B532FD"/>
    <w:rsid w:val="00B53604"/>
    <w:rsid w:val="00B5365F"/>
    <w:rsid w:val="00B53730"/>
    <w:rsid w:val="00B5376E"/>
    <w:rsid w:val="00B53821"/>
    <w:rsid w:val="00B53839"/>
    <w:rsid w:val="00B53877"/>
    <w:rsid w:val="00B5388C"/>
    <w:rsid w:val="00B539BF"/>
    <w:rsid w:val="00B53A76"/>
    <w:rsid w:val="00B53A9B"/>
    <w:rsid w:val="00B53AAF"/>
    <w:rsid w:val="00B53AF9"/>
    <w:rsid w:val="00B53E16"/>
    <w:rsid w:val="00B53EAA"/>
    <w:rsid w:val="00B540B0"/>
    <w:rsid w:val="00B5412B"/>
    <w:rsid w:val="00B541EA"/>
    <w:rsid w:val="00B54238"/>
    <w:rsid w:val="00B5445A"/>
    <w:rsid w:val="00B54506"/>
    <w:rsid w:val="00B54585"/>
    <w:rsid w:val="00B546E7"/>
    <w:rsid w:val="00B54A08"/>
    <w:rsid w:val="00B54B18"/>
    <w:rsid w:val="00B54BF2"/>
    <w:rsid w:val="00B54C8A"/>
    <w:rsid w:val="00B54D05"/>
    <w:rsid w:val="00B54D0E"/>
    <w:rsid w:val="00B54D27"/>
    <w:rsid w:val="00B54D6A"/>
    <w:rsid w:val="00B54DC3"/>
    <w:rsid w:val="00B54E6F"/>
    <w:rsid w:val="00B54EFC"/>
    <w:rsid w:val="00B55077"/>
    <w:rsid w:val="00B55127"/>
    <w:rsid w:val="00B55178"/>
    <w:rsid w:val="00B55199"/>
    <w:rsid w:val="00B552EB"/>
    <w:rsid w:val="00B55303"/>
    <w:rsid w:val="00B553F9"/>
    <w:rsid w:val="00B5556D"/>
    <w:rsid w:val="00B55598"/>
    <w:rsid w:val="00B555C1"/>
    <w:rsid w:val="00B556F8"/>
    <w:rsid w:val="00B55742"/>
    <w:rsid w:val="00B55797"/>
    <w:rsid w:val="00B558D5"/>
    <w:rsid w:val="00B5593F"/>
    <w:rsid w:val="00B55B12"/>
    <w:rsid w:val="00B55B5B"/>
    <w:rsid w:val="00B55C64"/>
    <w:rsid w:val="00B55CF9"/>
    <w:rsid w:val="00B55E2B"/>
    <w:rsid w:val="00B561EC"/>
    <w:rsid w:val="00B5621B"/>
    <w:rsid w:val="00B5621C"/>
    <w:rsid w:val="00B56607"/>
    <w:rsid w:val="00B56661"/>
    <w:rsid w:val="00B56740"/>
    <w:rsid w:val="00B56962"/>
    <w:rsid w:val="00B569C3"/>
    <w:rsid w:val="00B569F8"/>
    <w:rsid w:val="00B56A98"/>
    <w:rsid w:val="00B56AC8"/>
    <w:rsid w:val="00B56BEA"/>
    <w:rsid w:val="00B56CDB"/>
    <w:rsid w:val="00B56D14"/>
    <w:rsid w:val="00B56E1A"/>
    <w:rsid w:val="00B56E2F"/>
    <w:rsid w:val="00B572A3"/>
    <w:rsid w:val="00B5734C"/>
    <w:rsid w:val="00B57818"/>
    <w:rsid w:val="00B578F3"/>
    <w:rsid w:val="00B579A9"/>
    <w:rsid w:val="00B579DB"/>
    <w:rsid w:val="00B579F4"/>
    <w:rsid w:val="00B57A7E"/>
    <w:rsid w:val="00B57DC9"/>
    <w:rsid w:val="00B57DFC"/>
    <w:rsid w:val="00B57F35"/>
    <w:rsid w:val="00B60070"/>
    <w:rsid w:val="00B60228"/>
    <w:rsid w:val="00B603AC"/>
    <w:rsid w:val="00B603C5"/>
    <w:rsid w:val="00B603C7"/>
    <w:rsid w:val="00B60503"/>
    <w:rsid w:val="00B606B0"/>
    <w:rsid w:val="00B60786"/>
    <w:rsid w:val="00B60799"/>
    <w:rsid w:val="00B608BF"/>
    <w:rsid w:val="00B608CC"/>
    <w:rsid w:val="00B60BCE"/>
    <w:rsid w:val="00B61273"/>
    <w:rsid w:val="00B6140D"/>
    <w:rsid w:val="00B61453"/>
    <w:rsid w:val="00B615DF"/>
    <w:rsid w:val="00B616A4"/>
    <w:rsid w:val="00B61857"/>
    <w:rsid w:val="00B61894"/>
    <w:rsid w:val="00B619C8"/>
    <w:rsid w:val="00B61D74"/>
    <w:rsid w:val="00B61E51"/>
    <w:rsid w:val="00B61FBD"/>
    <w:rsid w:val="00B62239"/>
    <w:rsid w:val="00B6249F"/>
    <w:rsid w:val="00B624F7"/>
    <w:rsid w:val="00B6252D"/>
    <w:rsid w:val="00B62543"/>
    <w:rsid w:val="00B6263A"/>
    <w:rsid w:val="00B626FE"/>
    <w:rsid w:val="00B627D1"/>
    <w:rsid w:val="00B628CC"/>
    <w:rsid w:val="00B629EA"/>
    <w:rsid w:val="00B62A47"/>
    <w:rsid w:val="00B62AD5"/>
    <w:rsid w:val="00B62B39"/>
    <w:rsid w:val="00B62B82"/>
    <w:rsid w:val="00B62BA6"/>
    <w:rsid w:val="00B62BAB"/>
    <w:rsid w:val="00B62C73"/>
    <w:rsid w:val="00B62EA3"/>
    <w:rsid w:val="00B62F81"/>
    <w:rsid w:val="00B62FDB"/>
    <w:rsid w:val="00B62FE8"/>
    <w:rsid w:val="00B63057"/>
    <w:rsid w:val="00B631D4"/>
    <w:rsid w:val="00B632EE"/>
    <w:rsid w:val="00B632EF"/>
    <w:rsid w:val="00B633F4"/>
    <w:rsid w:val="00B63712"/>
    <w:rsid w:val="00B63992"/>
    <w:rsid w:val="00B63A67"/>
    <w:rsid w:val="00B63A8E"/>
    <w:rsid w:val="00B63AF3"/>
    <w:rsid w:val="00B63B13"/>
    <w:rsid w:val="00B63B2D"/>
    <w:rsid w:val="00B63DC8"/>
    <w:rsid w:val="00B63E1D"/>
    <w:rsid w:val="00B640C7"/>
    <w:rsid w:val="00B64218"/>
    <w:rsid w:val="00B64266"/>
    <w:rsid w:val="00B644A1"/>
    <w:rsid w:val="00B644A6"/>
    <w:rsid w:val="00B64606"/>
    <w:rsid w:val="00B64876"/>
    <w:rsid w:val="00B64A83"/>
    <w:rsid w:val="00B64C2D"/>
    <w:rsid w:val="00B64C48"/>
    <w:rsid w:val="00B64D82"/>
    <w:rsid w:val="00B64F37"/>
    <w:rsid w:val="00B64FAF"/>
    <w:rsid w:val="00B64FBC"/>
    <w:rsid w:val="00B6506D"/>
    <w:rsid w:val="00B6529B"/>
    <w:rsid w:val="00B6529C"/>
    <w:rsid w:val="00B654E7"/>
    <w:rsid w:val="00B654F7"/>
    <w:rsid w:val="00B65585"/>
    <w:rsid w:val="00B6561A"/>
    <w:rsid w:val="00B65743"/>
    <w:rsid w:val="00B658F9"/>
    <w:rsid w:val="00B659F3"/>
    <w:rsid w:val="00B65A10"/>
    <w:rsid w:val="00B65D06"/>
    <w:rsid w:val="00B65D83"/>
    <w:rsid w:val="00B65D96"/>
    <w:rsid w:val="00B65DB6"/>
    <w:rsid w:val="00B65F5B"/>
    <w:rsid w:val="00B6600B"/>
    <w:rsid w:val="00B66043"/>
    <w:rsid w:val="00B66375"/>
    <w:rsid w:val="00B6648B"/>
    <w:rsid w:val="00B6650B"/>
    <w:rsid w:val="00B6666B"/>
    <w:rsid w:val="00B66895"/>
    <w:rsid w:val="00B66908"/>
    <w:rsid w:val="00B66930"/>
    <w:rsid w:val="00B66939"/>
    <w:rsid w:val="00B66946"/>
    <w:rsid w:val="00B66985"/>
    <w:rsid w:val="00B66C8D"/>
    <w:rsid w:val="00B6705E"/>
    <w:rsid w:val="00B670D6"/>
    <w:rsid w:val="00B67204"/>
    <w:rsid w:val="00B67447"/>
    <w:rsid w:val="00B6751C"/>
    <w:rsid w:val="00B67645"/>
    <w:rsid w:val="00B67951"/>
    <w:rsid w:val="00B67A85"/>
    <w:rsid w:val="00B67AD6"/>
    <w:rsid w:val="00B67CD8"/>
    <w:rsid w:val="00B67D25"/>
    <w:rsid w:val="00B70076"/>
    <w:rsid w:val="00B70086"/>
    <w:rsid w:val="00B70226"/>
    <w:rsid w:val="00B70251"/>
    <w:rsid w:val="00B70280"/>
    <w:rsid w:val="00B705E8"/>
    <w:rsid w:val="00B7064E"/>
    <w:rsid w:val="00B70742"/>
    <w:rsid w:val="00B70771"/>
    <w:rsid w:val="00B707A4"/>
    <w:rsid w:val="00B7080E"/>
    <w:rsid w:val="00B70B0D"/>
    <w:rsid w:val="00B70C73"/>
    <w:rsid w:val="00B7109D"/>
    <w:rsid w:val="00B71137"/>
    <w:rsid w:val="00B71372"/>
    <w:rsid w:val="00B7137F"/>
    <w:rsid w:val="00B71475"/>
    <w:rsid w:val="00B714F4"/>
    <w:rsid w:val="00B715E4"/>
    <w:rsid w:val="00B7170E"/>
    <w:rsid w:val="00B7171D"/>
    <w:rsid w:val="00B7176D"/>
    <w:rsid w:val="00B71877"/>
    <w:rsid w:val="00B7189B"/>
    <w:rsid w:val="00B718E4"/>
    <w:rsid w:val="00B71AB7"/>
    <w:rsid w:val="00B71C11"/>
    <w:rsid w:val="00B71C58"/>
    <w:rsid w:val="00B71DC7"/>
    <w:rsid w:val="00B71E05"/>
    <w:rsid w:val="00B71E65"/>
    <w:rsid w:val="00B71EC9"/>
    <w:rsid w:val="00B72020"/>
    <w:rsid w:val="00B7213A"/>
    <w:rsid w:val="00B723FF"/>
    <w:rsid w:val="00B724B4"/>
    <w:rsid w:val="00B7250B"/>
    <w:rsid w:val="00B7252F"/>
    <w:rsid w:val="00B727D3"/>
    <w:rsid w:val="00B72806"/>
    <w:rsid w:val="00B72832"/>
    <w:rsid w:val="00B72887"/>
    <w:rsid w:val="00B72977"/>
    <w:rsid w:val="00B72985"/>
    <w:rsid w:val="00B729E0"/>
    <w:rsid w:val="00B72A63"/>
    <w:rsid w:val="00B72F2C"/>
    <w:rsid w:val="00B7319C"/>
    <w:rsid w:val="00B733C7"/>
    <w:rsid w:val="00B7365E"/>
    <w:rsid w:val="00B737A5"/>
    <w:rsid w:val="00B73900"/>
    <w:rsid w:val="00B739F8"/>
    <w:rsid w:val="00B73A69"/>
    <w:rsid w:val="00B73BB4"/>
    <w:rsid w:val="00B73BF0"/>
    <w:rsid w:val="00B73D16"/>
    <w:rsid w:val="00B73D8B"/>
    <w:rsid w:val="00B73DA2"/>
    <w:rsid w:val="00B73EFB"/>
    <w:rsid w:val="00B73F5F"/>
    <w:rsid w:val="00B73F71"/>
    <w:rsid w:val="00B74047"/>
    <w:rsid w:val="00B743EE"/>
    <w:rsid w:val="00B74482"/>
    <w:rsid w:val="00B7482A"/>
    <w:rsid w:val="00B7493F"/>
    <w:rsid w:val="00B749D5"/>
    <w:rsid w:val="00B749F5"/>
    <w:rsid w:val="00B74AB0"/>
    <w:rsid w:val="00B74C57"/>
    <w:rsid w:val="00B74C68"/>
    <w:rsid w:val="00B74C6B"/>
    <w:rsid w:val="00B74D80"/>
    <w:rsid w:val="00B74DE8"/>
    <w:rsid w:val="00B74F1C"/>
    <w:rsid w:val="00B75022"/>
    <w:rsid w:val="00B7506D"/>
    <w:rsid w:val="00B75110"/>
    <w:rsid w:val="00B7519A"/>
    <w:rsid w:val="00B752D3"/>
    <w:rsid w:val="00B753CE"/>
    <w:rsid w:val="00B753DF"/>
    <w:rsid w:val="00B7542A"/>
    <w:rsid w:val="00B75645"/>
    <w:rsid w:val="00B756D7"/>
    <w:rsid w:val="00B7591E"/>
    <w:rsid w:val="00B759AF"/>
    <w:rsid w:val="00B75ADB"/>
    <w:rsid w:val="00B75B15"/>
    <w:rsid w:val="00B75C01"/>
    <w:rsid w:val="00B75DC6"/>
    <w:rsid w:val="00B75E82"/>
    <w:rsid w:val="00B75E8E"/>
    <w:rsid w:val="00B75FE0"/>
    <w:rsid w:val="00B760B4"/>
    <w:rsid w:val="00B76301"/>
    <w:rsid w:val="00B76407"/>
    <w:rsid w:val="00B76530"/>
    <w:rsid w:val="00B765C2"/>
    <w:rsid w:val="00B76847"/>
    <w:rsid w:val="00B768DC"/>
    <w:rsid w:val="00B76937"/>
    <w:rsid w:val="00B76B73"/>
    <w:rsid w:val="00B76CB6"/>
    <w:rsid w:val="00B76CDD"/>
    <w:rsid w:val="00B76CE5"/>
    <w:rsid w:val="00B76E1C"/>
    <w:rsid w:val="00B76E45"/>
    <w:rsid w:val="00B76E6B"/>
    <w:rsid w:val="00B771A4"/>
    <w:rsid w:val="00B775BE"/>
    <w:rsid w:val="00B7763E"/>
    <w:rsid w:val="00B7781A"/>
    <w:rsid w:val="00B77C67"/>
    <w:rsid w:val="00B77D93"/>
    <w:rsid w:val="00B77F86"/>
    <w:rsid w:val="00B77FA1"/>
    <w:rsid w:val="00B8010B"/>
    <w:rsid w:val="00B80197"/>
    <w:rsid w:val="00B80237"/>
    <w:rsid w:val="00B8033C"/>
    <w:rsid w:val="00B80551"/>
    <w:rsid w:val="00B806B3"/>
    <w:rsid w:val="00B807D8"/>
    <w:rsid w:val="00B8090C"/>
    <w:rsid w:val="00B80AEA"/>
    <w:rsid w:val="00B80B50"/>
    <w:rsid w:val="00B80BEC"/>
    <w:rsid w:val="00B80C08"/>
    <w:rsid w:val="00B80E0D"/>
    <w:rsid w:val="00B80F5A"/>
    <w:rsid w:val="00B80FD4"/>
    <w:rsid w:val="00B81166"/>
    <w:rsid w:val="00B81293"/>
    <w:rsid w:val="00B818F4"/>
    <w:rsid w:val="00B81B44"/>
    <w:rsid w:val="00B81D06"/>
    <w:rsid w:val="00B81E66"/>
    <w:rsid w:val="00B81E86"/>
    <w:rsid w:val="00B81F47"/>
    <w:rsid w:val="00B81FA4"/>
    <w:rsid w:val="00B820C5"/>
    <w:rsid w:val="00B820DA"/>
    <w:rsid w:val="00B82120"/>
    <w:rsid w:val="00B82179"/>
    <w:rsid w:val="00B82339"/>
    <w:rsid w:val="00B82863"/>
    <w:rsid w:val="00B82871"/>
    <w:rsid w:val="00B829B1"/>
    <w:rsid w:val="00B82AD7"/>
    <w:rsid w:val="00B82BA0"/>
    <w:rsid w:val="00B82C08"/>
    <w:rsid w:val="00B82E56"/>
    <w:rsid w:val="00B82E85"/>
    <w:rsid w:val="00B82F79"/>
    <w:rsid w:val="00B833F1"/>
    <w:rsid w:val="00B8357A"/>
    <w:rsid w:val="00B83668"/>
    <w:rsid w:val="00B83968"/>
    <w:rsid w:val="00B83B8C"/>
    <w:rsid w:val="00B83C51"/>
    <w:rsid w:val="00B83C63"/>
    <w:rsid w:val="00B83DCF"/>
    <w:rsid w:val="00B841A3"/>
    <w:rsid w:val="00B84549"/>
    <w:rsid w:val="00B845CF"/>
    <w:rsid w:val="00B8464C"/>
    <w:rsid w:val="00B84678"/>
    <w:rsid w:val="00B847CA"/>
    <w:rsid w:val="00B847D3"/>
    <w:rsid w:val="00B847DE"/>
    <w:rsid w:val="00B84839"/>
    <w:rsid w:val="00B84A05"/>
    <w:rsid w:val="00B84A3E"/>
    <w:rsid w:val="00B84A84"/>
    <w:rsid w:val="00B84ADF"/>
    <w:rsid w:val="00B84B6B"/>
    <w:rsid w:val="00B84C46"/>
    <w:rsid w:val="00B84C54"/>
    <w:rsid w:val="00B84CB0"/>
    <w:rsid w:val="00B84DCF"/>
    <w:rsid w:val="00B850EA"/>
    <w:rsid w:val="00B8517E"/>
    <w:rsid w:val="00B85303"/>
    <w:rsid w:val="00B85448"/>
    <w:rsid w:val="00B8544D"/>
    <w:rsid w:val="00B85526"/>
    <w:rsid w:val="00B85538"/>
    <w:rsid w:val="00B85594"/>
    <w:rsid w:val="00B855A0"/>
    <w:rsid w:val="00B855AA"/>
    <w:rsid w:val="00B8563F"/>
    <w:rsid w:val="00B85697"/>
    <w:rsid w:val="00B8571D"/>
    <w:rsid w:val="00B8599C"/>
    <w:rsid w:val="00B85A4A"/>
    <w:rsid w:val="00B85B7C"/>
    <w:rsid w:val="00B85B9C"/>
    <w:rsid w:val="00B85E16"/>
    <w:rsid w:val="00B85EE7"/>
    <w:rsid w:val="00B860FD"/>
    <w:rsid w:val="00B863DE"/>
    <w:rsid w:val="00B863E8"/>
    <w:rsid w:val="00B867E4"/>
    <w:rsid w:val="00B868A3"/>
    <w:rsid w:val="00B8695E"/>
    <w:rsid w:val="00B86C00"/>
    <w:rsid w:val="00B86C62"/>
    <w:rsid w:val="00B86CAB"/>
    <w:rsid w:val="00B86CEE"/>
    <w:rsid w:val="00B86E23"/>
    <w:rsid w:val="00B87062"/>
    <w:rsid w:val="00B873AB"/>
    <w:rsid w:val="00B873CF"/>
    <w:rsid w:val="00B87401"/>
    <w:rsid w:val="00B87455"/>
    <w:rsid w:val="00B8769C"/>
    <w:rsid w:val="00B877B1"/>
    <w:rsid w:val="00B87802"/>
    <w:rsid w:val="00B87893"/>
    <w:rsid w:val="00B8794C"/>
    <w:rsid w:val="00B87A71"/>
    <w:rsid w:val="00B87B8C"/>
    <w:rsid w:val="00B87C30"/>
    <w:rsid w:val="00B87C90"/>
    <w:rsid w:val="00B87D34"/>
    <w:rsid w:val="00B87FC1"/>
    <w:rsid w:val="00B90182"/>
    <w:rsid w:val="00B90303"/>
    <w:rsid w:val="00B90413"/>
    <w:rsid w:val="00B904C0"/>
    <w:rsid w:val="00B9054C"/>
    <w:rsid w:val="00B90592"/>
    <w:rsid w:val="00B9079C"/>
    <w:rsid w:val="00B907B1"/>
    <w:rsid w:val="00B907D6"/>
    <w:rsid w:val="00B907EC"/>
    <w:rsid w:val="00B908D0"/>
    <w:rsid w:val="00B90908"/>
    <w:rsid w:val="00B90AA3"/>
    <w:rsid w:val="00B90BC5"/>
    <w:rsid w:val="00B90D36"/>
    <w:rsid w:val="00B90DB7"/>
    <w:rsid w:val="00B90DE6"/>
    <w:rsid w:val="00B90F4A"/>
    <w:rsid w:val="00B910D4"/>
    <w:rsid w:val="00B911B7"/>
    <w:rsid w:val="00B9127F"/>
    <w:rsid w:val="00B913BF"/>
    <w:rsid w:val="00B913DB"/>
    <w:rsid w:val="00B9145D"/>
    <w:rsid w:val="00B9146B"/>
    <w:rsid w:val="00B91550"/>
    <w:rsid w:val="00B9157B"/>
    <w:rsid w:val="00B91656"/>
    <w:rsid w:val="00B916E9"/>
    <w:rsid w:val="00B91857"/>
    <w:rsid w:val="00B91980"/>
    <w:rsid w:val="00B91AD0"/>
    <w:rsid w:val="00B91BC8"/>
    <w:rsid w:val="00B91E81"/>
    <w:rsid w:val="00B91F1F"/>
    <w:rsid w:val="00B9246B"/>
    <w:rsid w:val="00B92506"/>
    <w:rsid w:val="00B925DF"/>
    <w:rsid w:val="00B925EF"/>
    <w:rsid w:val="00B9260A"/>
    <w:rsid w:val="00B9280E"/>
    <w:rsid w:val="00B92A93"/>
    <w:rsid w:val="00B92B14"/>
    <w:rsid w:val="00B92B71"/>
    <w:rsid w:val="00B92BBF"/>
    <w:rsid w:val="00B92F86"/>
    <w:rsid w:val="00B9309F"/>
    <w:rsid w:val="00B93146"/>
    <w:rsid w:val="00B931D6"/>
    <w:rsid w:val="00B933EA"/>
    <w:rsid w:val="00B9340B"/>
    <w:rsid w:val="00B9347C"/>
    <w:rsid w:val="00B93596"/>
    <w:rsid w:val="00B93690"/>
    <w:rsid w:val="00B937C9"/>
    <w:rsid w:val="00B937D9"/>
    <w:rsid w:val="00B938A7"/>
    <w:rsid w:val="00B93B46"/>
    <w:rsid w:val="00B93B90"/>
    <w:rsid w:val="00B93BC7"/>
    <w:rsid w:val="00B93BE2"/>
    <w:rsid w:val="00B93CB3"/>
    <w:rsid w:val="00B93D87"/>
    <w:rsid w:val="00B93F56"/>
    <w:rsid w:val="00B9416E"/>
    <w:rsid w:val="00B9428D"/>
    <w:rsid w:val="00B942CB"/>
    <w:rsid w:val="00B9433E"/>
    <w:rsid w:val="00B94397"/>
    <w:rsid w:val="00B943B3"/>
    <w:rsid w:val="00B944B3"/>
    <w:rsid w:val="00B9453F"/>
    <w:rsid w:val="00B9460E"/>
    <w:rsid w:val="00B9464F"/>
    <w:rsid w:val="00B947AD"/>
    <w:rsid w:val="00B94846"/>
    <w:rsid w:val="00B94B46"/>
    <w:rsid w:val="00B94BAF"/>
    <w:rsid w:val="00B94CC9"/>
    <w:rsid w:val="00B94DC1"/>
    <w:rsid w:val="00B95000"/>
    <w:rsid w:val="00B95077"/>
    <w:rsid w:val="00B951E2"/>
    <w:rsid w:val="00B953C0"/>
    <w:rsid w:val="00B95400"/>
    <w:rsid w:val="00B954B3"/>
    <w:rsid w:val="00B95548"/>
    <w:rsid w:val="00B958C9"/>
    <w:rsid w:val="00B958E4"/>
    <w:rsid w:val="00B95A70"/>
    <w:rsid w:val="00B95AC4"/>
    <w:rsid w:val="00B95BB4"/>
    <w:rsid w:val="00B95CFF"/>
    <w:rsid w:val="00B95DDF"/>
    <w:rsid w:val="00B95E45"/>
    <w:rsid w:val="00B95EF0"/>
    <w:rsid w:val="00B95EF4"/>
    <w:rsid w:val="00B95F8F"/>
    <w:rsid w:val="00B95FFF"/>
    <w:rsid w:val="00B96057"/>
    <w:rsid w:val="00B961C7"/>
    <w:rsid w:val="00B961DE"/>
    <w:rsid w:val="00B961FF"/>
    <w:rsid w:val="00B96282"/>
    <w:rsid w:val="00B962A6"/>
    <w:rsid w:val="00B962F3"/>
    <w:rsid w:val="00B9634F"/>
    <w:rsid w:val="00B964B0"/>
    <w:rsid w:val="00B964C5"/>
    <w:rsid w:val="00B96550"/>
    <w:rsid w:val="00B968E7"/>
    <w:rsid w:val="00B96AB4"/>
    <w:rsid w:val="00B96AD6"/>
    <w:rsid w:val="00B96CC9"/>
    <w:rsid w:val="00B96DCA"/>
    <w:rsid w:val="00B96DCE"/>
    <w:rsid w:val="00B96E02"/>
    <w:rsid w:val="00B96F62"/>
    <w:rsid w:val="00B96FA2"/>
    <w:rsid w:val="00B97056"/>
    <w:rsid w:val="00B9713F"/>
    <w:rsid w:val="00B971FA"/>
    <w:rsid w:val="00B9722F"/>
    <w:rsid w:val="00B972E1"/>
    <w:rsid w:val="00B97397"/>
    <w:rsid w:val="00B974F9"/>
    <w:rsid w:val="00B975D6"/>
    <w:rsid w:val="00B9764C"/>
    <w:rsid w:val="00B976BE"/>
    <w:rsid w:val="00B9795E"/>
    <w:rsid w:val="00B979DE"/>
    <w:rsid w:val="00B97C12"/>
    <w:rsid w:val="00B97C7B"/>
    <w:rsid w:val="00B97CCB"/>
    <w:rsid w:val="00B97CD9"/>
    <w:rsid w:val="00B97D99"/>
    <w:rsid w:val="00B97DBE"/>
    <w:rsid w:val="00B97DE8"/>
    <w:rsid w:val="00B97EB8"/>
    <w:rsid w:val="00B97F75"/>
    <w:rsid w:val="00B993B0"/>
    <w:rsid w:val="00B9C74F"/>
    <w:rsid w:val="00BA0029"/>
    <w:rsid w:val="00BA00D3"/>
    <w:rsid w:val="00BA02EF"/>
    <w:rsid w:val="00BA0460"/>
    <w:rsid w:val="00BA0594"/>
    <w:rsid w:val="00BA068D"/>
    <w:rsid w:val="00BA0760"/>
    <w:rsid w:val="00BA0950"/>
    <w:rsid w:val="00BA096F"/>
    <w:rsid w:val="00BA0A44"/>
    <w:rsid w:val="00BA0A8C"/>
    <w:rsid w:val="00BA0B1F"/>
    <w:rsid w:val="00BA0B5D"/>
    <w:rsid w:val="00BA1166"/>
    <w:rsid w:val="00BA11A7"/>
    <w:rsid w:val="00BA11B4"/>
    <w:rsid w:val="00BA1294"/>
    <w:rsid w:val="00BA1447"/>
    <w:rsid w:val="00BA1479"/>
    <w:rsid w:val="00BA160B"/>
    <w:rsid w:val="00BA177E"/>
    <w:rsid w:val="00BA19D6"/>
    <w:rsid w:val="00BA1AF5"/>
    <w:rsid w:val="00BA1BA0"/>
    <w:rsid w:val="00BA1C21"/>
    <w:rsid w:val="00BA1D1D"/>
    <w:rsid w:val="00BA1D47"/>
    <w:rsid w:val="00BA1D5A"/>
    <w:rsid w:val="00BA1E3A"/>
    <w:rsid w:val="00BA1E99"/>
    <w:rsid w:val="00BA23BE"/>
    <w:rsid w:val="00BA251A"/>
    <w:rsid w:val="00BA27E4"/>
    <w:rsid w:val="00BA288E"/>
    <w:rsid w:val="00BA28C5"/>
    <w:rsid w:val="00BA28DC"/>
    <w:rsid w:val="00BA294D"/>
    <w:rsid w:val="00BA2986"/>
    <w:rsid w:val="00BA29E1"/>
    <w:rsid w:val="00BA2B27"/>
    <w:rsid w:val="00BA2B4D"/>
    <w:rsid w:val="00BA2C14"/>
    <w:rsid w:val="00BA2C51"/>
    <w:rsid w:val="00BA2CD0"/>
    <w:rsid w:val="00BA2DBB"/>
    <w:rsid w:val="00BA2F62"/>
    <w:rsid w:val="00BA30DE"/>
    <w:rsid w:val="00BA32F6"/>
    <w:rsid w:val="00BA3452"/>
    <w:rsid w:val="00BA34FC"/>
    <w:rsid w:val="00BA3787"/>
    <w:rsid w:val="00BA37EB"/>
    <w:rsid w:val="00BA38E7"/>
    <w:rsid w:val="00BA3931"/>
    <w:rsid w:val="00BA3A6C"/>
    <w:rsid w:val="00BA3AF8"/>
    <w:rsid w:val="00BA3C97"/>
    <w:rsid w:val="00BA3E7C"/>
    <w:rsid w:val="00BA3F4B"/>
    <w:rsid w:val="00BA4109"/>
    <w:rsid w:val="00BA427D"/>
    <w:rsid w:val="00BA428D"/>
    <w:rsid w:val="00BA4553"/>
    <w:rsid w:val="00BA473A"/>
    <w:rsid w:val="00BA47E7"/>
    <w:rsid w:val="00BA48E0"/>
    <w:rsid w:val="00BA4931"/>
    <w:rsid w:val="00BA4BD0"/>
    <w:rsid w:val="00BA4D32"/>
    <w:rsid w:val="00BA4D41"/>
    <w:rsid w:val="00BA4EE1"/>
    <w:rsid w:val="00BA4FB3"/>
    <w:rsid w:val="00BA5125"/>
    <w:rsid w:val="00BA5194"/>
    <w:rsid w:val="00BA5224"/>
    <w:rsid w:val="00BA52A4"/>
    <w:rsid w:val="00BA52DC"/>
    <w:rsid w:val="00BA534C"/>
    <w:rsid w:val="00BA54AC"/>
    <w:rsid w:val="00BA55AD"/>
    <w:rsid w:val="00BA55FB"/>
    <w:rsid w:val="00BA5630"/>
    <w:rsid w:val="00BA5665"/>
    <w:rsid w:val="00BA5857"/>
    <w:rsid w:val="00BA58EC"/>
    <w:rsid w:val="00BA5935"/>
    <w:rsid w:val="00BA59B6"/>
    <w:rsid w:val="00BA5A70"/>
    <w:rsid w:val="00BA5A7B"/>
    <w:rsid w:val="00BA5B21"/>
    <w:rsid w:val="00BA5C12"/>
    <w:rsid w:val="00BA5EC9"/>
    <w:rsid w:val="00BA5F05"/>
    <w:rsid w:val="00BA5FDF"/>
    <w:rsid w:val="00BA60E9"/>
    <w:rsid w:val="00BA6437"/>
    <w:rsid w:val="00BA6444"/>
    <w:rsid w:val="00BA650F"/>
    <w:rsid w:val="00BA679F"/>
    <w:rsid w:val="00BA67F4"/>
    <w:rsid w:val="00BA6885"/>
    <w:rsid w:val="00BA6902"/>
    <w:rsid w:val="00BA6AC9"/>
    <w:rsid w:val="00BA6C09"/>
    <w:rsid w:val="00BA6F1A"/>
    <w:rsid w:val="00BA7255"/>
    <w:rsid w:val="00BA73E2"/>
    <w:rsid w:val="00BA75D2"/>
    <w:rsid w:val="00BA75ED"/>
    <w:rsid w:val="00BA765E"/>
    <w:rsid w:val="00BA77A9"/>
    <w:rsid w:val="00BA7830"/>
    <w:rsid w:val="00BA78A6"/>
    <w:rsid w:val="00BA7A82"/>
    <w:rsid w:val="00BA7AE0"/>
    <w:rsid w:val="00BA7AED"/>
    <w:rsid w:val="00BA7B4C"/>
    <w:rsid w:val="00BA7BEE"/>
    <w:rsid w:val="00BA7C89"/>
    <w:rsid w:val="00BA7D47"/>
    <w:rsid w:val="00BA7DC8"/>
    <w:rsid w:val="00BA7DEB"/>
    <w:rsid w:val="00BA7E0C"/>
    <w:rsid w:val="00BA7F84"/>
    <w:rsid w:val="00BB00D3"/>
    <w:rsid w:val="00BB01AD"/>
    <w:rsid w:val="00BB01C5"/>
    <w:rsid w:val="00BB0385"/>
    <w:rsid w:val="00BB045A"/>
    <w:rsid w:val="00BB0495"/>
    <w:rsid w:val="00BB06D7"/>
    <w:rsid w:val="00BB09C6"/>
    <w:rsid w:val="00BB0A5D"/>
    <w:rsid w:val="00BB0A8B"/>
    <w:rsid w:val="00BB0C58"/>
    <w:rsid w:val="00BB11F0"/>
    <w:rsid w:val="00BB1498"/>
    <w:rsid w:val="00BB154D"/>
    <w:rsid w:val="00BB15A9"/>
    <w:rsid w:val="00BB169A"/>
    <w:rsid w:val="00BB1726"/>
    <w:rsid w:val="00BB17C1"/>
    <w:rsid w:val="00BB1872"/>
    <w:rsid w:val="00BB18A2"/>
    <w:rsid w:val="00BB1AB7"/>
    <w:rsid w:val="00BB1E1D"/>
    <w:rsid w:val="00BB1E47"/>
    <w:rsid w:val="00BB208A"/>
    <w:rsid w:val="00BB21AF"/>
    <w:rsid w:val="00BB238D"/>
    <w:rsid w:val="00BB259D"/>
    <w:rsid w:val="00BB25B7"/>
    <w:rsid w:val="00BB2C23"/>
    <w:rsid w:val="00BB2E57"/>
    <w:rsid w:val="00BB2E7A"/>
    <w:rsid w:val="00BB3018"/>
    <w:rsid w:val="00BB31F7"/>
    <w:rsid w:val="00BB328B"/>
    <w:rsid w:val="00BB3313"/>
    <w:rsid w:val="00BB33AD"/>
    <w:rsid w:val="00BB3460"/>
    <w:rsid w:val="00BB3572"/>
    <w:rsid w:val="00BB3657"/>
    <w:rsid w:val="00BB379B"/>
    <w:rsid w:val="00BB3896"/>
    <w:rsid w:val="00BB3A1C"/>
    <w:rsid w:val="00BB3A3C"/>
    <w:rsid w:val="00BB3C47"/>
    <w:rsid w:val="00BB3CA7"/>
    <w:rsid w:val="00BB3CE7"/>
    <w:rsid w:val="00BB408D"/>
    <w:rsid w:val="00BB4109"/>
    <w:rsid w:val="00BB41DC"/>
    <w:rsid w:val="00BB43AD"/>
    <w:rsid w:val="00BB4491"/>
    <w:rsid w:val="00BB44AB"/>
    <w:rsid w:val="00BB4956"/>
    <w:rsid w:val="00BB4AEB"/>
    <w:rsid w:val="00BB4B53"/>
    <w:rsid w:val="00BB4B66"/>
    <w:rsid w:val="00BB4E8E"/>
    <w:rsid w:val="00BB4F91"/>
    <w:rsid w:val="00BB50D1"/>
    <w:rsid w:val="00BB511C"/>
    <w:rsid w:val="00BB51C1"/>
    <w:rsid w:val="00BB53C5"/>
    <w:rsid w:val="00BB541D"/>
    <w:rsid w:val="00BB5609"/>
    <w:rsid w:val="00BB571D"/>
    <w:rsid w:val="00BB5760"/>
    <w:rsid w:val="00BB5830"/>
    <w:rsid w:val="00BB5A0F"/>
    <w:rsid w:val="00BB5AE2"/>
    <w:rsid w:val="00BB5C88"/>
    <w:rsid w:val="00BB5D38"/>
    <w:rsid w:val="00BB5E29"/>
    <w:rsid w:val="00BB5F22"/>
    <w:rsid w:val="00BB6509"/>
    <w:rsid w:val="00BB678C"/>
    <w:rsid w:val="00BB67EC"/>
    <w:rsid w:val="00BB685B"/>
    <w:rsid w:val="00BB698B"/>
    <w:rsid w:val="00BB6A4C"/>
    <w:rsid w:val="00BB6B2C"/>
    <w:rsid w:val="00BB6B57"/>
    <w:rsid w:val="00BB6D9D"/>
    <w:rsid w:val="00BB6EEE"/>
    <w:rsid w:val="00BB7038"/>
    <w:rsid w:val="00BB73C0"/>
    <w:rsid w:val="00BB7620"/>
    <w:rsid w:val="00BB7680"/>
    <w:rsid w:val="00BB777D"/>
    <w:rsid w:val="00BB7846"/>
    <w:rsid w:val="00BB7B0A"/>
    <w:rsid w:val="00BB7B9C"/>
    <w:rsid w:val="00BB7C28"/>
    <w:rsid w:val="00BB7F12"/>
    <w:rsid w:val="00BC00AE"/>
    <w:rsid w:val="00BC0129"/>
    <w:rsid w:val="00BC01EE"/>
    <w:rsid w:val="00BC025D"/>
    <w:rsid w:val="00BC02FA"/>
    <w:rsid w:val="00BC0304"/>
    <w:rsid w:val="00BC037F"/>
    <w:rsid w:val="00BC040C"/>
    <w:rsid w:val="00BC0649"/>
    <w:rsid w:val="00BC06B6"/>
    <w:rsid w:val="00BC075C"/>
    <w:rsid w:val="00BC0C1F"/>
    <w:rsid w:val="00BC0D0A"/>
    <w:rsid w:val="00BC0DAD"/>
    <w:rsid w:val="00BC0F74"/>
    <w:rsid w:val="00BC101D"/>
    <w:rsid w:val="00BC1023"/>
    <w:rsid w:val="00BC12A6"/>
    <w:rsid w:val="00BC138E"/>
    <w:rsid w:val="00BC14A7"/>
    <w:rsid w:val="00BC162E"/>
    <w:rsid w:val="00BC1824"/>
    <w:rsid w:val="00BC183B"/>
    <w:rsid w:val="00BC183F"/>
    <w:rsid w:val="00BC1905"/>
    <w:rsid w:val="00BC190B"/>
    <w:rsid w:val="00BC1937"/>
    <w:rsid w:val="00BC1DBF"/>
    <w:rsid w:val="00BC1E09"/>
    <w:rsid w:val="00BC1E63"/>
    <w:rsid w:val="00BC211C"/>
    <w:rsid w:val="00BC21FD"/>
    <w:rsid w:val="00BC220B"/>
    <w:rsid w:val="00BC2302"/>
    <w:rsid w:val="00BC248C"/>
    <w:rsid w:val="00BC24CF"/>
    <w:rsid w:val="00BC2529"/>
    <w:rsid w:val="00BC2555"/>
    <w:rsid w:val="00BC259C"/>
    <w:rsid w:val="00BC25AA"/>
    <w:rsid w:val="00BC25C0"/>
    <w:rsid w:val="00BC266F"/>
    <w:rsid w:val="00BC26E7"/>
    <w:rsid w:val="00BC2720"/>
    <w:rsid w:val="00BC27C7"/>
    <w:rsid w:val="00BC28AC"/>
    <w:rsid w:val="00BC290E"/>
    <w:rsid w:val="00BC29FE"/>
    <w:rsid w:val="00BC2BFD"/>
    <w:rsid w:val="00BC2F24"/>
    <w:rsid w:val="00BC3145"/>
    <w:rsid w:val="00BC3262"/>
    <w:rsid w:val="00BC3313"/>
    <w:rsid w:val="00BC3343"/>
    <w:rsid w:val="00BC3466"/>
    <w:rsid w:val="00BC3477"/>
    <w:rsid w:val="00BC350E"/>
    <w:rsid w:val="00BC3536"/>
    <w:rsid w:val="00BC3A05"/>
    <w:rsid w:val="00BC3C73"/>
    <w:rsid w:val="00BC3D2A"/>
    <w:rsid w:val="00BC3D55"/>
    <w:rsid w:val="00BC3EED"/>
    <w:rsid w:val="00BC3F57"/>
    <w:rsid w:val="00BC3FE8"/>
    <w:rsid w:val="00BC4009"/>
    <w:rsid w:val="00BC402C"/>
    <w:rsid w:val="00BC4088"/>
    <w:rsid w:val="00BC4243"/>
    <w:rsid w:val="00BC42D3"/>
    <w:rsid w:val="00BC4480"/>
    <w:rsid w:val="00BC45EB"/>
    <w:rsid w:val="00BC4657"/>
    <w:rsid w:val="00BC47BB"/>
    <w:rsid w:val="00BC4832"/>
    <w:rsid w:val="00BC48A3"/>
    <w:rsid w:val="00BC49B5"/>
    <w:rsid w:val="00BC49EE"/>
    <w:rsid w:val="00BC4A39"/>
    <w:rsid w:val="00BC4BE1"/>
    <w:rsid w:val="00BC4D0D"/>
    <w:rsid w:val="00BC4D10"/>
    <w:rsid w:val="00BC51F5"/>
    <w:rsid w:val="00BC5311"/>
    <w:rsid w:val="00BC5384"/>
    <w:rsid w:val="00BC55D7"/>
    <w:rsid w:val="00BC5613"/>
    <w:rsid w:val="00BC566B"/>
    <w:rsid w:val="00BC56BD"/>
    <w:rsid w:val="00BC57AF"/>
    <w:rsid w:val="00BC5893"/>
    <w:rsid w:val="00BC599B"/>
    <w:rsid w:val="00BC59B9"/>
    <w:rsid w:val="00BC5AE1"/>
    <w:rsid w:val="00BC5BA0"/>
    <w:rsid w:val="00BC5E0C"/>
    <w:rsid w:val="00BC5E51"/>
    <w:rsid w:val="00BC5F82"/>
    <w:rsid w:val="00BC61A0"/>
    <w:rsid w:val="00BC61EE"/>
    <w:rsid w:val="00BC6218"/>
    <w:rsid w:val="00BC62B4"/>
    <w:rsid w:val="00BC64BF"/>
    <w:rsid w:val="00BC654C"/>
    <w:rsid w:val="00BC65CB"/>
    <w:rsid w:val="00BC6620"/>
    <w:rsid w:val="00BC6648"/>
    <w:rsid w:val="00BC6699"/>
    <w:rsid w:val="00BC68BF"/>
    <w:rsid w:val="00BC69B6"/>
    <w:rsid w:val="00BC69BC"/>
    <w:rsid w:val="00BC6B3C"/>
    <w:rsid w:val="00BC6B97"/>
    <w:rsid w:val="00BC6CED"/>
    <w:rsid w:val="00BC6E32"/>
    <w:rsid w:val="00BC6E9E"/>
    <w:rsid w:val="00BC6EA4"/>
    <w:rsid w:val="00BC7047"/>
    <w:rsid w:val="00BC7137"/>
    <w:rsid w:val="00BC72DC"/>
    <w:rsid w:val="00BC72E9"/>
    <w:rsid w:val="00BC7301"/>
    <w:rsid w:val="00BC7309"/>
    <w:rsid w:val="00BC7368"/>
    <w:rsid w:val="00BC7625"/>
    <w:rsid w:val="00BC767E"/>
    <w:rsid w:val="00BC76B1"/>
    <w:rsid w:val="00BC7805"/>
    <w:rsid w:val="00BC78BE"/>
    <w:rsid w:val="00BC7930"/>
    <w:rsid w:val="00BC79D8"/>
    <w:rsid w:val="00BC7AEF"/>
    <w:rsid w:val="00BC7C97"/>
    <w:rsid w:val="00BC7D81"/>
    <w:rsid w:val="00BD01BE"/>
    <w:rsid w:val="00BD01DF"/>
    <w:rsid w:val="00BD0421"/>
    <w:rsid w:val="00BD04BC"/>
    <w:rsid w:val="00BD0561"/>
    <w:rsid w:val="00BD05F8"/>
    <w:rsid w:val="00BD061C"/>
    <w:rsid w:val="00BD0628"/>
    <w:rsid w:val="00BD0656"/>
    <w:rsid w:val="00BD0689"/>
    <w:rsid w:val="00BD06A1"/>
    <w:rsid w:val="00BD0705"/>
    <w:rsid w:val="00BD08BC"/>
    <w:rsid w:val="00BD090D"/>
    <w:rsid w:val="00BD0B2B"/>
    <w:rsid w:val="00BD0B39"/>
    <w:rsid w:val="00BD0C6F"/>
    <w:rsid w:val="00BD0DCE"/>
    <w:rsid w:val="00BD0E82"/>
    <w:rsid w:val="00BD0EC1"/>
    <w:rsid w:val="00BD0EE2"/>
    <w:rsid w:val="00BD1049"/>
    <w:rsid w:val="00BD1063"/>
    <w:rsid w:val="00BD10F7"/>
    <w:rsid w:val="00BD114E"/>
    <w:rsid w:val="00BD11B0"/>
    <w:rsid w:val="00BD1460"/>
    <w:rsid w:val="00BD1559"/>
    <w:rsid w:val="00BD156D"/>
    <w:rsid w:val="00BD17A0"/>
    <w:rsid w:val="00BD18A5"/>
    <w:rsid w:val="00BD19A8"/>
    <w:rsid w:val="00BD1A8A"/>
    <w:rsid w:val="00BD1B3C"/>
    <w:rsid w:val="00BD1BE0"/>
    <w:rsid w:val="00BD1D05"/>
    <w:rsid w:val="00BD1E61"/>
    <w:rsid w:val="00BD1ED1"/>
    <w:rsid w:val="00BD1EDD"/>
    <w:rsid w:val="00BD1EF3"/>
    <w:rsid w:val="00BD1FCA"/>
    <w:rsid w:val="00BD1FD1"/>
    <w:rsid w:val="00BD20AF"/>
    <w:rsid w:val="00BD217A"/>
    <w:rsid w:val="00BD2274"/>
    <w:rsid w:val="00BD2429"/>
    <w:rsid w:val="00BD25DF"/>
    <w:rsid w:val="00BD2653"/>
    <w:rsid w:val="00BD2780"/>
    <w:rsid w:val="00BD27E7"/>
    <w:rsid w:val="00BD2823"/>
    <w:rsid w:val="00BD286E"/>
    <w:rsid w:val="00BD294B"/>
    <w:rsid w:val="00BD2AA2"/>
    <w:rsid w:val="00BD2BFB"/>
    <w:rsid w:val="00BD2CDF"/>
    <w:rsid w:val="00BD2DAB"/>
    <w:rsid w:val="00BD2DE9"/>
    <w:rsid w:val="00BD2EA9"/>
    <w:rsid w:val="00BD2FC5"/>
    <w:rsid w:val="00BD318E"/>
    <w:rsid w:val="00BD3367"/>
    <w:rsid w:val="00BD3496"/>
    <w:rsid w:val="00BD34AC"/>
    <w:rsid w:val="00BD34F9"/>
    <w:rsid w:val="00BD350A"/>
    <w:rsid w:val="00BD39F5"/>
    <w:rsid w:val="00BD3A04"/>
    <w:rsid w:val="00BD3AD6"/>
    <w:rsid w:val="00BD3B32"/>
    <w:rsid w:val="00BD3B5B"/>
    <w:rsid w:val="00BD3BB2"/>
    <w:rsid w:val="00BD3C20"/>
    <w:rsid w:val="00BD3D95"/>
    <w:rsid w:val="00BD3F7A"/>
    <w:rsid w:val="00BD40C8"/>
    <w:rsid w:val="00BD4146"/>
    <w:rsid w:val="00BD4197"/>
    <w:rsid w:val="00BD4461"/>
    <w:rsid w:val="00BD4697"/>
    <w:rsid w:val="00BD4CDF"/>
    <w:rsid w:val="00BD4E2E"/>
    <w:rsid w:val="00BD4FE8"/>
    <w:rsid w:val="00BD518B"/>
    <w:rsid w:val="00BD547B"/>
    <w:rsid w:val="00BD54BA"/>
    <w:rsid w:val="00BD552A"/>
    <w:rsid w:val="00BD5534"/>
    <w:rsid w:val="00BD563C"/>
    <w:rsid w:val="00BD5828"/>
    <w:rsid w:val="00BD593B"/>
    <w:rsid w:val="00BD5C96"/>
    <w:rsid w:val="00BD5E05"/>
    <w:rsid w:val="00BD5EF8"/>
    <w:rsid w:val="00BD5F20"/>
    <w:rsid w:val="00BD60FD"/>
    <w:rsid w:val="00BD617D"/>
    <w:rsid w:val="00BD61A2"/>
    <w:rsid w:val="00BD61C3"/>
    <w:rsid w:val="00BD6297"/>
    <w:rsid w:val="00BD646F"/>
    <w:rsid w:val="00BD6723"/>
    <w:rsid w:val="00BD6906"/>
    <w:rsid w:val="00BD6943"/>
    <w:rsid w:val="00BD6A6E"/>
    <w:rsid w:val="00BD6C71"/>
    <w:rsid w:val="00BD6C8E"/>
    <w:rsid w:val="00BD6D1D"/>
    <w:rsid w:val="00BD6D3B"/>
    <w:rsid w:val="00BD6D60"/>
    <w:rsid w:val="00BD6F23"/>
    <w:rsid w:val="00BD7079"/>
    <w:rsid w:val="00BD7116"/>
    <w:rsid w:val="00BD720A"/>
    <w:rsid w:val="00BD75EF"/>
    <w:rsid w:val="00BD761C"/>
    <w:rsid w:val="00BD792F"/>
    <w:rsid w:val="00BD7B08"/>
    <w:rsid w:val="00BD7BD6"/>
    <w:rsid w:val="00BD7E7A"/>
    <w:rsid w:val="00BE007B"/>
    <w:rsid w:val="00BE00BD"/>
    <w:rsid w:val="00BE01DC"/>
    <w:rsid w:val="00BE01FE"/>
    <w:rsid w:val="00BE0295"/>
    <w:rsid w:val="00BE0363"/>
    <w:rsid w:val="00BE0723"/>
    <w:rsid w:val="00BE074A"/>
    <w:rsid w:val="00BE0788"/>
    <w:rsid w:val="00BE089C"/>
    <w:rsid w:val="00BE0993"/>
    <w:rsid w:val="00BE0AF7"/>
    <w:rsid w:val="00BE0BAD"/>
    <w:rsid w:val="00BE0F1C"/>
    <w:rsid w:val="00BE0F27"/>
    <w:rsid w:val="00BE115C"/>
    <w:rsid w:val="00BE1232"/>
    <w:rsid w:val="00BE1256"/>
    <w:rsid w:val="00BE139C"/>
    <w:rsid w:val="00BE143C"/>
    <w:rsid w:val="00BE15E8"/>
    <w:rsid w:val="00BE17B3"/>
    <w:rsid w:val="00BE1881"/>
    <w:rsid w:val="00BE198B"/>
    <w:rsid w:val="00BE1B10"/>
    <w:rsid w:val="00BE1D4D"/>
    <w:rsid w:val="00BE1F25"/>
    <w:rsid w:val="00BE1F97"/>
    <w:rsid w:val="00BE1FBA"/>
    <w:rsid w:val="00BE20C7"/>
    <w:rsid w:val="00BE2207"/>
    <w:rsid w:val="00BE2261"/>
    <w:rsid w:val="00BE24A5"/>
    <w:rsid w:val="00BE2683"/>
    <w:rsid w:val="00BE26B5"/>
    <w:rsid w:val="00BE2825"/>
    <w:rsid w:val="00BE2944"/>
    <w:rsid w:val="00BE29AC"/>
    <w:rsid w:val="00BE2A66"/>
    <w:rsid w:val="00BE2B75"/>
    <w:rsid w:val="00BE2C93"/>
    <w:rsid w:val="00BE2D63"/>
    <w:rsid w:val="00BE2E32"/>
    <w:rsid w:val="00BE2FBC"/>
    <w:rsid w:val="00BE30BA"/>
    <w:rsid w:val="00BE311D"/>
    <w:rsid w:val="00BE3301"/>
    <w:rsid w:val="00BE3356"/>
    <w:rsid w:val="00BE340D"/>
    <w:rsid w:val="00BE3464"/>
    <w:rsid w:val="00BE34D5"/>
    <w:rsid w:val="00BE35B3"/>
    <w:rsid w:val="00BE38CF"/>
    <w:rsid w:val="00BE3917"/>
    <w:rsid w:val="00BE3AB7"/>
    <w:rsid w:val="00BE3AC8"/>
    <w:rsid w:val="00BE3B3B"/>
    <w:rsid w:val="00BE3BB1"/>
    <w:rsid w:val="00BE3DA5"/>
    <w:rsid w:val="00BE3EFC"/>
    <w:rsid w:val="00BE417F"/>
    <w:rsid w:val="00BE41B0"/>
    <w:rsid w:val="00BE4201"/>
    <w:rsid w:val="00BE42C6"/>
    <w:rsid w:val="00BE4507"/>
    <w:rsid w:val="00BE481B"/>
    <w:rsid w:val="00BE4B0B"/>
    <w:rsid w:val="00BE4B2C"/>
    <w:rsid w:val="00BE4BEA"/>
    <w:rsid w:val="00BE4C68"/>
    <w:rsid w:val="00BE4FEF"/>
    <w:rsid w:val="00BE506B"/>
    <w:rsid w:val="00BE5078"/>
    <w:rsid w:val="00BE5099"/>
    <w:rsid w:val="00BE518D"/>
    <w:rsid w:val="00BE5339"/>
    <w:rsid w:val="00BE53C4"/>
    <w:rsid w:val="00BE5536"/>
    <w:rsid w:val="00BE55C4"/>
    <w:rsid w:val="00BE55F8"/>
    <w:rsid w:val="00BE5631"/>
    <w:rsid w:val="00BE5760"/>
    <w:rsid w:val="00BE579B"/>
    <w:rsid w:val="00BE57C4"/>
    <w:rsid w:val="00BE581C"/>
    <w:rsid w:val="00BE5AC5"/>
    <w:rsid w:val="00BE5ADB"/>
    <w:rsid w:val="00BE5C77"/>
    <w:rsid w:val="00BE5CEB"/>
    <w:rsid w:val="00BE5DBE"/>
    <w:rsid w:val="00BE611E"/>
    <w:rsid w:val="00BE62A8"/>
    <w:rsid w:val="00BE63E5"/>
    <w:rsid w:val="00BE63FF"/>
    <w:rsid w:val="00BE645A"/>
    <w:rsid w:val="00BE64AE"/>
    <w:rsid w:val="00BE65E9"/>
    <w:rsid w:val="00BE6691"/>
    <w:rsid w:val="00BE6891"/>
    <w:rsid w:val="00BE68B1"/>
    <w:rsid w:val="00BE6937"/>
    <w:rsid w:val="00BE6B45"/>
    <w:rsid w:val="00BE6BB1"/>
    <w:rsid w:val="00BE6EC6"/>
    <w:rsid w:val="00BE6F86"/>
    <w:rsid w:val="00BE718B"/>
    <w:rsid w:val="00BE71D3"/>
    <w:rsid w:val="00BE7229"/>
    <w:rsid w:val="00BE72E6"/>
    <w:rsid w:val="00BE72EA"/>
    <w:rsid w:val="00BE749D"/>
    <w:rsid w:val="00BE754E"/>
    <w:rsid w:val="00BE75B2"/>
    <w:rsid w:val="00BE777E"/>
    <w:rsid w:val="00BE7899"/>
    <w:rsid w:val="00BE7934"/>
    <w:rsid w:val="00BE799D"/>
    <w:rsid w:val="00BE7B01"/>
    <w:rsid w:val="00BE7B05"/>
    <w:rsid w:val="00BE7B58"/>
    <w:rsid w:val="00BE7C8A"/>
    <w:rsid w:val="00BE7FD1"/>
    <w:rsid w:val="00BEE96E"/>
    <w:rsid w:val="00BF0517"/>
    <w:rsid w:val="00BF057E"/>
    <w:rsid w:val="00BF06B5"/>
    <w:rsid w:val="00BF074F"/>
    <w:rsid w:val="00BF078F"/>
    <w:rsid w:val="00BF081C"/>
    <w:rsid w:val="00BF0953"/>
    <w:rsid w:val="00BF0A7F"/>
    <w:rsid w:val="00BF0B89"/>
    <w:rsid w:val="00BF0E88"/>
    <w:rsid w:val="00BF0EEB"/>
    <w:rsid w:val="00BF101B"/>
    <w:rsid w:val="00BF1209"/>
    <w:rsid w:val="00BF123A"/>
    <w:rsid w:val="00BF1450"/>
    <w:rsid w:val="00BF14AF"/>
    <w:rsid w:val="00BF158B"/>
    <w:rsid w:val="00BF1701"/>
    <w:rsid w:val="00BF1780"/>
    <w:rsid w:val="00BF1803"/>
    <w:rsid w:val="00BF1865"/>
    <w:rsid w:val="00BF1928"/>
    <w:rsid w:val="00BF1983"/>
    <w:rsid w:val="00BF19AF"/>
    <w:rsid w:val="00BF1AD6"/>
    <w:rsid w:val="00BF1B09"/>
    <w:rsid w:val="00BF1BD3"/>
    <w:rsid w:val="00BF1CE1"/>
    <w:rsid w:val="00BF1D5F"/>
    <w:rsid w:val="00BF1E28"/>
    <w:rsid w:val="00BF1FE9"/>
    <w:rsid w:val="00BF221F"/>
    <w:rsid w:val="00BF22F1"/>
    <w:rsid w:val="00BF23DA"/>
    <w:rsid w:val="00BF242B"/>
    <w:rsid w:val="00BF252F"/>
    <w:rsid w:val="00BF257C"/>
    <w:rsid w:val="00BF25DE"/>
    <w:rsid w:val="00BF28B9"/>
    <w:rsid w:val="00BF28F9"/>
    <w:rsid w:val="00BF29EB"/>
    <w:rsid w:val="00BF2AAD"/>
    <w:rsid w:val="00BF2B36"/>
    <w:rsid w:val="00BF2BED"/>
    <w:rsid w:val="00BF2D04"/>
    <w:rsid w:val="00BF2D48"/>
    <w:rsid w:val="00BF2D6F"/>
    <w:rsid w:val="00BF2E66"/>
    <w:rsid w:val="00BF2E87"/>
    <w:rsid w:val="00BF2EE2"/>
    <w:rsid w:val="00BF31D8"/>
    <w:rsid w:val="00BF358B"/>
    <w:rsid w:val="00BF36A3"/>
    <w:rsid w:val="00BF3879"/>
    <w:rsid w:val="00BF3937"/>
    <w:rsid w:val="00BF3A3D"/>
    <w:rsid w:val="00BF3AE5"/>
    <w:rsid w:val="00BF3CCA"/>
    <w:rsid w:val="00BF3DB0"/>
    <w:rsid w:val="00BF3DC6"/>
    <w:rsid w:val="00BF3E9C"/>
    <w:rsid w:val="00BF41D3"/>
    <w:rsid w:val="00BF431B"/>
    <w:rsid w:val="00BF438D"/>
    <w:rsid w:val="00BF4407"/>
    <w:rsid w:val="00BF445B"/>
    <w:rsid w:val="00BF4496"/>
    <w:rsid w:val="00BF49DC"/>
    <w:rsid w:val="00BF4B55"/>
    <w:rsid w:val="00BF4C72"/>
    <w:rsid w:val="00BF4C80"/>
    <w:rsid w:val="00BF4FAD"/>
    <w:rsid w:val="00BF4FCC"/>
    <w:rsid w:val="00BF4FE5"/>
    <w:rsid w:val="00BF5092"/>
    <w:rsid w:val="00BF50AA"/>
    <w:rsid w:val="00BF510C"/>
    <w:rsid w:val="00BF52BD"/>
    <w:rsid w:val="00BF53B4"/>
    <w:rsid w:val="00BF53C1"/>
    <w:rsid w:val="00BF53DB"/>
    <w:rsid w:val="00BF5514"/>
    <w:rsid w:val="00BF56CC"/>
    <w:rsid w:val="00BF5B87"/>
    <w:rsid w:val="00BF5C62"/>
    <w:rsid w:val="00BF5D07"/>
    <w:rsid w:val="00BF5D16"/>
    <w:rsid w:val="00BF5DAB"/>
    <w:rsid w:val="00BF5EBB"/>
    <w:rsid w:val="00BF5FE1"/>
    <w:rsid w:val="00BF605E"/>
    <w:rsid w:val="00BF63D2"/>
    <w:rsid w:val="00BF6402"/>
    <w:rsid w:val="00BF651F"/>
    <w:rsid w:val="00BF65E7"/>
    <w:rsid w:val="00BF6668"/>
    <w:rsid w:val="00BF670C"/>
    <w:rsid w:val="00BF6812"/>
    <w:rsid w:val="00BF6853"/>
    <w:rsid w:val="00BF697E"/>
    <w:rsid w:val="00BF69B7"/>
    <w:rsid w:val="00BF69E2"/>
    <w:rsid w:val="00BF6B5C"/>
    <w:rsid w:val="00BF6C9A"/>
    <w:rsid w:val="00BF6CF1"/>
    <w:rsid w:val="00BF6D14"/>
    <w:rsid w:val="00BF6E55"/>
    <w:rsid w:val="00BF6EE8"/>
    <w:rsid w:val="00BF6F9A"/>
    <w:rsid w:val="00BF749B"/>
    <w:rsid w:val="00BF75B3"/>
    <w:rsid w:val="00BF7627"/>
    <w:rsid w:val="00BF7843"/>
    <w:rsid w:val="00BF784C"/>
    <w:rsid w:val="00BF7916"/>
    <w:rsid w:val="00BF7A39"/>
    <w:rsid w:val="00BF7B48"/>
    <w:rsid w:val="00BF7B4D"/>
    <w:rsid w:val="00BF7C9E"/>
    <w:rsid w:val="00BF7D07"/>
    <w:rsid w:val="00BF7EDF"/>
    <w:rsid w:val="00BF7FAA"/>
    <w:rsid w:val="00BF7FE7"/>
    <w:rsid w:val="00C000B5"/>
    <w:rsid w:val="00C00130"/>
    <w:rsid w:val="00C00139"/>
    <w:rsid w:val="00C00141"/>
    <w:rsid w:val="00C0019A"/>
    <w:rsid w:val="00C0033F"/>
    <w:rsid w:val="00C00360"/>
    <w:rsid w:val="00C00372"/>
    <w:rsid w:val="00C0041B"/>
    <w:rsid w:val="00C00437"/>
    <w:rsid w:val="00C005BB"/>
    <w:rsid w:val="00C00978"/>
    <w:rsid w:val="00C00A6F"/>
    <w:rsid w:val="00C00B75"/>
    <w:rsid w:val="00C00C6F"/>
    <w:rsid w:val="00C00D18"/>
    <w:rsid w:val="00C00FA7"/>
    <w:rsid w:val="00C00FC0"/>
    <w:rsid w:val="00C00FD2"/>
    <w:rsid w:val="00C01326"/>
    <w:rsid w:val="00C013A9"/>
    <w:rsid w:val="00C015B2"/>
    <w:rsid w:val="00C01610"/>
    <w:rsid w:val="00C019A5"/>
    <w:rsid w:val="00C019F8"/>
    <w:rsid w:val="00C01A5A"/>
    <w:rsid w:val="00C01A73"/>
    <w:rsid w:val="00C01B25"/>
    <w:rsid w:val="00C01C10"/>
    <w:rsid w:val="00C01C58"/>
    <w:rsid w:val="00C01EC0"/>
    <w:rsid w:val="00C01F38"/>
    <w:rsid w:val="00C01F9D"/>
    <w:rsid w:val="00C02045"/>
    <w:rsid w:val="00C02161"/>
    <w:rsid w:val="00C02179"/>
    <w:rsid w:val="00C0229D"/>
    <w:rsid w:val="00C02322"/>
    <w:rsid w:val="00C0238B"/>
    <w:rsid w:val="00C0247E"/>
    <w:rsid w:val="00C024E5"/>
    <w:rsid w:val="00C02602"/>
    <w:rsid w:val="00C02605"/>
    <w:rsid w:val="00C026B3"/>
    <w:rsid w:val="00C026E9"/>
    <w:rsid w:val="00C027F5"/>
    <w:rsid w:val="00C028EF"/>
    <w:rsid w:val="00C02B1B"/>
    <w:rsid w:val="00C02B35"/>
    <w:rsid w:val="00C02B44"/>
    <w:rsid w:val="00C02F71"/>
    <w:rsid w:val="00C02F75"/>
    <w:rsid w:val="00C031A7"/>
    <w:rsid w:val="00C031B1"/>
    <w:rsid w:val="00C031CF"/>
    <w:rsid w:val="00C0331B"/>
    <w:rsid w:val="00C033EA"/>
    <w:rsid w:val="00C03511"/>
    <w:rsid w:val="00C0351A"/>
    <w:rsid w:val="00C03725"/>
    <w:rsid w:val="00C0385B"/>
    <w:rsid w:val="00C03A26"/>
    <w:rsid w:val="00C03A7C"/>
    <w:rsid w:val="00C03A97"/>
    <w:rsid w:val="00C03AB6"/>
    <w:rsid w:val="00C03C0B"/>
    <w:rsid w:val="00C03DED"/>
    <w:rsid w:val="00C03DF9"/>
    <w:rsid w:val="00C03E5C"/>
    <w:rsid w:val="00C0402E"/>
    <w:rsid w:val="00C0415F"/>
    <w:rsid w:val="00C04212"/>
    <w:rsid w:val="00C04401"/>
    <w:rsid w:val="00C045B4"/>
    <w:rsid w:val="00C04654"/>
    <w:rsid w:val="00C04C32"/>
    <w:rsid w:val="00C04DB8"/>
    <w:rsid w:val="00C04E85"/>
    <w:rsid w:val="00C0506C"/>
    <w:rsid w:val="00C05135"/>
    <w:rsid w:val="00C05345"/>
    <w:rsid w:val="00C053E9"/>
    <w:rsid w:val="00C055BE"/>
    <w:rsid w:val="00C055E8"/>
    <w:rsid w:val="00C056EB"/>
    <w:rsid w:val="00C05771"/>
    <w:rsid w:val="00C057CB"/>
    <w:rsid w:val="00C058BE"/>
    <w:rsid w:val="00C05A26"/>
    <w:rsid w:val="00C05F69"/>
    <w:rsid w:val="00C05FF1"/>
    <w:rsid w:val="00C062C9"/>
    <w:rsid w:val="00C06378"/>
    <w:rsid w:val="00C06589"/>
    <w:rsid w:val="00C0673E"/>
    <w:rsid w:val="00C06835"/>
    <w:rsid w:val="00C068B6"/>
    <w:rsid w:val="00C06974"/>
    <w:rsid w:val="00C0699E"/>
    <w:rsid w:val="00C06AB0"/>
    <w:rsid w:val="00C06B62"/>
    <w:rsid w:val="00C06B92"/>
    <w:rsid w:val="00C06C41"/>
    <w:rsid w:val="00C06DA5"/>
    <w:rsid w:val="00C06EAC"/>
    <w:rsid w:val="00C06EFE"/>
    <w:rsid w:val="00C06F7C"/>
    <w:rsid w:val="00C071F2"/>
    <w:rsid w:val="00C0730F"/>
    <w:rsid w:val="00C073F2"/>
    <w:rsid w:val="00C077C8"/>
    <w:rsid w:val="00C078AE"/>
    <w:rsid w:val="00C07933"/>
    <w:rsid w:val="00C07A96"/>
    <w:rsid w:val="00C07CD3"/>
    <w:rsid w:val="00C07DB4"/>
    <w:rsid w:val="00C07EE6"/>
    <w:rsid w:val="00C07F01"/>
    <w:rsid w:val="00C07F68"/>
    <w:rsid w:val="00C0F534"/>
    <w:rsid w:val="00C1003E"/>
    <w:rsid w:val="00C100C2"/>
    <w:rsid w:val="00C101FF"/>
    <w:rsid w:val="00C1029A"/>
    <w:rsid w:val="00C103EC"/>
    <w:rsid w:val="00C10416"/>
    <w:rsid w:val="00C104BA"/>
    <w:rsid w:val="00C104D1"/>
    <w:rsid w:val="00C104F6"/>
    <w:rsid w:val="00C10773"/>
    <w:rsid w:val="00C1084F"/>
    <w:rsid w:val="00C10A1D"/>
    <w:rsid w:val="00C10A65"/>
    <w:rsid w:val="00C10BD5"/>
    <w:rsid w:val="00C10C54"/>
    <w:rsid w:val="00C10DC6"/>
    <w:rsid w:val="00C11073"/>
    <w:rsid w:val="00C110F1"/>
    <w:rsid w:val="00C1124D"/>
    <w:rsid w:val="00C1142F"/>
    <w:rsid w:val="00C118D8"/>
    <w:rsid w:val="00C11A7A"/>
    <w:rsid w:val="00C11B0B"/>
    <w:rsid w:val="00C11B83"/>
    <w:rsid w:val="00C11B8B"/>
    <w:rsid w:val="00C11D1B"/>
    <w:rsid w:val="00C11E44"/>
    <w:rsid w:val="00C11EFA"/>
    <w:rsid w:val="00C11F17"/>
    <w:rsid w:val="00C11F51"/>
    <w:rsid w:val="00C12101"/>
    <w:rsid w:val="00C121FE"/>
    <w:rsid w:val="00C12480"/>
    <w:rsid w:val="00C124EE"/>
    <w:rsid w:val="00C1259B"/>
    <w:rsid w:val="00C12653"/>
    <w:rsid w:val="00C1286E"/>
    <w:rsid w:val="00C12AFE"/>
    <w:rsid w:val="00C12CDD"/>
    <w:rsid w:val="00C12D3F"/>
    <w:rsid w:val="00C12DE4"/>
    <w:rsid w:val="00C12E3B"/>
    <w:rsid w:val="00C12EB9"/>
    <w:rsid w:val="00C12F43"/>
    <w:rsid w:val="00C12F56"/>
    <w:rsid w:val="00C12F73"/>
    <w:rsid w:val="00C12FAF"/>
    <w:rsid w:val="00C12FBF"/>
    <w:rsid w:val="00C13132"/>
    <w:rsid w:val="00C131ED"/>
    <w:rsid w:val="00C13376"/>
    <w:rsid w:val="00C13384"/>
    <w:rsid w:val="00C133AB"/>
    <w:rsid w:val="00C13690"/>
    <w:rsid w:val="00C137EF"/>
    <w:rsid w:val="00C13DED"/>
    <w:rsid w:val="00C13EAC"/>
    <w:rsid w:val="00C143C9"/>
    <w:rsid w:val="00C1452C"/>
    <w:rsid w:val="00C1458E"/>
    <w:rsid w:val="00C146C1"/>
    <w:rsid w:val="00C146D2"/>
    <w:rsid w:val="00C149EE"/>
    <w:rsid w:val="00C14A81"/>
    <w:rsid w:val="00C14B81"/>
    <w:rsid w:val="00C14C67"/>
    <w:rsid w:val="00C14D1E"/>
    <w:rsid w:val="00C14E7B"/>
    <w:rsid w:val="00C14EA1"/>
    <w:rsid w:val="00C14FA9"/>
    <w:rsid w:val="00C14FC2"/>
    <w:rsid w:val="00C15159"/>
    <w:rsid w:val="00C152C4"/>
    <w:rsid w:val="00C15352"/>
    <w:rsid w:val="00C153E4"/>
    <w:rsid w:val="00C15580"/>
    <w:rsid w:val="00C155D9"/>
    <w:rsid w:val="00C15662"/>
    <w:rsid w:val="00C15758"/>
    <w:rsid w:val="00C15863"/>
    <w:rsid w:val="00C158D0"/>
    <w:rsid w:val="00C158E9"/>
    <w:rsid w:val="00C15A6E"/>
    <w:rsid w:val="00C15AF4"/>
    <w:rsid w:val="00C15B70"/>
    <w:rsid w:val="00C15C0F"/>
    <w:rsid w:val="00C15CF6"/>
    <w:rsid w:val="00C15D6B"/>
    <w:rsid w:val="00C15E79"/>
    <w:rsid w:val="00C1658A"/>
    <w:rsid w:val="00C16591"/>
    <w:rsid w:val="00C16714"/>
    <w:rsid w:val="00C16915"/>
    <w:rsid w:val="00C1697F"/>
    <w:rsid w:val="00C169FA"/>
    <w:rsid w:val="00C16C88"/>
    <w:rsid w:val="00C16E56"/>
    <w:rsid w:val="00C16E62"/>
    <w:rsid w:val="00C16F09"/>
    <w:rsid w:val="00C16F63"/>
    <w:rsid w:val="00C17134"/>
    <w:rsid w:val="00C171BB"/>
    <w:rsid w:val="00C171F1"/>
    <w:rsid w:val="00C17525"/>
    <w:rsid w:val="00C1755D"/>
    <w:rsid w:val="00C175EE"/>
    <w:rsid w:val="00C17864"/>
    <w:rsid w:val="00C178AE"/>
    <w:rsid w:val="00C17974"/>
    <w:rsid w:val="00C17A0D"/>
    <w:rsid w:val="00C17A91"/>
    <w:rsid w:val="00C17AA1"/>
    <w:rsid w:val="00C17BC3"/>
    <w:rsid w:val="00C17BC7"/>
    <w:rsid w:val="00C17E92"/>
    <w:rsid w:val="00C17F14"/>
    <w:rsid w:val="00C17FB7"/>
    <w:rsid w:val="00C1965A"/>
    <w:rsid w:val="00C20021"/>
    <w:rsid w:val="00C201BA"/>
    <w:rsid w:val="00C20509"/>
    <w:rsid w:val="00C20565"/>
    <w:rsid w:val="00C20850"/>
    <w:rsid w:val="00C20BF0"/>
    <w:rsid w:val="00C20DCB"/>
    <w:rsid w:val="00C20FA7"/>
    <w:rsid w:val="00C21042"/>
    <w:rsid w:val="00C21237"/>
    <w:rsid w:val="00C212F4"/>
    <w:rsid w:val="00C21311"/>
    <w:rsid w:val="00C213C7"/>
    <w:rsid w:val="00C215CB"/>
    <w:rsid w:val="00C21684"/>
    <w:rsid w:val="00C21820"/>
    <w:rsid w:val="00C2199B"/>
    <w:rsid w:val="00C21BAD"/>
    <w:rsid w:val="00C21BDF"/>
    <w:rsid w:val="00C21D86"/>
    <w:rsid w:val="00C21E4B"/>
    <w:rsid w:val="00C21F7D"/>
    <w:rsid w:val="00C21FBB"/>
    <w:rsid w:val="00C21FCD"/>
    <w:rsid w:val="00C222E6"/>
    <w:rsid w:val="00C224C5"/>
    <w:rsid w:val="00C224FA"/>
    <w:rsid w:val="00C22716"/>
    <w:rsid w:val="00C2282E"/>
    <w:rsid w:val="00C2288F"/>
    <w:rsid w:val="00C22A01"/>
    <w:rsid w:val="00C22E3A"/>
    <w:rsid w:val="00C22E70"/>
    <w:rsid w:val="00C2306F"/>
    <w:rsid w:val="00C2314E"/>
    <w:rsid w:val="00C23177"/>
    <w:rsid w:val="00C231A1"/>
    <w:rsid w:val="00C231C7"/>
    <w:rsid w:val="00C23216"/>
    <w:rsid w:val="00C2329D"/>
    <w:rsid w:val="00C233AE"/>
    <w:rsid w:val="00C2351E"/>
    <w:rsid w:val="00C23610"/>
    <w:rsid w:val="00C236E4"/>
    <w:rsid w:val="00C23878"/>
    <w:rsid w:val="00C2393B"/>
    <w:rsid w:val="00C2399B"/>
    <w:rsid w:val="00C23B63"/>
    <w:rsid w:val="00C23CF2"/>
    <w:rsid w:val="00C23EA8"/>
    <w:rsid w:val="00C23EC9"/>
    <w:rsid w:val="00C240AE"/>
    <w:rsid w:val="00C241AF"/>
    <w:rsid w:val="00C241F8"/>
    <w:rsid w:val="00C242F0"/>
    <w:rsid w:val="00C244EE"/>
    <w:rsid w:val="00C24546"/>
    <w:rsid w:val="00C24812"/>
    <w:rsid w:val="00C24836"/>
    <w:rsid w:val="00C248B8"/>
    <w:rsid w:val="00C24B1F"/>
    <w:rsid w:val="00C24BC0"/>
    <w:rsid w:val="00C24BEF"/>
    <w:rsid w:val="00C24D25"/>
    <w:rsid w:val="00C24D76"/>
    <w:rsid w:val="00C24E30"/>
    <w:rsid w:val="00C24E71"/>
    <w:rsid w:val="00C24E9E"/>
    <w:rsid w:val="00C2506F"/>
    <w:rsid w:val="00C250A0"/>
    <w:rsid w:val="00C25286"/>
    <w:rsid w:val="00C252D8"/>
    <w:rsid w:val="00C253BE"/>
    <w:rsid w:val="00C2540C"/>
    <w:rsid w:val="00C2558C"/>
    <w:rsid w:val="00C25851"/>
    <w:rsid w:val="00C25AAF"/>
    <w:rsid w:val="00C25C25"/>
    <w:rsid w:val="00C25F22"/>
    <w:rsid w:val="00C25F94"/>
    <w:rsid w:val="00C25FFC"/>
    <w:rsid w:val="00C260F2"/>
    <w:rsid w:val="00C26130"/>
    <w:rsid w:val="00C26147"/>
    <w:rsid w:val="00C26401"/>
    <w:rsid w:val="00C264C0"/>
    <w:rsid w:val="00C264C5"/>
    <w:rsid w:val="00C2650C"/>
    <w:rsid w:val="00C2657E"/>
    <w:rsid w:val="00C26610"/>
    <w:rsid w:val="00C267D7"/>
    <w:rsid w:val="00C267E4"/>
    <w:rsid w:val="00C267E8"/>
    <w:rsid w:val="00C268C5"/>
    <w:rsid w:val="00C26AB4"/>
    <w:rsid w:val="00C26B8B"/>
    <w:rsid w:val="00C26C3C"/>
    <w:rsid w:val="00C2702F"/>
    <w:rsid w:val="00C270C4"/>
    <w:rsid w:val="00C27183"/>
    <w:rsid w:val="00C271FF"/>
    <w:rsid w:val="00C2722C"/>
    <w:rsid w:val="00C2727C"/>
    <w:rsid w:val="00C273B1"/>
    <w:rsid w:val="00C27544"/>
    <w:rsid w:val="00C27641"/>
    <w:rsid w:val="00C2764F"/>
    <w:rsid w:val="00C27759"/>
    <w:rsid w:val="00C2777E"/>
    <w:rsid w:val="00C278D3"/>
    <w:rsid w:val="00C2793E"/>
    <w:rsid w:val="00C27996"/>
    <w:rsid w:val="00C27A2D"/>
    <w:rsid w:val="00C27B46"/>
    <w:rsid w:val="00C27BFA"/>
    <w:rsid w:val="00C27CA3"/>
    <w:rsid w:val="00C27D6A"/>
    <w:rsid w:val="00C27DE5"/>
    <w:rsid w:val="00C27F88"/>
    <w:rsid w:val="00C3007A"/>
    <w:rsid w:val="00C30097"/>
    <w:rsid w:val="00C301E9"/>
    <w:rsid w:val="00C302FA"/>
    <w:rsid w:val="00C30435"/>
    <w:rsid w:val="00C3045C"/>
    <w:rsid w:val="00C30600"/>
    <w:rsid w:val="00C3066B"/>
    <w:rsid w:val="00C3072D"/>
    <w:rsid w:val="00C3074E"/>
    <w:rsid w:val="00C30783"/>
    <w:rsid w:val="00C309DF"/>
    <w:rsid w:val="00C30A8F"/>
    <w:rsid w:val="00C30DB5"/>
    <w:rsid w:val="00C30F3F"/>
    <w:rsid w:val="00C310C2"/>
    <w:rsid w:val="00C31390"/>
    <w:rsid w:val="00C3148A"/>
    <w:rsid w:val="00C3154B"/>
    <w:rsid w:val="00C31626"/>
    <w:rsid w:val="00C31725"/>
    <w:rsid w:val="00C31787"/>
    <w:rsid w:val="00C31807"/>
    <w:rsid w:val="00C319E2"/>
    <w:rsid w:val="00C319FB"/>
    <w:rsid w:val="00C31A98"/>
    <w:rsid w:val="00C31AB3"/>
    <w:rsid w:val="00C31B73"/>
    <w:rsid w:val="00C31BE7"/>
    <w:rsid w:val="00C31C24"/>
    <w:rsid w:val="00C31C41"/>
    <w:rsid w:val="00C31D60"/>
    <w:rsid w:val="00C31E30"/>
    <w:rsid w:val="00C31E7A"/>
    <w:rsid w:val="00C31EF1"/>
    <w:rsid w:val="00C32043"/>
    <w:rsid w:val="00C32430"/>
    <w:rsid w:val="00C32646"/>
    <w:rsid w:val="00C32660"/>
    <w:rsid w:val="00C326E2"/>
    <w:rsid w:val="00C32776"/>
    <w:rsid w:val="00C327B1"/>
    <w:rsid w:val="00C3284E"/>
    <w:rsid w:val="00C3296C"/>
    <w:rsid w:val="00C32A54"/>
    <w:rsid w:val="00C32A73"/>
    <w:rsid w:val="00C32AE2"/>
    <w:rsid w:val="00C32FF0"/>
    <w:rsid w:val="00C33023"/>
    <w:rsid w:val="00C33157"/>
    <w:rsid w:val="00C332B8"/>
    <w:rsid w:val="00C3336D"/>
    <w:rsid w:val="00C333FD"/>
    <w:rsid w:val="00C334C9"/>
    <w:rsid w:val="00C33620"/>
    <w:rsid w:val="00C3362C"/>
    <w:rsid w:val="00C33649"/>
    <w:rsid w:val="00C336B4"/>
    <w:rsid w:val="00C33951"/>
    <w:rsid w:val="00C339F2"/>
    <w:rsid w:val="00C33A6A"/>
    <w:rsid w:val="00C33AFE"/>
    <w:rsid w:val="00C33BF9"/>
    <w:rsid w:val="00C33C3E"/>
    <w:rsid w:val="00C33D4A"/>
    <w:rsid w:val="00C33EE5"/>
    <w:rsid w:val="00C33FD3"/>
    <w:rsid w:val="00C34026"/>
    <w:rsid w:val="00C3404F"/>
    <w:rsid w:val="00C34052"/>
    <w:rsid w:val="00C34073"/>
    <w:rsid w:val="00C340C6"/>
    <w:rsid w:val="00C3428A"/>
    <w:rsid w:val="00C34441"/>
    <w:rsid w:val="00C34495"/>
    <w:rsid w:val="00C344A9"/>
    <w:rsid w:val="00C345A3"/>
    <w:rsid w:val="00C345B8"/>
    <w:rsid w:val="00C3466A"/>
    <w:rsid w:val="00C347D0"/>
    <w:rsid w:val="00C347DD"/>
    <w:rsid w:val="00C34817"/>
    <w:rsid w:val="00C348E4"/>
    <w:rsid w:val="00C3494A"/>
    <w:rsid w:val="00C34954"/>
    <w:rsid w:val="00C34E7A"/>
    <w:rsid w:val="00C34ED7"/>
    <w:rsid w:val="00C34FA4"/>
    <w:rsid w:val="00C3501F"/>
    <w:rsid w:val="00C35058"/>
    <w:rsid w:val="00C350CD"/>
    <w:rsid w:val="00C353D6"/>
    <w:rsid w:val="00C35409"/>
    <w:rsid w:val="00C354E4"/>
    <w:rsid w:val="00C35513"/>
    <w:rsid w:val="00C356BB"/>
    <w:rsid w:val="00C35743"/>
    <w:rsid w:val="00C35962"/>
    <w:rsid w:val="00C35EBE"/>
    <w:rsid w:val="00C36199"/>
    <w:rsid w:val="00C3640B"/>
    <w:rsid w:val="00C364F8"/>
    <w:rsid w:val="00C36549"/>
    <w:rsid w:val="00C36666"/>
    <w:rsid w:val="00C366AE"/>
    <w:rsid w:val="00C366DD"/>
    <w:rsid w:val="00C368D3"/>
    <w:rsid w:val="00C36AB8"/>
    <w:rsid w:val="00C36AD0"/>
    <w:rsid w:val="00C36D5C"/>
    <w:rsid w:val="00C36EDB"/>
    <w:rsid w:val="00C36F7D"/>
    <w:rsid w:val="00C36F9E"/>
    <w:rsid w:val="00C370BA"/>
    <w:rsid w:val="00C37164"/>
    <w:rsid w:val="00C37317"/>
    <w:rsid w:val="00C375FA"/>
    <w:rsid w:val="00C3762F"/>
    <w:rsid w:val="00C378DA"/>
    <w:rsid w:val="00C37907"/>
    <w:rsid w:val="00C379E3"/>
    <w:rsid w:val="00C37A08"/>
    <w:rsid w:val="00C37A21"/>
    <w:rsid w:val="00C37A36"/>
    <w:rsid w:val="00C37B09"/>
    <w:rsid w:val="00C37B29"/>
    <w:rsid w:val="00C37B31"/>
    <w:rsid w:val="00C37B7B"/>
    <w:rsid w:val="00C37BD9"/>
    <w:rsid w:val="00C37EAE"/>
    <w:rsid w:val="00C401C4"/>
    <w:rsid w:val="00C401C9"/>
    <w:rsid w:val="00C406D6"/>
    <w:rsid w:val="00C40840"/>
    <w:rsid w:val="00C4094B"/>
    <w:rsid w:val="00C40C46"/>
    <w:rsid w:val="00C40E67"/>
    <w:rsid w:val="00C40F69"/>
    <w:rsid w:val="00C4112C"/>
    <w:rsid w:val="00C41168"/>
    <w:rsid w:val="00C411C7"/>
    <w:rsid w:val="00C41282"/>
    <w:rsid w:val="00C412BE"/>
    <w:rsid w:val="00C4135E"/>
    <w:rsid w:val="00C413D5"/>
    <w:rsid w:val="00C41519"/>
    <w:rsid w:val="00C4152E"/>
    <w:rsid w:val="00C41534"/>
    <w:rsid w:val="00C41983"/>
    <w:rsid w:val="00C41FF6"/>
    <w:rsid w:val="00C42011"/>
    <w:rsid w:val="00C4223F"/>
    <w:rsid w:val="00C422BF"/>
    <w:rsid w:val="00C422DA"/>
    <w:rsid w:val="00C427EA"/>
    <w:rsid w:val="00C4296C"/>
    <w:rsid w:val="00C42A69"/>
    <w:rsid w:val="00C42C9D"/>
    <w:rsid w:val="00C42D45"/>
    <w:rsid w:val="00C42DDA"/>
    <w:rsid w:val="00C42E60"/>
    <w:rsid w:val="00C42FE4"/>
    <w:rsid w:val="00C4309E"/>
    <w:rsid w:val="00C43180"/>
    <w:rsid w:val="00C43289"/>
    <w:rsid w:val="00C433F0"/>
    <w:rsid w:val="00C4349E"/>
    <w:rsid w:val="00C43543"/>
    <w:rsid w:val="00C435F5"/>
    <w:rsid w:val="00C43892"/>
    <w:rsid w:val="00C43A70"/>
    <w:rsid w:val="00C43AED"/>
    <w:rsid w:val="00C43AF2"/>
    <w:rsid w:val="00C43B54"/>
    <w:rsid w:val="00C43B99"/>
    <w:rsid w:val="00C43C23"/>
    <w:rsid w:val="00C44011"/>
    <w:rsid w:val="00C4403D"/>
    <w:rsid w:val="00C4420F"/>
    <w:rsid w:val="00C4442E"/>
    <w:rsid w:val="00C44495"/>
    <w:rsid w:val="00C444BE"/>
    <w:rsid w:val="00C44669"/>
    <w:rsid w:val="00C4469E"/>
    <w:rsid w:val="00C446A4"/>
    <w:rsid w:val="00C446CB"/>
    <w:rsid w:val="00C44805"/>
    <w:rsid w:val="00C44AFF"/>
    <w:rsid w:val="00C44B4D"/>
    <w:rsid w:val="00C44E38"/>
    <w:rsid w:val="00C44E60"/>
    <w:rsid w:val="00C44ED4"/>
    <w:rsid w:val="00C45021"/>
    <w:rsid w:val="00C45063"/>
    <w:rsid w:val="00C45150"/>
    <w:rsid w:val="00C4517F"/>
    <w:rsid w:val="00C4519D"/>
    <w:rsid w:val="00C451F9"/>
    <w:rsid w:val="00C45290"/>
    <w:rsid w:val="00C452AD"/>
    <w:rsid w:val="00C452D0"/>
    <w:rsid w:val="00C45354"/>
    <w:rsid w:val="00C4568B"/>
    <w:rsid w:val="00C456F6"/>
    <w:rsid w:val="00C45962"/>
    <w:rsid w:val="00C459D5"/>
    <w:rsid w:val="00C45ACD"/>
    <w:rsid w:val="00C45D0C"/>
    <w:rsid w:val="00C45D9B"/>
    <w:rsid w:val="00C45FDE"/>
    <w:rsid w:val="00C460E4"/>
    <w:rsid w:val="00C460F3"/>
    <w:rsid w:val="00C46190"/>
    <w:rsid w:val="00C462BD"/>
    <w:rsid w:val="00C46429"/>
    <w:rsid w:val="00C46436"/>
    <w:rsid w:val="00C46600"/>
    <w:rsid w:val="00C46632"/>
    <w:rsid w:val="00C466A6"/>
    <w:rsid w:val="00C466B4"/>
    <w:rsid w:val="00C4672D"/>
    <w:rsid w:val="00C46812"/>
    <w:rsid w:val="00C46814"/>
    <w:rsid w:val="00C46836"/>
    <w:rsid w:val="00C46851"/>
    <w:rsid w:val="00C46955"/>
    <w:rsid w:val="00C469E6"/>
    <w:rsid w:val="00C46B0B"/>
    <w:rsid w:val="00C46B88"/>
    <w:rsid w:val="00C46CCC"/>
    <w:rsid w:val="00C46F08"/>
    <w:rsid w:val="00C46F09"/>
    <w:rsid w:val="00C47154"/>
    <w:rsid w:val="00C475F4"/>
    <w:rsid w:val="00C47797"/>
    <w:rsid w:val="00C47823"/>
    <w:rsid w:val="00C478A0"/>
    <w:rsid w:val="00C47922"/>
    <w:rsid w:val="00C47939"/>
    <w:rsid w:val="00C47A91"/>
    <w:rsid w:val="00C47B0D"/>
    <w:rsid w:val="00C47E54"/>
    <w:rsid w:val="00C47F30"/>
    <w:rsid w:val="00C502B9"/>
    <w:rsid w:val="00C50313"/>
    <w:rsid w:val="00C5046E"/>
    <w:rsid w:val="00C50542"/>
    <w:rsid w:val="00C505EB"/>
    <w:rsid w:val="00C508B6"/>
    <w:rsid w:val="00C50C69"/>
    <w:rsid w:val="00C50D56"/>
    <w:rsid w:val="00C50F32"/>
    <w:rsid w:val="00C5127C"/>
    <w:rsid w:val="00C51733"/>
    <w:rsid w:val="00C51767"/>
    <w:rsid w:val="00C517CA"/>
    <w:rsid w:val="00C5188C"/>
    <w:rsid w:val="00C518F2"/>
    <w:rsid w:val="00C51AD2"/>
    <w:rsid w:val="00C51B92"/>
    <w:rsid w:val="00C51BEA"/>
    <w:rsid w:val="00C51D47"/>
    <w:rsid w:val="00C51D9E"/>
    <w:rsid w:val="00C51E7E"/>
    <w:rsid w:val="00C5201A"/>
    <w:rsid w:val="00C52092"/>
    <w:rsid w:val="00C52157"/>
    <w:rsid w:val="00C521FF"/>
    <w:rsid w:val="00C5223E"/>
    <w:rsid w:val="00C52352"/>
    <w:rsid w:val="00C523C8"/>
    <w:rsid w:val="00C52404"/>
    <w:rsid w:val="00C52691"/>
    <w:rsid w:val="00C52937"/>
    <w:rsid w:val="00C52A3D"/>
    <w:rsid w:val="00C52B07"/>
    <w:rsid w:val="00C52C45"/>
    <w:rsid w:val="00C52C5C"/>
    <w:rsid w:val="00C52C76"/>
    <w:rsid w:val="00C52D64"/>
    <w:rsid w:val="00C52E03"/>
    <w:rsid w:val="00C52FBC"/>
    <w:rsid w:val="00C52FFE"/>
    <w:rsid w:val="00C53025"/>
    <w:rsid w:val="00C53079"/>
    <w:rsid w:val="00C530D3"/>
    <w:rsid w:val="00C530E2"/>
    <w:rsid w:val="00C5315A"/>
    <w:rsid w:val="00C53179"/>
    <w:rsid w:val="00C53307"/>
    <w:rsid w:val="00C53324"/>
    <w:rsid w:val="00C535CC"/>
    <w:rsid w:val="00C53634"/>
    <w:rsid w:val="00C5378D"/>
    <w:rsid w:val="00C537A5"/>
    <w:rsid w:val="00C537C0"/>
    <w:rsid w:val="00C53898"/>
    <w:rsid w:val="00C538B9"/>
    <w:rsid w:val="00C53907"/>
    <w:rsid w:val="00C53B11"/>
    <w:rsid w:val="00C53BC0"/>
    <w:rsid w:val="00C53BC2"/>
    <w:rsid w:val="00C53D76"/>
    <w:rsid w:val="00C54292"/>
    <w:rsid w:val="00C54354"/>
    <w:rsid w:val="00C54432"/>
    <w:rsid w:val="00C545E6"/>
    <w:rsid w:val="00C545EF"/>
    <w:rsid w:val="00C5462D"/>
    <w:rsid w:val="00C54740"/>
    <w:rsid w:val="00C54792"/>
    <w:rsid w:val="00C547CD"/>
    <w:rsid w:val="00C5480B"/>
    <w:rsid w:val="00C5487C"/>
    <w:rsid w:val="00C5498E"/>
    <w:rsid w:val="00C54A2C"/>
    <w:rsid w:val="00C54B67"/>
    <w:rsid w:val="00C54C34"/>
    <w:rsid w:val="00C54E93"/>
    <w:rsid w:val="00C54F0C"/>
    <w:rsid w:val="00C54F27"/>
    <w:rsid w:val="00C5501E"/>
    <w:rsid w:val="00C5518C"/>
    <w:rsid w:val="00C553CC"/>
    <w:rsid w:val="00C553E2"/>
    <w:rsid w:val="00C55404"/>
    <w:rsid w:val="00C554D8"/>
    <w:rsid w:val="00C55633"/>
    <w:rsid w:val="00C55701"/>
    <w:rsid w:val="00C5571C"/>
    <w:rsid w:val="00C557F4"/>
    <w:rsid w:val="00C5599B"/>
    <w:rsid w:val="00C55B0B"/>
    <w:rsid w:val="00C55B9B"/>
    <w:rsid w:val="00C55CE1"/>
    <w:rsid w:val="00C55FDE"/>
    <w:rsid w:val="00C5608B"/>
    <w:rsid w:val="00C562ED"/>
    <w:rsid w:val="00C56421"/>
    <w:rsid w:val="00C564FD"/>
    <w:rsid w:val="00C5656C"/>
    <w:rsid w:val="00C5659B"/>
    <w:rsid w:val="00C5659C"/>
    <w:rsid w:val="00C56666"/>
    <w:rsid w:val="00C56776"/>
    <w:rsid w:val="00C56895"/>
    <w:rsid w:val="00C5691F"/>
    <w:rsid w:val="00C56A5A"/>
    <w:rsid w:val="00C56BE6"/>
    <w:rsid w:val="00C56CBB"/>
    <w:rsid w:val="00C56D07"/>
    <w:rsid w:val="00C56D2F"/>
    <w:rsid w:val="00C56DC1"/>
    <w:rsid w:val="00C56F05"/>
    <w:rsid w:val="00C5727F"/>
    <w:rsid w:val="00C5732D"/>
    <w:rsid w:val="00C5765C"/>
    <w:rsid w:val="00C576B6"/>
    <w:rsid w:val="00C57777"/>
    <w:rsid w:val="00C57806"/>
    <w:rsid w:val="00C5789E"/>
    <w:rsid w:val="00C57ACA"/>
    <w:rsid w:val="00C57C2D"/>
    <w:rsid w:val="00C57C78"/>
    <w:rsid w:val="00C57CE7"/>
    <w:rsid w:val="00C57CF1"/>
    <w:rsid w:val="00C57F9C"/>
    <w:rsid w:val="00C5C077"/>
    <w:rsid w:val="00C60066"/>
    <w:rsid w:val="00C6008B"/>
    <w:rsid w:val="00C600E3"/>
    <w:rsid w:val="00C60134"/>
    <w:rsid w:val="00C60194"/>
    <w:rsid w:val="00C6028A"/>
    <w:rsid w:val="00C6033D"/>
    <w:rsid w:val="00C605F3"/>
    <w:rsid w:val="00C60978"/>
    <w:rsid w:val="00C60B07"/>
    <w:rsid w:val="00C60B22"/>
    <w:rsid w:val="00C60CB4"/>
    <w:rsid w:val="00C6102D"/>
    <w:rsid w:val="00C610D0"/>
    <w:rsid w:val="00C6112B"/>
    <w:rsid w:val="00C612E3"/>
    <w:rsid w:val="00C61367"/>
    <w:rsid w:val="00C61416"/>
    <w:rsid w:val="00C61456"/>
    <w:rsid w:val="00C6159B"/>
    <w:rsid w:val="00C615A4"/>
    <w:rsid w:val="00C61A8F"/>
    <w:rsid w:val="00C61B50"/>
    <w:rsid w:val="00C61C72"/>
    <w:rsid w:val="00C61CEC"/>
    <w:rsid w:val="00C61CF1"/>
    <w:rsid w:val="00C61D26"/>
    <w:rsid w:val="00C61DB5"/>
    <w:rsid w:val="00C61F59"/>
    <w:rsid w:val="00C62188"/>
    <w:rsid w:val="00C62255"/>
    <w:rsid w:val="00C62268"/>
    <w:rsid w:val="00C6229A"/>
    <w:rsid w:val="00C62467"/>
    <w:rsid w:val="00C624DF"/>
    <w:rsid w:val="00C625CC"/>
    <w:rsid w:val="00C625E8"/>
    <w:rsid w:val="00C62710"/>
    <w:rsid w:val="00C62B3C"/>
    <w:rsid w:val="00C62B83"/>
    <w:rsid w:val="00C62B8E"/>
    <w:rsid w:val="00C62C0D"/>
    <w:rsid w:val="00C62D4D"/>
    <w:rsid w:val="00C62DEB"/>
    <w:rsid w:val="00C62FA1"/>
    <w:rsid w:val="00C630AE"/>
    <w:rsid w:val="00C630E3"/>
    <w:rsid w:val="00C63437"/>
    <w:rsid w:val="00C634D0"/>
    <w:rsid w:val="00C6370A"/>
    <w:rsid w:val="00C638E5"/>
    <w:rsid w:val="00C63A09"/>
    <w:rsid w:val="00C63BDB"/>
    <w:rsid w:val="00C63E14"/>
    <w:rsid w:val="00C63E46"/>
    <w:rsid w:val="00C63EC4"/>
    <w:rsid w:val="00C64100"/>
    <w:rsid w:val="00C642B7"/>
    <w:rsid w:val="00C6436B"/>
    <w:rsid w:val="00C64398"/>
    <w:rsid w:val="00C64698"/>
    <w:rsid w:val="00C6480F"/>
    <w:rsid w:val="00C64C07"/>
    <w:rsid w:val="00C64CB8"/>
    <w:rsid w:val="00C64D06"/>
    <w:rsid w:val="00C64EC6"/>
    <w:rsid w:val="00C65208"/>
    <w:rsid w:val="00C6542E"/>
    <w:rsid w:val="00C654B9"/>
    <w:rsid w:val="00C655BA"/>
    <w:rsid w:val="00C65788"/>
    <w:rsid w:val="00C657A1"/>
    <w:rsid w:val="00C657C0"/>
    <w:rsid w:val="00C65800"/>
    <w:rsid w:val="00C65883"/>
    <w:rsid w:val="00C65B0B"/>
    <w:rsid w:val="00C65B7C"/>
    <w:rsid w:val="00C65B8F"/>
    <w:rsid w:val="00C65BC6"/>
    <w:rsid w:val="00C65D0D"/>
    <w:rsid w:val="00C66000"/>
    <w:rsid w:val="00C6605F"/>
    <w:rsid w:val="00C660A8"/>
    <w:rsid w:val="00C66146"/>
    <w:rsid w:val="00C6625D"/>
    <w:rsid w:val="00C66696"/>
    <w:rsid w:val="00C66A33"/>
    <w:rsid w:val="00C66A65"/>
    <w:rsid w:val="00C66ADD"/>
    <w:rsid w:val="00C66AFD"/>
    <w:rsid w:val="00C66BC5"/>
    <w:rsid w:val="00C66C87"/>
    <w:rsid w:val="00C66EA4"/>
    <w:rsid w:val="00C66EB2"/>
    <w:rsid w:val="00C66F28"/>
    <w:rsid w:val="00C67046"/>
    <w:rsid w:val="00C670ED"/>
    <w:rsid w:val="00C67117"/>
    <w:rsid w:val="00C67269"/>
    <w:rsid w:val="00C672CA"/>
    <w:rsid w:val="00C67418"/>
    <w:rsid w:val="00C6772C"/>
    <w:rsid w:val="00C67935"/>
    <w:rsid w:val="00C67CD2"/>
    <w:rsid w:val="00C67D79"/>
    <w:rsid w:val="00C67EA0"/>
    <w:rsid w:val="00C67EE9"/>
    <w:rsid w:val="00C67F19"/>
    <w:rsid w:val="00C70088"/>
    <w:rsid w:val="00C7015B"/>
    <w:rsid w:val="00C701F9"/>
    <w:rsid w:val="00C702C9"/>
    <w:rsid w:val="00C70424"/>
    <w:rsid w:val="00C7047C"/>
    <w:rsid w:val="00C705A5"/>
    <w:rsid w:val="00C7063C"/>
    <w:rsid w:val="00C706F3"/>
    <w:rsid w:val="00C70814"/>
    <w:rsid w:val="00C70921"/>
    <w:rsid w:val="00C709A7"/>
    <w:rsid w:val="00C70A65"/>
    <w:rsid w:val="00C70BFD"/>
    <w:rsid w:val="00C70C4B"/>
    <w:rsid w:val="00C70D22"/>
    <w:rsid w:val="00C70E90"/>
    <w:rsid w:val="00C7104D"/>
    <w:rsid w:val="00C7109F"/>
    <w:rsid w:val="00C71278"/>
    <w:rsid w:val="00C713B2"/>
    <w:rsid w:val="00C713B6"/>
    <w:rsid w:val="00C71443"/>
    <w:rsid w:val="00C7151E"/>
    <w:rsid w:val="00C715A1"/>
    <w:rsid w:val="00C71652"/>
    <w:rsid w:val="00C7184B"/>
    <w:rsid w:val="00C719AD"/>
    <w:rsid w:val="00C71A06"/>
    <w:rsid w:val="00C71A33"/>
    <w:rsid w:val="00C71C1F"/>
    <w:rsid w:val="00C71EC8"/>
    <w:rsid w:val="00C71F47"/>
    <w:rsid w:val="00C7206D"/>
    <w:rsid w:val="00C72119"/>
    <w:rsid w:val="00C721E8"/>
    <w:rsid w:val="00C72222"/>
    <w:rsid w:val="00C72224"/>
    <w:rsid w:val="00C723D1"/>
    <w:rsid w:val="00C724C7"/>
    <w:rsid w:val="00C7267B"/>
    <w:rsid w:val="00C729E5"/>
    <w:rsid w:val="00C72DFF"/>
    <w:rsid w:val="00C72E87"/>
    <w:rsid w:val="00C72FE6"/>
    <w:rsid w:val="00C73142"/>
    <w:rsid w:val="00C73168"/>
    <w:rsid w:val="00C731EF"/>
    <w:rsid w:val="00C73316"/>
    <w:rsid w:val="00C734CF"/>
    <w:rsid w:val="00C7360A"/>
    <w:rsid w:val="00C738BF"/>
    <w:rsid w:val="00C73917"/>
    <w:rsid w:val="00C7395C"/>
    <w:rsid w:val="00C73A5D"/>
    <w:rsid w:val="00C73AC6"/>
    <w:rsid w:val="00C73B95"/>
    <w:rsid w:val="00C73C0D"/>
    <w:rsid w:val="00C73E4C"/>
    <w:rsid w:val="00C73F3F"/>
    <w:rsid w:val="00C740E5"/>
    <w:rsid w:val="00C7418A"/>
    <w:rsid w:val="00C7430B"/>
    <w:rsid w:val="00C74384"/>
    <w:rsid w:val="00C74392"/>
    <w:rsid w:val="00C7439F"/>
    <w:rsid w:val="00C7446F"/>
    <w:rsid w:val="00C7459A"/>
    <w:rsid w:val="00C74725"/>
    <w:rsid w:val="00C74770"/>
    <w:rsid w:val="00C74A74"/>
    <w:rsid w:val="00C74AD7"/>
    <w:rsid w:val="00C74BCC"/>
    <w:rsid w:val="00C74C67"/>
    <w:rsid w:val="00C74D05"/>
    <w:rsid w:val="00C74D31"/>
    <w:rsid w:val="00C74D61"/>
    <w:rsid w:val="00C74DBC"/>
    <w:rsid w:val="00C74F10"/>
    <w:rsid w:val="00C74F6D"/>
    <w:rsid w:val="00C75186"/>
    <w:rsid w:val="00C75259"/>
    <w:rsid w:val="00C75297"/>
    <w:rsid w:val="00C75326"/>
    <w:rsid w:val="00C75377"/>
    <w:rsid w:val="00C7551B"/>
    <w:rsid w:val="00C755C4"/>
    <w:rsid w:val="00C75629"/>
    <w:rsid w:val="00C75633"/>
    <w:rsid w:val="00C75656"/>
    <w:rsid w:val="00C75695"/>
    <w:rsid w:val="00C756B2"/>
    <w:rsid w:val="00C75706"/>
    <w:rsid w:val="00C75980"/>
    <w:rsid w:val="00C75A3E"/>
    <w:rsid w:val="00C75ACA"/>
    <w:rsid w:val="00C75CC8"/>
    <w:rsid w:val="00C75DB5"/>
    <w:rsid w:val="00C75E70"/>
    <w:rsid w:val="00C75E9F"/>
    <w:rsid w:val="00C75F45"/>
    <w:rsid w:val="00C76047"/>
    <w:rsid w:val="00C76456"/>
    <w:rsid w:val="00C764B5"/>
    <w:rsid w:val="00C765BC"/>
    <w:rsid w:val="00C76667"/>
    <w:rsid w:val="00C766D4"/>
    <w:rsid w:val="00C766E2"/>
    <w:rsid w:val="00C7678A"/>
    <w:rsid w:val="00C76819"/>
    <w:rsid w:val="00C76837"/>
    <w:rsid w:val="00C76957"/>
    <w:rsid w:val="00C7697B"/>
    <w:rsid w:val="00C7697E"/>
    <w:rsid w:val="00C769F6"/>
    <w:rsid w:val="00C76AAE"/>
    <w:rsid w:val="00C76AC0"/>
    <w:rsid w:val="00C76C95"/>
    <w:rsid w:val="00C76CE8"/>
    <w:rsid w:val="00C76D69"/>
    <w:rsid w:val="00C76F3E"/>
    <w:rsid w:val="00C770C9"/>
    <w:rsid w:val="00C770CA"/>
    <w:rsid w:val="00C7743C"/>
    <w:rsid w:val="00C77544"/>
    <w:rsid w:val="00C776D1"/>
    <w:rsid w:val="00C7770C"/>
    <w:rsid w:val="00C77791"/>
    <w:rsid w:val="00C777ED"/>
    <w:rsid w:val="00C77853"/>
    <w:rsid w:val="00C77897"/>
    <w:rsid w:val="00C7797C"/>
    <w:rsid w:val="00C77C2C"/>
    <w:rsid w:val="00C77F56"/>
    <w:rsid w:val="00C8030A"/>
    <w:rsid w:val="00C80332"/>
    <w:rsid w:val="00C806B2"/>
    <w:rsid w:val="00C807F3"/>
    <w:rsid w:val="00C80812"/>
    <w:rsid w:val="00C80862"/>
    <w:rsid w:val="00C8092C"/>
    <w:rsid w:val="00C809B7"/>
    <w:rsid w:val="00C80B43"/>
    <w:rsid w:val="00C80BAD"/>
    <w:rsid w:val="00C8126A"/>
    <w:rsid w:val="00C812EF"/>
    <w:rsid w:val="00C81461"/>
    <w:rsid w:val="00C815A6"/>
    <w:rsid w:val="00C815A9"/>
    <w:rsid w:val="00C817AA"/>
    <w:rsid w:val="00C81855"/>
    <w:rsid w:val="00C818A0"/>
    <w:rsid w:val="00C81B12"/>
    <w:rsid w:val="00C81E62"/>
    <w:rsid w:val="00C81FA2"/>
    <w:rsid w:val="00C820D6"/>
    <w:rsid w:val="00C821B7"/>
    <w:rsid w:val="00C821D9"/>
    <w:rsid w:val="00C823B9"/>
    <w:rsid w:val="00C82436"/>
    <w:rsid w:val="00C82474"/>
    <w:rsid w:val="00C824FA"/>
    <w:rsid w:val="00C82532"/>
    <w:rsid w:val="00C826FC"/>
    <w:rsid w:val="00C827F1"/>
    <w:rsid w:val="00C8289B"/>
    <w:rsid w:val="00C82C92"/>
    <w:rsid w:val="00C82D05"/>
    <w:rsid w:val="00C82D87"/>
    <w:rsid w:val="00C82F14"/>
    <w:rsid w:val="00C82F3B"/>
    <w:rsid w:val="00C82FA1"/>
    <w:rsid w:val="00C82FB9"/>
    <w:rsid w:val="00C8305A"/>
    <w:rsid w:val="00C830BA"/>
    <w:rsid w:val="00C830FB"/>
    <w:rsid w:val="00C83175"/>
    <w:rsid w:val="00C8328E"/>
    <w:rsid w:val="00C833A5"/>
    <w:rsid w:val="00C8348B"/>
    <w:rsid w:val="00C8361E"/>
    <w:rsid w:val="00C836D9"/>
    <w:rsid w:val="00C83798"/>
    <w:rsid w:val="00C838DD"/>
    <w:rsid w:val="00C83906"/>
    <w:rsid w:val="00C8393A"/>
    <w:rsid w:val="00C839AB"/>
    <w:rsid w:val="00C83A9B"/>
    <w:rsid w:val="00C83D0B"/>
    <w:rsid w:val="00C83DBA"/>
    <w:rsid w:val="00C83E23"/>
    <w:rsid w:val="00C83E6B"/>
    <w:rsid w:val="00C83F13"/>
    <w:rsid w:val="00C83F8A"/>
    <w:rsid w:val="00C84173"/>
    <w:rsid w:val="00C84188"/>
    <w:rsid w:val="00C841D0"/>
    <w:rsid w:val="00C84283"/>
    <w:rsid w:val="00C84541"/>
    <w:rsid w:val="00C8466A"/>
    <w:rsid w:val="00C8496B"/>
    <w:rsid w:val="00C849CD"/>
    <w:rsid w:val="00C84C79"/>
    <w:rsid w:val="00C84F5E"/>
    <w:rsid w:val="00C84F7A"/>
    <w:rsid w:val="00C84FDD"/>
    <w:rsid w:val="00C85432"/>
    <w:rsid w:val="00C8570F"/>
    <w:rsid w:val="00C8586E"/>
    <w:rsid w:val="00C85908"/>
    <w:rsid w:val="00C85ADB"/>
    <w:rsid w:val="00C85D10"/>
    <w:rsid w:val="00C85F7B"/>
    <w:rsid w:val="00C8603E"/>
    <w:rsid w:val="00C86100"/>
    <w:rsid w:val="00C861C7"/>
    <w:rsid w:val="00C862A5"/>
    <w:rsid w:val="00C8638E"/>
    <w:rsid w:val="00C863E7"/>
    <w:rsid w:val="00C863F1"/>
    <w:rsid w:val="00C8648F"/>
    <w:rsid w:val="00C8684A"/>
    <w:rsid w:val="00C869C9"/>
    <w:rsid w:val="00C86A2C"/>
    <w:rsid w:val="00C86ABF"/>
    <w:rsid w:val="00C86AE7"/>
    <w:rsid w:val="00C86BA9"/>
    <w:rsid w:val="00C86E87"/>
    <w:rsid w:val="00C86E96"/>
    <w:rsid w:val="00C87462"/>
    <w:rsid w:val="00C8763F"/>
    <w:rsid w:val="00C87777"/>
    <w:rsid w:val="00C878F0"/>
    <w:rsid w:val="00C87960"/>
    <w:rsid w:val="00C879B9"/>
    <w:rsid w:val="00C87ADB"/>
    <w:rsid w:val="00C87B14"/>
    <w:rsid w:val="00C87EDF"/>
    <w:rsid w:val="00C87EF3"/>
    <w:rsid w:val="00C900F2"/>
    <w:rsid w:val="00C902E6"/>
    <w:rsid w:val="00C904AF"/>
    <w:rsid w:val="00C90529"/>
    <w:rsid w:val="00C907CA"/>
    <w:rsid w:val="00C907EB"/>
    <w:rsid w:val="00C908F8"/>
    <w:rsid w:val="00C909A6"/>
    <w:rsid w:val="00C90A42"/>
    <w:rsid w:val="00C90B42"/>
    <w:rsid w:val="00C90CFC"/>
    <w:rsid w:val="00C90D69"/>
    <w:rsid w:val="00C90D86"/>
    <w:rsid w:val="00C91097"/>
    <w:rsid w:val="00C910ED"/>
    <w:rsid w:val="00C910F3"/>
    <w:rsid w:val="00C91510"/>
    <w:rsid w:val="00C9152E"/>
    <w:rsid w:val="00C91578"/>
    <w:rsid w:val="00C9166A"/>
    <w:rsid w:val="00C9178B"/>
    <w:rsid w:val="00C91828"/>
    <w:rsid w:val="00C91937"/>
    <w:rsid w:val="00C9195B"/>
    <w:rsid w:val="00C91A2E"/>
    <w:rsid w:val="00C91D36"/>
    <w:rsid w:val="00C91D37"/>
    <w:rsid w:val="00C91DAA"/>
    <w:rsid w:val="00C91F3B"/>
    <w:rsid w:val="00C92016"/>
    <w:rsid w:val="00C92079"/>
    <w:rsid w:val="00C9216F"/>
    <w:rsid w:val="00C92178"/>
    <w:rsid w:val="00C92511"/>
    <w:rsid w:val="00C92681"/>
    <w:rsid w:val="00C929FB"/>
    <w:rsid w:val="00C92A26"/>
    <w:rsid w:val="00C92D2A"/>
    <w:rsid w:val="00C92EDE"/>
    <w:rsid w:val="00C93033"/>
    <w:rsid w:val="00C93367"/>
    <w:rsid w:val="00C933A1"/>
    <w:rsid w:val="00C9347C"/>
    <w:rsid w:val="00C93481"/>
    <w:rsid w:val="00C934BD"/>
    <w:rsid w:val="00C93608"/>
    <w:rsid w:val="00C93695"/>
    <w:rsid w:val="00C938AA"/>
    <w:rsid w:val="00C938BC"/>
    <w:rsid w:val="00C93993"/>
    <w:rsid w:val="00C93A02"/>
    <w:rsid w:val="00C93AE3"/>
    <w:rsid w:val="00C93C38"/>
    <w:rsid w:val="00C93DA6"/>
    <w:rsid w:val="00C93F3B"/>
    <w:rsid w:val="00C93F7A"/>
    <w:rsid w:val="00C93FCD"/>
    <w:rsid w:val="00C94210"/>
    <w:rsid w:val="00C943FD"/>
    <w:rsid w:val="00C944BC"/>
    <w:rsid w:val="00C945AB"/>
    <w:rsid w:val="00C945DC"/>
    <w:rsid w:val="00C94708"/>
    <w:rsid w:val="00C948F6"/>
    <w:rsid w:val="00C948FE"/>
    <w:rsid w:val="00C949C8"/>
    <w:rsid w:val="00C94C6E"/>
    <w:rsid w:val="00C94D98"/>
    <w:rsid w:val="00C94E9C"/>
    <w:rsid w:val="00C94EFC"/>
    <w:rsid w:val="00C94F34"/>
    <w:rsid w:val="00C950EA"/>
    <w:rsid w:val="00C9514C"/>
    <w:rsid w:val="00C952AA"/>
    <w:rsid w:val="00C95411"/>
    <w:rsid w:val="00C9574C"/>
    <w:rsid w:val="00C95859"/>
    <w:rsid w:val="00C9587C"/>
    <w:rsid w:val="00C95C40"/>
    <w:rsid w:val="00C95F2C"/>
    <w:rsid w:val="00C96154"/>
    <w:rsid w:val="00C961A0"/>
    <w:rsid w:val="00C9634A"/>
    <w:rsid w:val="00C964B2"/>
    <w:rsid w:val="00C964F9"/>
    <w:rsid w:val="00C967DA"/>
    <w:rsid w:val="00C968AF"/>
    <w:rsid w:val="00C968B4"/>
    <w:rsid w:val="00C969BF"/>
    <w:rsid w:val="00C96B63"/>
    <w:rsid w:val="00C96E2F"/>
    <w:rsid w:val="00C96E5E"/>
    <w:rsid w:val="00C970F3"/>
    <w:rsid w:val="00C9729F"/>
    <w:rsid w:val="00C972BC"/>
    <w:rsid w:val="00C97357"/>
    <w:rsid w:val="00C97395"/>
    <w:rsid w:val="00C974E2"/>
    <w:rsid w:val="00C976B7"/>
    <w:rsid w:val="00C977AB"/>
    <w:rsid w:val="00C977DC"/>
    <w:rsid w:val="00C97869"/>
    <w:rsid w:val="00C978A7"/>
    <w:rsid w:val="00C978D5"/>
    <w:rsid w:val="00C97C66"/>
    <w:rsid w:val="00C97D5E"/>
    <w:rsid w:val="00C97E92"/>
    <w:rsid w:val="00C97E99"/>
    <w:rsid w:val="00C97EA9"/>
    <w:rsid w:val="00C97F64"/>
    <w:rsid w:val="00C99E3C"/>
    <w:rsid w:val="00CA01C5"/>
    <w:rsid w:val="00CA0226"/>
    <w:rsid w:val="00CA0334"/>
    <w:rsid w:val="00CA0495"/>
    <w:rsid w:val="00CA05D6"/>
    <w:rsid w:val="00CA05E3"/>
    <w:rsid w:val="00CA05ED"/>
    <w:rsid w:val="00CA062B"/>
    <w:rsid w:val="00CA08C5"/>
    <w:rsid w:val="00CA0B56"/>
    <w:rsid w:val="00CA0B78"/>
    <w:rsid w:val="00CA0E06"/>
    <w:rsid w:val="00CA1189"/>
    <w:rsid w:val="00CA12ED"/>
    <w:rsid w:val="00CA133C"/>
    <w:rsid w:val="00CA13CB"/>
    <w:rsid w:val="00CA161F"/>
    <w:rsid w:val="00CA1636"/>
    <w:rsid w:val="00CA1897"/>
    <w:rsid w:val="00CA18F5"/>
    <w:rsid w:val="00CA19CE"/>
    <w:rsid w:val="00CA1A1B"/>
    <w:rsid w:val="00CA1A61"/>
    <w:rsid w:val="00CA1B67"/>
    <w:rsid w:val="00CA1D62"/>
    <w:rsid w:val="00CA1D72"/>
    <w:rsid w:val="00CA1F38"/>
    <w:rsid w:val="00CA1FC1"/>
    <w:rsid w:val="00CA20DF"/>
    <w:rsid w:val="00CA21D5"/>
    <w:rsid w:val="00CA230B"/>
    <w:rsid w:val="00CA237B"/>
    <w:rsid w:val="00CA251A"/>
    <w:rsid w:val="00CA2748"/>
    <w:rsid w:val="00CA2750"/>
    <w:rsid w:val="00CA2864"/>
    <w:rsid w:val="00CA2AD0"/>
    <w:rsid w:val="00CA2C80"/>
    <w:rsid w:val="00CA2DA6"/>
    <w:rsid w:val="00CA310B"/>
    <w:rsid w:val="00CA311E"/>
    <w:rsid w:val="00CA312C"/>
    <w:rsid w:val="00CA31BE"/>
    <w:rsid w:val="00CA31CE"/>
    <w:rsid w:val="00CA31DC"/>
    <w:rsid w:val="00CA3243"/>
    <w:rsid w:val="00CA3389"/>
    <w:rsid w:val="00CA3396"/>
    <w:rsid w:val="00CA349B"/>
    <w:rsid w:val="00CA384E"/>
    <w:rsid w:val="00CA3850"/>
    <w:rsid w:val="00CA385B"/>
    <w:rsid w:val="00CA38C5"/>
    <w:rsid w:val="00CA39DA"/>
    <w:rsid w:val="00CA3B55"/>
    <w:rsid w:val="00CA3C7D"/>
    <w:rsid w:val="00CA3CAC"/>
    <w:rsid w:val="00CA3CC8"/>
    <w:rsid w:val="00CA3F30"/>
    <w:rsid w:val="00CA3F55"/>
    <w:rsid w:val="00CA3FC4"/>
    <w:rsid w:val="00CA40F0"/>
    <w:rsid w:val="00CA41E6"/>
    <w:rsid w:val="00CA4321"/>
    <w:rsid w:val="00CA4398"/>
    <w:rsid w:val="00CA4550"/>
    <w:rsid w:val="00CA4676"/>
    <w:rsid w:val="00CA4815"/>
    <w:rsid w:val="00CA4BA1"/>
    <w:rsid w:val="00CA4E4B"/>
    <w:rsid w:val="00CA5229"/>
    <w:rsid w:val="00CA52D1"/>
    <w:rsid w:val="00CA5472"/>
    <w:rsid w:val="00CA5538"/>
    <w:rsid w:val="00CA55B0"/>
    <w:rsid w:val="00CA563E"/>
    <w:rsid w:val="00CA5655"/>
    <w:rsid w:val="00CA56E8"/>
    <w:rsid w:val="00CA57CC"/>
    <w:rsid w:val="00CA5806"/>
    <w:rsid w:val="00CA59F6"/>
    <w:rsid w:val="00CA5B6E"/>
    <w:rsid w:val="00CA5BF8"/>
    <w:rsid w:val="00CA5C79"/>
    <w:rsid w:val="00CA5D3A"/>
    <w:rsid w:val="00CA5D5D"/>
    <w:rsid w:val="00CA5D85"/>
    <w:rsid w:val="00CA5DE8"/>
    <w:rsid w:val="00CA5DF8"/>
    <w:rsid w:val="00CA5EB7"/>
    <w:rsid w:val="00CA5EEF"/>
    <w:rsid w:val="00CA60EE"/>
    <w:rsid w:val="00CA60F1"/>
    <w:rsid w:val="00CA6163"/>
    <w:rsid w:val="00CA62F4"/>
    <w:rsid w:val="00CA66BD"/>
    <w:rsid w:val="00CA66D0"/>
    <w:rsid w:val="00CA6717"/>
    <w:rsid w:val="00CA6732"/>
    <w:rsid w:val="00CA67FB"/>
    <w:rsid w:val="00CA6805"/>
    <w:rsid w:val="00CA691E"/>
    <w:rsid w:val="00CA692B"/>
    <w:rsid w:val="00CA6947"/>
    <w:rsid w:val="00CA6956"/>
    <w:rsid w:val="00CA6A2A"/>
    <w:rsid w:val="00CA6A48"/>
    <w:rsid w:val="00CA6AC8"/>
    <w:rsid w:val="00CA6AE1"/>
    <w:rsid w:val="00CA6AEF"/>
    <w:rsid w:val="00CA6B22"/>
    <w:rsid w:val="00CA6BC7"/>
    <w:rsid w:val="00CA6CD4"/>
    <w:rsid w:val="00CA6D89"/>
    <w:rsid w:val="00CA6DF7"/>
    <w:rsid w:val="00CA6ECF"/>
    <w:rsid w:val="00CA740E"/>
    <w:rsid w:val="00CA7412"/>
    <w:rsid w:val="00CA75D3"/>
    <w:rsid w:val="00CA7795"/>
    <w:rsid w:val="00CA77EB"/>
    <w:rsid w:val="00CA7864"/>
    <w:rsid w:val="00CA787B"/>
    <w:rsid w:val="00CA7989"/>
    <w:rsid w:val="00CA7C25"/>
    <w:rsid w:val="00CA7C8E"/>
    <w:rsid w:val="00CA7CDD"/>
    <w:rsid w:val="00CA7D0E"/>
    <w:rsid w:val="00CA7D3C"/>
    <w:rsid w:val="00CA7D76"/>
    <w:rsid w:val="00CA7EB2"/>
    <w:rsid w:val="00CB0179"/>
    <w:rsid w:val="00CB0304"/>
    <w:rsid w:val="00CB03D4"/>
    <w:rsid w:val="00CB0466"/>
    <w:rsid w:val="00CB0525"/>
    <w:rsid w:val="00CB05BA"/>
    <w:rsid w:val="00CB0608"/>
    <w:rsid w:val="00CB06FE"/>
    <w:rsid w:val="00CB081D"/>
    <w:rsid w:val="00CB08DC"/>
    <w:rsid w:val="00CB09F9"/>
    <w:rsid w:val="00CB0A6A"/>
    <w:rsid w:val="00CB0B2F"/>
    <w:rsid w:val="00CB0BE2"/>
    <w:rsid w:val="00CB0C72"/>
    <w:rsid w:val="00CB0DCC"/>
    <w:rsid w:val="00CB10BC"/>
    <w:rsid w:val="00CB1241"/>
    <w:rsid w:val="00CB1248"/>
    <w:rsid w:val="00CB12C7"/>
    <w:rsid w:val="00CB1398"/>
    <w:rsid w:val="00CB140D"/>
    <w:rsid w:val="00CB167F"/>
    <w:rsid w:val="00CB1843"/>
    <w:rsid w:val="00CB1847"/>
    <w:rsid w:val="00CB184D"/>
    <w:rsid w:val="00CB19B1"/>
    <w:rsid w:val="00CB1A87"/>
    <w:rsid w:val="00CB1BFF"/>
    <w:rsid w:val="00CB1CC0"/>
    <w:rsid w:val="00CB1CE5"/>
    <w:rsid w:val="00CB1D22"/>
    <w:rsid w:val="00CB1ED4"/>
    <w:rsid w:val="00CB1EF9"/>
    <w:rsid w:val="00CB1F9C"/>
    <w:rsid w:val="00CB1FAA"/>
    <w:rsid w:val="00CB22F3"/>
    <w:rsid w:val="00CB2411"/>
    <w:rsid w:val="00CB26C8"/>
    <w:rsid w:val="00CB2777"/>
    <w:rsid w:val="00CB284E"/>
    <w:rsid w:val="00CB28DF"/>
    <w:rsid w:val="00CB2A5B"/>
    <w:rsid w:val="00CB2AFA"/>
    <w:rsid w:val="00CB2BC0"/>
    <w:rsid w:val="00CB2CA4"/>
    <w:rsid w:val="00CB2E09"/>
    <w:rsid w:val="00CB2E29"/>
    <w:rsid w:val="00CB2E73"/>
    <w:rsid w:val="00CB2EAF"/>
    <w:rsid w:val="00CB2F06"/>
    <w:rsid w:val="00CB3088"/>
    <w:rsid w:val="00CB311A"/>
    <w:rsid w:val="00CB318F"/>
    <w:rsid w:val="00CB3194"/>
    <w:rsid w:val="00CB3220"/>
    <w:rsid w:val="00CB3305"/>
    <w:rsid w:val="00CB330E"/>
    <w:rsid w:val="00CB3315"/>
    <w:rsid w:val="00CB33F0"/>
    <w:rsid w:val="00CB3499"/>
    <w:rsid w:val="00CB377B"/>
    <w:rsid w:val="00CB39D4"/>
    <w:rsid w:val="00CB3C82"/>
    <w:rsid w:val="00CB3D69"/>
    <w:rsid w:val="00CB3DD4"/>
    <w:rsid w:val="00CB3F92"/>
    <w:rsid w:val="00CB40B7"/>
    <w:rsid w:val="00CB40ED"/>
    <w:rsid w:val="00CB42E6"/>
    <w:rsid w:val="00CB4368"/>
    <w:rsid w:val="00CB43CA"/>
    <w:rsid w:val="00CB4500"/>
    <w:rsid w:val="00CB4683"/>
    <w:rsid w:val="00CB46C4"/>
    <w:rsid w:val="00CB4762"/>
    <w:rsid w:val="00CB4770"/>
    <w:rsid w:val="00CB4803"/>
    <w:rsid w:val="00CB4A7D"/>
    <w:rsid w:val="00CB4AFE"/>
    <w:rsid w:val="00CB4B08"/>
    <w:rsid w:val="00CB4B61"/>
    <w:rsid w:val="00CB4C60"/>
    <w:rsid w:val="00CB4CA6"/>
    <w:rsid w:val="00CB4DB8"/>
    <w:rsid w:val="00CB4EF7"/>
    <w:rsid w:val="00CB4F94"/>
    <w:rsid w:val="00CB4FB2"/>
    <w:rsid w:val="00CB4FBB"/>
    <w:rsid w:val="00CB5416"/>
    <w:rsid w:val="00CB55AE"/>
    <w:rsid w:val="00CB5657"/>
    <w:rsid w:val="00CB566E"/>
    <w:rsid w:val="00CB575B"/>
    <w:rsid w:val="00CB58A3"/>
    <w:rsid w:val="00CB593A"/>
    <w:rsid w:val="00CB5B0E"/>
    <w:rsid w:val="00CB5B3E"/>
    <w:rsid w:val="00CB5B77"/>
    <w:rsid w:val="00CB5BF3"/>
    <w:rsid w:val="00CB5BF4"/>
    <w:rsid w:val="00CB5CA9"/>
    <w:rsid w:val="00CB5D9F"/>
    <w:rsid w:val="00CB5E5B"/>
    <w:rsid w:val="00CB5F78"/>
    <w:rsid w:val="00CB5F94"/>
    <w:rsid w:val="00CB6061"/>
    <w:rsid w:val="00CB613B"/>
    <w:rsid w:val="00CB615D"/>
    <w:rsid w:val="00CB61AD"/>
    <w:rsid w:val="00CB624E"/>
    <w:rsid w:val="00CB625C"/>
    <w:rsid w:val="00CB635C"/>
    <w:rsid w:val="00CB6390"/>
    <w:rsid w:val="00CB64A4"/>
    <w:rsid w:val="00CB652E"/>
    <w:rsid w:val="00CB65A8"/>
    <w:rsid w:val="00CB65F3"/>
    <w:rsid w:val="00CB676A"/>
    <w:rsid w:val="00CB689A"/>
    <w:rsid w:val="00CB697A"/>
    <w:rsid w:val="00CB698B"/>
    <w:rsid w:val="00CB6B75"/>
    <w:rsid w:val="00CB6D2A"/>
    <w:rsid w:val="00CB6D99"/>
    <w:rsid w:val="00CB6DB4"/>
    <w:rsid w:val="00CB6EAE"/>
    <w:rsid w:val="00CB6F8A"/>
    <w:rsid w:val="00CB708C"/>
    <w:rsid w:val="00CB70C3"/>
    <w:rsid w:val="00CB713A"/>
    <w:rsid w:val="00CB75A5"/>
    <w:rsid w:val="00CB7606"/>
    <w:rsid w:val="00CB767C"/>
    <w:rsid w:val="00CB7750"/>
    <w:rsid w:val="00CB79A2"/>
    <w:rsid w:val="00CB7B0B"/>
    <w:rsid w:val="00CB7C5E"/>
    <w:rsid w:val="00CB7CE7"/>
    <w:rsid w:val="00CB7D3D"/>
    <w:rsid w:val="00CB7E83"/>
    <w:rsid w:val="00CB7EDA"/>
    <w:rsid w:val="00CB7F03"/>
    <w:rsid w:val="00CC0049"/>
    <w:rsid w:val="00CC008C"/>
    <w:rsid w:val="00CC011C"/>
    <w:rsid w:val="00CC012B"/>
    <w:rsid w:val="00CC01C7"/>
    <w:rsid w:val="00CC02A2"/>
    <w:rsid w:val="00CC030D"/>
    <w:rsid w:val="00CC03FD"/>
    <w:rsid w:val="00CC049C"/>
    <w:rsid w:val="00CC04E5"/>
    <w:rsid w:val="00CC050D"/>
    <w:rsid w:val="00CC0573"/>
    <w:rsid w:val="00CC0721"/>
    <w:rsid w:val="00CC07A6"/>
    <w:rsid w:val="00CC089B"/>
    <w:rsid w:val="00CC0B53"/>
    <w:rsid w:val="00CC0E2B"/>
    <w:rsid w:val="00CC0FE4"/>
    <w:rsid w:val="00CC1260"/>
    <w:rsid w:val="00CC1321"/>
    <w:rsid w:val="00CC191B"/>
    <w:rsid w:val="00CC1A21"/>
    <w:rsid w:val="00CC1C63"/>
    <w:rsid w:val="00CC1DB6"/>
    <w:rsid w:val="00CC1F16"/>
    <w:rsid w:val="00CC1FD2"/>
    <w:rsid w:val="00CC2020"/>
    <w:rsid w:val="00CC207E"/>
    <w:rsid w:val="00CC208F"/>
    <w:rsid w:val="00CC21B7"/>
    <w:rsid w:val="00CC2508"/>
    <w:rsid w:val="00CC267A"/>
    <w:rsid w:val="00CC26A8"/>
    <w:rsid w:val="00CC26AC"/>
    <w:rsid w:val="00CC26C9"/>
    <w:rsid w:val="00CC284E"/>
    <w:rsid w:val="00CC29A1"/>
    <w:rsid w:val="00CC2AD4"/>
    <w:rsid w:val="00CC2B4B"/>
    <w:rsid w:val="00CC2E26"/>
    <w:rsid w:val="00CC2F48"/>
    <w:rsid w:val="00CC3139"/>
    <w:rsid w:val="00CC32B7"/>
    <w:rsid w:val="00CC368B"/>
    <w:rsid w:val="00CC368C"/>
    <w:rsid w:val="00CC36AE"/>
    <w:rsid w:val="00CC38BD"/>
    <w:rsid w:val="00CC3A0F"/>
    <w:rsid w:val="00CC3AB9"/>
    <w:rsid w:val="00CC3B19"/>
    <w:rsid w:val="00CC3B3D"/>
    <w:rsid w:val="00CC3BD4"/>
    <w:rsid w:val="00CC3D80"/>
    <w:rsid w:val="00CC3EBF"/>
    <w:rsid w:val="00CC3F5C"/>
    <w:rsid w:val="00CC40E2"/>
    <w:rsid w:val="00CC417A"/>
    <w:rsid w:val="00CC42E8"/>
    <w:rsid w:val="00CC44AF"/>
    <w:rsid w:val="00CC46D4"/>
    <w:rsid w:val="00CC47B1"/>
    <w:rsid w:val="00CC4895"/>
    <w:rsid w:val="00CC48C1"/>
    <w:rsid w:val="00CC4A65"/>
    <w:rsid w:val="00CC4B13"/>
    <w:rsid w:val="00CC4D9A"/>
    <w:rsid w:val="00CC4DA0"/>
    <w:rsid w:val="00CC4F04"/>
    <w:rsid w:val="00CC504C"/>
    <w:rsid w:val="00CC50C5"/>
    <w:rsid w:val="00CC5103"/>
    <w:rsid w:val="00CC5354"/>
    <w:rsid w:val="00CC53D2"/>
    <w:rsid w:val="00CC53F2"/>
    <w:rsid w:val="00CC5647"/>
    <w:rsid w:val="00CC571E"/>
    <w:rsid w:val="00CC58F2"/>
    <w:rsid w:val="00CC5956"/>
    <w:rsid w:val="00CC5AEA"/>
    <w:rsid w:val="00CC5B38"/>
    <w:rsid w:val="00CC5D16"/>
    <w:rsid w:val="00CC5F9A"/>
    <w:rsid w:val="00CC6029"/>
    <w:rsid w:val="00CC6044"/>
    <w:rsid w:val="00CC61CB"/>
    <w:rsid w:val="00CC61FA"/>
    <w:rsid w:val="00CC6314"/>
    <w:rsid w:val="00CC6394"/>
    <w:rsid w:val="00CC6583"/>
    <w:rsid w:val="00CC6752"/>
    <w:rsid w:val="00CC67CC"/>
    <w:rsid w:val="00CC6866"/>
    <w:rsid w:val="00CC69B5"/>
    <w:rsid w:val="00CC69BF"/>
    <w:rsid w:val="00CC6A3B"/>
    <w:rsid w:val="00CC6BA8"/>
    <w:rsid w:val="00CC6BD0"/>
    <w:rsid w:val="00CC6C9C"/>
    <w:rsid w:val="00CC6DAE"/>
    <w:rsid w:val="00CC6E3A"/>
    <w:rsid w:val="00CC6E69"/>
    <w:rsid w:val="00CC724B"/>
    <w:rsid w:val="00CC7346"/>
    <w:rsid w:val="00CC74AC"/>
    <w:rsid w:val="00CC74F4"/>
    <w:rsid w:val="00CC7618"/>
    <w:rsid w:val="00CC7857"/>
    <w:rsid w:val="00CC785A"/>
    <w:rsid w:val="00CC7974"/>
    <w:rsid w:val="00CC797B"/>
    <w:rsid w:val="00CC79EC"/>
    <w:rsid w:val="00CC7BD0"/>
    <w:rsid w:val="00CC7CAF"/>
    <w:rsid w:val="00CC7D63"/>
    <w:rsid w:val="00CC7EA9"/>
    <w:rsid w:val="00CC7EB1"/>
    <w:rsid w:val="00CC7F0F"/>
    <w:rsid w:val="00CD00DC"/>
    <w:rsid w:val="00CD01D7"/>
    <w:rsid w:val="00CD01E4"/>
    <w:rsid w:val="00CD0577"/>
    <w:rsid w:val="00CD05AD"/>
    <w:rsid w:val="00CD0682"/>
    <w:rsid w:val="00CD0712"/>
    <w:rsid w:val="00CD078A"/>
    <w:rsid w:val="00CD0982"/>
    <w:rsid w:val="00CD099D"/>
    <w:rsid w:val="00CD09B9"/>
    <w:rsid w:val="00CD0AF7"/>
    <w:rsid w:val="00CD0D52"/>
    <w:rsid w:val="00CD0F80"/>
    <w:rsid w:val="00CD103C"/>
    <w:rsid w:val="00CD107B"/>
    <w:rsid w:val="00CD10CB"/>
    <w:rsid w:val="00CD1102"/>
    <w:rsid w:val="00CD1192"/>
    <w:rsid w:val="00CD12B9"/>
    <w:rsid w:val="00CD1720"/>
    <w:rsid w:val="00CD1731"/>
    <w:rsid w:val="00CD1986"/>
    <w:rsid w:val="00CD19DC"/>
    <w:rsid w:val="00CD1A2C"/>
    <w:rsid w:val="00CD1C4E"/>
    <w:rsid w:val="00CD1F68"/>
    <w:rsid w:val="00CD21FE"/>
    <w:rsid w:val="00CD22F5"/>
    <w:rsid w:val="00CD2415"/>
    <w:rsid w:val="00CD2443"/>
    <w:rsid w:val="00CD2500"/>
    <w:rsid w:val="00CD2516"/>
    <w:rsid w:val="00CD2651"/>
    <w:rsid w:val="00CD2732"/>
    <w:rsid w:val="00CD27CA"/>
    <w:rsid w:val="00CD27EC"/>
    <w:rsid w:val="00CD28F8"/>
    <w:rsid w:val="00CD29C1"/>
    <w:rsid w:val="00CD2A3E"/>
    <w:rsid w:val="00CD2AC6"/>
    <w:rsid w:val="00CD2ADC"/>
    <w:rsid w:val="00CD2B35"/>
    <w:rsid w:val="00CD2BDE"/>
    <w:rsid w:val="00CD2CAA"/>
    <w:rsid w:val="00CD2CCD"/>
    <w:rsid w:val="00CD2F42"/>
    <w:rsid w:val="00CD3053"/>
    <w:rsid w:val="00CD3207"/>
    <w:rsid w:val="00CD3217"/>
    <w:rsid w:val="00CD33B9"/>
    <w:rsid w:val="00CD34F9"/>
    <w:rsid w:val="00CD356C"/>
    <w:rsid w:val="00CD35FB"/>
    <w:rsid w:val="00CD388E"/>
    <w:rsid w:val="00CD3A58"/>
    <w:rsid w:val="00CD3AE4"/>
    <w:rsid w:val="00CD3CCA"/>
    <w:rsid w:val="00CD3E18"/>
    <w:rsid w:val="00CD3EB5"/>
    <w:rsid w:val="00CD406E"/>
    <w:rsid w:val="00CD4199"/>
    <w:rsid w:val="00CD41CE"/>
    <w:rsid w:val="00CD4406"/>
    <w:rsid w:val="00CD4414"/>
    <w:rsid w:val="00CD445A"/>
    <w:rsid w:val="00CD448E"/>
    <w:rsid w:val="00CD4691"/>
    <w:rsid w:val="00CD47F6"/>
    <w:rsid w:val="00CD4859"/>
    <w:rsid w:val="00CD4A95"/>
    <w:rsid w:val="00CD4BF1"/>
    <w:rsid w:val="00CD4CB0"/>
    <w:rsid w:val="00CD4CC1"/>
    <w:rsid w:val="00CD4CFA"/>
    <w:rsid w:val="00CD4D51"/>
    <w:rsid w:val="00CD5066"/>
    <w:rsid w:val="00CD5326"/>
    <w:rsid w:val="00CD533C"/>
    <w:rsid w:val="00CD55C6"/>
    <w:rsid w:val="00CD55DD"/>
    <w:rsid w:val="00CD55FB"/>
    <w:rsid w:val="00CD5741"/>
    <w:rsid w:val="00CD58B2"/>
    <w:rsid w:val="00CD5947"/>
    <w:rsid w:val="00CD59F6"/>
    <w:rsid w:val="00CD5A63"/>
    <w:rsid w:val="00CD5AB3"/>
    <w:rsid w:val="00CD5CC0"/>
    <w:rsid w:val="00CD5EB1"/>
    <w:rsid w:val="00CD5FFA"/>
    <w:rsid w:val="00CD60EC"/>
    <w:rsid w:val="00CD6159"/>
    <w:rsid w:val="00CD61ED"/>
    <w:rsid w:val="00CD6445"/>
    <w:rsid w:val="00CD64EF"/>
    <w:rsid w:val="00CD6506"/>
    <w:rsid w:val="00CD662B"/>
    <w:rsid w:val="00CD66FD"/>
    <w:rsid w:val="00CD686F"/>
    <w:rsid w:val="00CD687E"/>
    <w:rsid w:val="00CD6947"/>
    <w:rsid w:val="00CD69A6"/>
    <w:rsid w:val="00CD6A6F"/>
    <w:rsid w:val="00CD6C68"/>
    <w:rsid w:val="00CD6D4C"/>
    <w:rsid w:val="00CD6D52"/>
    <w:rsid w:val="00CD6D54"/>
    <w:rsid w:val="00CD6D6A"/>
    <w:rsid w:val="00CD6D78"/>
    <w:rsid w:val="00CD6EE5"/>
    <w:rsid w:val="00CD713E"/>
    <w:rsid w:val="00CD722E"/>
    <w:rsid w:val="00CD74B7"/>
    <w:rsid w:val="00CD75B9"/>
    <w:rsid w:val="00CD75CD"/>
    <w:rsid w:val="00CD761E"/>
    <w:rsid w:val="00CD77BC"/>
    <w:rsid w:val="00CD7E26"/>
    <w:rsid w:val="00CD7EE3"/>
    <w:rsid w:val="00CDFB5B"/>
    <w:rsid w:val="00CE0001"/>
    <w:rsid w:val="00CE0200"/>
    <w:rsid w:val="00CE02FA"/>
    <w:rsid w:val="00CE0391"/>
    <w:rsid w:val="00CE03FA"/>
    <w:rsid w:val="00CE0528"/>
    <w:rsid w:val="00CE0600"/>
    <w:rsid w:val="00CE0630"/>
    <w:rsid w:val="00CE08F4"/>
    <w:rsid w:val="00CE0954"/>
    <w:rsid w:val="00CE0A49"/>
    <w:rsid w:val="00CE0C8B"/>
    <w:rsid w:val="00CE0DC0"/>
    <w:rsid w:val="00CE0F1C"/>
    <w:rsid w:val="00CE106A"/>
    <w:rsid w:val="00CE111D"/>
    <w:rsid w:val="00CE1130"/>
    <w:rsid w:val="00CE11B2"/>
    <w:rsid w:val="00CE11B8"/>
    <w:rsid w:val="00CE121F"/>
    <w:rsid w:val="00CE13B1"/>
    <w:rsid w:val="00CE151B"/>
    <w:rsid w:val="00CE1613"/>
    <w:rsid w:val="00CE16EA"/>
    <w:rsid w:val="00CE171B"/>
    <w:rsid w:val="00CE1744"/>
    <w:rsid w:val="00CE1754"/>
    <w:rsid w:val="00CE1A71"/>
    <w:rsid w:val="00CE1B13"/>
    <w:rsid w:val="00CE1B97"/>
    <w:rsid w:val="00CE1BE9"/>
    <w:rsid w:val="00CE1CA4"/>
    <w:rsid w:val="00CE1F62"/>
    <w:rsid w:val="00CE2052"/>
    <w:rsid w:val="00CE21B8"/>
    <w:rsid w:val="00CE223F"/>
    <w:rsid w:val="00CE2464"/>
    <w:rsid w:val="00CE259E"/>
    <w:rsid w:val="00CE2757"/>
    <w:rsid w:val="00CE27E3"/>
    <w:rsid w:val="00CE2887"/>
    <w:rsid w:val="00CE2911"/>
    <w:rsid w:val="00CE2A34"/>
    <w:rsid w:val="00CE2A5B"/>
    <w:rsid w:val="00CE2AD7"/>
    <w:rsid w:val="00CE2D5D"/>
    <w:rsid w:val="00CE2E91"/>
    <w:rsid w:val="00CE2FC3"/>
    <w:rsid w:val="00CE30B5"/>
    <w:rsid w:val="00CE33DC"/>
    <w:rsid w:val="00CE360A"/>
    <w:rsid w:val="00CE3721"/>
    <w:rsid w:val="00CE3746"/>
    <w:rsid w:val="00CE3767"/>
    <w:rsid w:val="00CE3773"/>
    <w:rsid w:val="00CE3778"/>
    <w:rsid w:val="00CE392F"/>
    <w:rsid w:val="00CE3BB7"/>
    <w:rsid w:val="00CE3BFD"/>
    <w:rsid w:val="00CE3E28"/>
    <w:rsid w:val="00CE3E54"/>
    <w:rsid w:val="00CE40F3"/>
    <w:rsid w:val="00CE415D"/>
    <w:rsid w:val="00CE43CE"/>
    <w:rsid w:val="00CE46BC"/>
    <w:rsid w:val="00CE481E"/>
    <w:rsid w:val="00CE490E"/>
    <w:rsid w:val="00CE4939"/>
    <w:rsid w:val="00CE4A22"/>
    <w:rsid w:val="00CE4A26"/>
    <w:rsid w:val="00CE4B8D"/>
    <w:rsid w:val="00CE4C36"/>
    <w:rsid w:val="00CE4CA0"/>
    <w:rsid w:val="00CE4E6B"/>
    <w:rsid w:val="00CE4E85"/>
    <w:rsid w:val="00CE4EA6"/>
    <w:rsid w:val="00CE4EC8"/>
    <w:rsid w:val="00CE5012"/>
    <w:rsid w:val="00CE50C3"/>
    <w:rsid w:val="00CE558E"/>
    <w:rsid w:val="00CE5681"/>
    <w:rsid w:val="00CE574B"/>
    <w:rsid w:val="00CE58AC"/>
    <w:rsid w:val="00CE5922"/>
    <w:rsid w:val="00CE5ADB"/>
    <w:rsid w:val="00CE5B5C"/>
    <w:rsid w:val="00CE5D18"/>
    <w:rsid w:val="00CE5E5F"/>
    <w:rsid w:val="00CE5E70"/>
    <w:rsid w:val="00CE615F"/>
    <w:rsid w:val="00CE63F3"/>
    <w:rsid w:val="00CE641D"/>
    <w:rsid w:val="00CE64CA"/>
    <w:rsid w:val="00CE64E0"/>
    <w:rsid w:val="00CE6628"/>
    <w:rsid w:val="00CE6656"/>
    <w:rsid w:val="00CE682E"/>
    <w:rsid w:val="00CE6878"/>
    <w:rsid w:val="00CE6920"/>
    <w:rsid w:val="00CE6A0C"/>
    <w:rsid w:val="00CE6BD6"/>
    <w:rsid w:val="00CE6C2E"/>
    <w:rsid w:val="00CE6C3D"/>
    <w:rsid w:val="00CE6C49"/>
    <w:rsid w:val="00CE6D59"/>
    <w:rsid w:val="00CE6DFF"/>
    <w:rsid w:val="00CE6FF1"/>
    <w:rsid w:val="00CE71D5"/>
    <w:rsid w:val="00CE7287"/>
    <w:rsid w:val="00CE72E5"/>
    <w:rsid w:val="00CE74EC"/>
    <w:rsid w:val="00CE759F"/>
    <w:rsid w:val="00CE7626"/>
    <w:rsid w:val="00CE77FF"/>
    <w:rsid w:val="00CE7822"/>
    <w:rsid w:val="00CE78BD"/>
    <w:rsid w:val="00CE790A"/>
    <w:rsid w:val="00CE79F9"/>
    <w:rsid w:val="00CE7A81"/>
    <w:rsid w:val="00CE7C36"/>
    <w:rsid w:val="00CE7CCA"/>
    <w:rsid w:val="00CE7E36"/>
    <w:rsid w:val="00CE7E8D"/>
    <w:rsid w:val="00CE7F9A"/>
    <w:rsid w:val="00CED166"/>
    <w:rsid w:val="00CF002B"/>
    <w:rsid w:val="00CF006A"/>
    <w:rsid w:val="00CF0303"/>
    <w:rsid w:val="00CF0332"/>
    <w:rsid w:val="00CF03C3"/>
    <w:rsid w:val="00CF0595"/>
    <w:rsid w:val="00CF0600"/>
    <w:rsid w:val="00CF0633"/>
    <w:rsid w:val="00CF08DE"/>
    <w:rsid w:val="00CF08E8"/>
    <w:rsid w:val="00CF092A"/>
    <w:rsid w:val="00CF0A99"/>
    <w:rsid w:val="00CF0B8C"/>
    <w:rsid w:val="00CF0C4D"/>
    <w:rsid w:val="00CF0C5A"/>
    <w:rsid w:val="00CF0CCA"/>
    <w:rsid w:val="00CF0DE8"/>
    <w:rsid w:val="00CF0DFE"/>
    <w:rsid w:val="00CF0F48"/>
    <w:rsid w:val="00CF0F60"/>
    <w:rsid w:val="00CF0FD8"/>
    <w:rsid w:val="00CF107C"/>
    <w:rsid w:val="00CF109C"/>
    <w:rsid w:val="00CF1140"/>
    <w:rsid w:val="00CF11E5"/>
    <w:rsid w:val="00CF124B"/>
    <w:rsid w:val="00CF1492"/>
    <w:rsid w:val="00CF1665"/>
    <w:rsid w:val="00CF16E2"/>
    <w:rsid w:val="00CF1792"/>
    <w:rsid w:val="00CF17B2"/>
    <w:rsid w:val="00CF17DD"/>
    <w:rsid w:val="00CF18B4"/>
    <w:rsid w:val="00CF1948"/>
    <w:rsid w:val="00CF197F"/>
    <w:rsid w:val="00CF1A4D"/>
    <w:rsid w:val="00CF1D46"/>
    <w:rsid w:val="00CF1D96"/>
    <w:rsid w:val="00CF1D9B"/>
    <w:rsid w:val="00CF1DD4"/>
    <w:rsid w:val="00CF1E81"/>
    <w:rsid w:val="00CF2116"/>
    <w:rsid w:val="00CF2198"/>
    <w:rsid w:val="00CF2227"/>
    <w:rsid w:val="00CF26BC"/>
    <w:rsid w:val="00CF296E"/>
    <w:rsid w:val="00CF2992"/>
    <w:rsid w:val="00CF2AE0"/>
    <w:rsid w:val="00CF2BC0"/>
    <w:rsid w:val="00CF2CD1"/>
    <w:rsid w:val="00CF2FAA"/>
    <w:rsid w:val="00CF2FEA"/>
    <w:rsid w:val="00CF317F"/>
    <w:rsid w:val="00CF31EE"/>
    <w:rsid w:val="00CF32B5"/>
    <w:rsid w:val="00CF3377"/>
    <w:rsid w:val="00CF3499"/>
    <w:rsid w:val="00CF3678"/>
    <w:rsid w:val="00CF377B"/>
    <w:rsid w:val="00CF37BA"/>
    <w:rsid w:val="00CF3859"/>
    <w:rsid w:val="00CF3926"/>
    <w:rsid w:val="00CF3B5A"/>
    <w:rsid w:val="00CF3BD5"/>
    <w:rsid w:val="00CF3C55"/>
    <w:rsid w:val="00CF3CC7"/>
    <w:rsid w:val="00CF3D05"/>
    <w:rsid w:val="00CF3DF4"/>
    <w:rsid w:val="00CF3F2A"/>
    <w:rsid w:val="00CF3F47"/>
    <w:rsid w:val="00CF3F5D"/>
    <w:rsid w:val="00CF3FF1"/>
    <w:rsid w:val="00CF43A6"/>
    <w:rsid w:val="00CF43D7"/>
    <w:rsid w:val="00CF4648"/>
    <w:rsid w:val="00CF470D"/>
    <w:rsid w:val="00CF4760"/>
    <w:rsid w:val="00CF4866"/>
    <w:rsid w:val="00CF4A4B"/>
    <w:rsid w:val="00CF4C40"/>
    <w:rsid w:val="00CF4C7C"/>
    <w:rsid w:val="00CF4D76"/>
    <w:rsid w:val="00CF4D7E"/>
    <w:rsid w:val="00CF4F2E"/>
    <w:rsid w:val="00CF4FCD"/>
    <w:rsid w:val="00CF516F"/>
    <w:rsid w:val="00CF5376"/>
    <w:rsid w:val="00CF54F4"/>
    <w:rsid w:val="00CF5529"/>
    <w:rsid w:val="00CF5794"/>
    <w:rsid w:val="00CF57B3"/>
    <w:rsid w:val="00CF58A8"/>
    <w:rsid w:val="00CF58AE"/>
    <w:rsid w:val="00CF5938"/>
    <w:rsid w:val="00CF5A69"/>
    <w:rsid w:val="00CF5C6F"/>
    <w:rsid w:val="00CF5CB1"/>
    <w:rsid w:val="00CF5D63"/>
    <w:rsid w:val="00CF5F3B"/>
    <w:rsid w:val="00CF5F6D"/>
    <w:rsid w:val="00CF616E"/>
    <w:rsid w:val="00CF61EC"/>
    <w:rsid w:val="00CF62F9"/>
    <w:rsid w:val="00CF64A1"/>
    <w:rsid w:val="00CF64F0"/>
    <w:rsid w:val="00CF6515"/>
    <w:rsid w:val="00CF6562"/>
    <w:rsid w:val="00CF66EE"/>
    <w:rsid w:val="00CF6822"/>
    <w:rsid w:val="00CF6826"/>
    <w:rsid w:val="00CF6A75"/>
    <w:rsid w:val="00CF6BCB"/>
    <w:rsid w:val="00CF6C9B"/>
    <w:rsid w:val="00CF6EB1"/>
    <w:rsid w:val="00CF6ECD"/>
    <w:rsid w:val="00CF6FB2"/>
    <w:rsid w:val="00CF701C"/>
    <w:rsid w:val="00CF70D4"/>
    <w:rsid w:val="00CF7121"/>
    <w:rsid w:val="00CF7181"/>
    <w:rsid w:val="00CF72F7"/>
    <w:rsid w:val="00CF750E"/>
    <w:rsid w:val="00CF76AF"/>
    <w:rsid w:val="00CF78FE"/>
    <w:rsid w:val="00CF7B27"/>
    <w:rsid w:val="00CF7CE9"/>
    <w:rsid w:val="00CF7FED"/>
    <w:rsid w:val="00D00081"/>
    <w:rsid w:val="00D000E1"/>
    <w:rsid w:val="00D00114"/>
    <w:rsid w:val="00D001BC"/>
    <w:rsid w:val="00D00415"/>
    <w:rsid w:val="00D0059A"/>
    <w:rsid w:val="00D00766"/>
    <w:rsid w:val="00D00877"/>
    <w:rsid w:val="00D0099C"/>
    <w:rsid w:val="00D00A9E"/>
    <w:rsid w:val="00D00ADB"/>
    <w:rsid w:val="00D00AFD"/>
    <w:rsid w:val="00D00D9E"/>
    <w:rsid w:val="00D00EE6"/>
    <w:rsid w:val="00D0106E"/>
    <w:rsid w:val="00D012C6"/>
    <w:rsid w:val="00D01316"/>
    <w:rsid w:val="00D0139D"/>
    <w:rsid w:val="00D01516"/>
    <w:rsid w:val="00D01546"/>
    <w:rsid w:val="00D0163F"/>
    <w:rsid w:val="00D016A1"/>
    <w:rsid w:val="00D01A9F"/>
    <w:rsid w:val="00D01C08"/>
    <w:rsid w:val="00D01C66"/>
    <w:rsid w:val="00D01D20"/>
    <w:rsid w:val="00D01EA5"/>
    <w:rsid w:val="00D01F3B"/>
    <w:rsid w:val="00D02030"/>
    <w:rsid w:val="00D021E0"/>
    <w:rsid w:val="00D02231"/>
    <w:rsid w:val="00D0224B"/>
    <w:rsid w:val="00D0231E"/>
    <w:rsid w:val="00D02384"/>
    <w:rsid w:val="00D02389"/>
    <w:rsid w:val="00D02422"/>
    <w:rsid w:val="00D026B6"/>
    <w:rsid w:val="00D0273F"/>
    <w:rsid w:val="00D028FC"/>
    <w:rsid w:val="00D02AF7"/>
    <w:rsid w:val="00D02B69"/>
    <w:rsid w:val="00D02CF0"/>
    <w:rsid w:val="00D02D3C"/>
    <w:rsid w:val="00D02E22"/>
    <w:rsid w:val="00D02ED3"/>
    <w:rsid w:val="00D03016"/>
    <w:rsid w:val="00D034DF"/>
    <w:rsid w:val="00D0357D"/>
    <w:rsid w:val="00D035CE"/>
    <w:rsid w:val="00D03720"/>
    <w:rsid w:val="00D0374F"/>
    <w:rsid w:val="00D0377E"/>
    <w:rsid w:val="00D037F8"/>
    <w:rsid w:val="00D0381B"/>
    <w:rsid w:val="00D03948"/>
    <w:rsid w:val="00D03AE4"/>
    <w:rsid w:val="00D03B72"/>
    <w:rsid w:val="00D03C12"/>
    <w:rsid w:val="00D03C3B"/>
    <w:rsid w:val="00D03D52"/>
    <w:rsid w:val="00D03EC7"/>
    <w:rsid w:val="00D03FAD"/>
    <w:rsid w:val="00D04208"/>
    <w:rsid w:val="00D0455B"/>
    <w:rsid w:val="00D04700"/>
    <w:rsid w:val="00D04A80"/>
    <w:rsid w:val="00D04A8A"/>
    <w:rsid w:val="00D04AE7"/>
    <w:rsid w:val="00D04C00"/>
    <w:rsid w:val="00D04CDD"/>
    <w:rsid w:val="00D04DE1"/>
    <w:rsid w:val="00D04E0E"/>
    <w:rsid w:val="00D04E8C"/>
    <w:rsid w:val="00D04ECC"/>
    <w:rsid w:val="00D04F5E"/>
    <w:rsid w:val="00D04FE9"/>
    <w:rsid w:val="00D05021"/>
    <w:rsid w:val="00D05147"/>
    <w:rsid w:val="00D05266"/>
    <w:rsid w:val="00D0549F"/>
    <w:rsid w:val="00D05542"/>
    <w:rsid w:val="00D05576"/>
    <w:rsid w:val="00D056DD"/>
    <w:rsid w:val="00D057E1"/>
    <w:rsid w:val="00D058EE"/>
    <w:rsid w:val="00D058F5"/>
    <w:rsid w:val="00D05935"/>
    <w:rsid w:val="00D05A39"/>
    <w:rsid w:val="00D05B59"/>
    <w:rsid w:val="00D05C59"/>
    <w:rsid w:val="00D05D04"/>
    <w:rsid w:val="00D05DF6"/>
    <w:rsid w:val="00D05FAC"/>
    <w:rsid w:val="00D05FF0"/>
    <w:rsid w:val="00D06049"/>
    <w:rsid w:val="00D061FE"/>
    <w:rsid w:val="00D0623F"/>
    <w:rsid w:val="00D064CB"/>
    <w:rsid w:val="00D064D2"/>
    <w:rsid w:val="00D06716"/>
    <w:rsid w:val="00D068D3"/>
    <w:rsid w:val="00D069D9"/>
    <w:rsid w:val="00D06B78"/>
    <w:rsid w:val="00D06B90"/>
    <w:rsid w:val="00D06BC0"/>
    <w:rsid w:val="00D06F90"/>
    <w:rsid w:val="00D06FD7"/>
    <w:rsid w:val="00D071A7"/>
    <w:rsid w:val="00D071FC"/>
    <w:rsid w:val="00D072D2"/>
    <w:rsid w:val="00D07454"/>
    <w:rsid w:val="00D07823"/>
    <w:rsid w:val="00D07834"/>
    <w:rsid w:val="00D07AAD"/>
    <w:rsid w:val="00D07D6B"/>
    <w:rsid w:val="00D07F23"/>
    <w:rsid w:val="00D07F3A"/>
    <w:rsid w:val="00D100FF"/>
    <w:rsid w:val="00D10223"/>
    <w:rsid w:val="00D1032C"/>
    <w:rsid w:val="00D1032E"/>
    <w:rsid w:val="00D103EF"/>
    <w:rsid w:val="00D1045A"/>
    <w:rsid w:val="00D1045C"/>
    <w:rsid w:val="00D1052B"/>
    <w:rsid w:val="00D10533"/>
    <w:rsid w:val="00D106BA"/>
    <w:rsid w:val="00D10843"/>
    <w:rsid w:val="00D10892"/>
    <w:rsid w:val="00D108B1"/>
    <w:rsid w:val="00D10950"/>
    <w:rsid w:val="00D109AC"/>
    <w:rsid w:val="00D10AFF"/>
    <w:rsid w:val="00D10C56"/>
    <w:rsid w:val="00D10D5F"/>
    <w:rsid w:val="00D10D60"/>
    <w:rsid w:val="00D11054"/>
    <w:rsid w:val="00D1111C"/>
    <w:rsid w:val="00D11521"/>
    <w:rsid w:val="00D1154D"/>
    <w:rsid w:val="00D11611"/>
    <w:rsid w:val="00D1198E"/>
    <w:rsid w:val="00D11A1D"/>
    <w:rsid w:val="00D11B05"/>
    <w:rsid w:val="00D11E69"/>
    <w:rsid w:val="00D11F20"/>
    <w:rsid w:val="00D11F48"/>
    <w:rsid w:val="00D11F4C"/>
    <w:rsid w:val="00D11F82"/>
    <w:rsid w:val="00D1202F"/>
    <w:rsid w:val="00D120BE"/>
    <w:rsid w:val="00D1216C"/>
    <w:rsid w:val="00D1231C"/>
    <w:rsid w:val="00D124F1"/>
    <w:rsid w:val="00D12722"/>
    <w:rsid w:val="00D1274F"/>
    <w:rsid w:val="00D127D0"/>
    <w:rsid w:val="00D12830"/>
    <w:rsid w:val="00D128FB"/>
    <w:rsid w:val="00D12970"/>
    <w:rsid w:val="00D129E0"/>
    <w:rsid w:val="00D12AD6"/>
    <w:rsid w:val="00D12D19"/>
    <w:rsid w:val="00D12DB4"/>
    <w:rsid w:val="00D131D6"/>
    <w:rsid w:val="00D13307"/>
    <w:rsid w:val="00D134F5"/>
    <w:rsid w:val="00D134F9"/>
    <w:rsid w:val="00D13564"/>
    <w:rsid w:val="00D135EE"/>
    <w:rsid w:val="00D1361F"/>
    <w:rsid w:val="00D13663"/>
    <w:rsid w:val="00D136FF"/>
    <w:rsid w:val="00D1383B"/>
    <w:rsid w:val="00D1391C"/>
    <w:rsid w:val="00D139B7"/>
    <w:rsid w:val="00D13A02"/>
    <w:rsid w:val="00D13CC8"/>
    <w:rsid w:val="00D13D7F"/>
    <w:rsid w:val="00D13DF3"/>
    <w:rsid w:val="00D13DFD"/>
    <w:rsid w:val="00D13E95"/>
    <w:rsid w:val="00D13F82"/>
    <w:rsid w:val="00D1403E"/>
    <w:rsid w:val="00D1404D"/>
    <w:rsid w:val="00D14444"/>
    <w:rsid w:val="00D14742"/>
    <w:rsid w:val="00D1474C"/>
    <w:rsid w:val="00D14789"/>
    <w:rsid w:val="00D147F7"/>
    <w:rsid w:val="00D1497F"/>
    <w:rsid w:val="00D14C0F"/>
    <w:rsid w:val="00D14D3D"/>
    <w:rsid w:val="00D14D7A"/>
    <w:rsid w:val="00D15018"/>
    <w:rsid w:val="00D152C0"/>
    <w:rsid w:val="00D15320"/>
    <w:rsid w:val="00D15383"/>
    <w:rsid w:val="00D153BD"/>
    <w:rsid w:val="00D1552B"/>
    <w:rsid w:val="00D15647"/>
    <w:rsid w:val="00D158D6"/>
    <w:rsid w:val="00D159AA"/>
    <w:rsid w:val="00D15CC3"/>
    <w:rsid w:val="00D15D59"/>
    <w:rsid w:val="00D15ECE"/>
    <w:rsid w:val="00D15FCF"/>
    <w:rsid w:val="00D16189"/>
    <w:rsid w:val="00D16221"/>
    <w:rsid w:val="00D162AE"/>
    <w:rsid w:val="00D16530"/>
    <w:rsid w:val="00D1656D"/>
    <w:rsid w:val="00D165E3"/>
    <w:rsid w:val="00D16688"/>
    <w:rsid w:val="00D166A1"/>
    <w:rsid w:val="00D16771"/>
    <w:rsid w:val="00D1677F"/>
    <w:rsid w:val="00D167C6"/>
    <w:rsid w:val="00D16A9C"/>
    <w:rsid w:val="00D16AEF"/>
    <w:rsid w:val="00D16BF6"/>
    <w:rsid w:val="00D16C06"/>
    <w:rsid w:val="00D16CFF"/>
    <w:rsid w:val="00D17064"/>
    <w:rsid w:val="00D1725A"/>
    <w:rsid w:val="00D1729F"/>
    <w:rsid w:val="00D17374"/>
    <w:rsid w:val="00D174CE"/>
    <w:rsid w:val="00D174E9"/>
    <w:rsid w:val="00D1751D"/>
    <w:rsid w:val="00D17819"/>
    <w:rsid w:val="00D17B37"/>
    <w:rsid w:val="00D17C3C"/>
    <w:rsid w:val="00D17CEE"/>
    <w:rsid w:val="00D17DA9"/>
    <w:rsid w:val="00D17E89"/>
    <w:rsid w:val="00D17F4A"/>
    <w:rsid w:val="00D17F5D"/>
    <w:rsid w:val="00D17F5F"/>
    <w:rsid w:val="00D17F6B"/>
    <w:rsid w:val="00D202CB"/>
    <w:rsid w:val="00D202FB"/>
    <w:rsid w:val="00D20588"/>
    <w:rsid w:val="00D20599"/>
    <w:rsid w:val="00D20613"/>
    <w:rsid w:val="00D206EA"/>
    <w:rsid w:val="00D20720"/>
    <w:rsid w:val="00D20760"/>
    <w:rsid w:val="00D2089D"/>
    <w:rsid w:val="00D208E3"/>
    <w:rsid w:val="00D20AD3"/>
    <w:rsid w:val="00D20CFD"/>
    <w:rsid w:val="00D20D76"/>
    <w:rsid w:val="00D20EE4"/>
    <w:rsid w:val="00D20FEE"/>
    <w:rsid w:val="00D2108B"/>
    <w:rsid w:val="00D2113C"/>
    <w:rsid w:val="00D21235"/>
    <w:rsid w:val="00D21248"/>
    <w:rsid w:val="00D2125E"/>
    <w:rsid w:val="00D2136D"/>
    <w:rsid w:val="00D2139D"/>
    <w:rsid w:val="00D21417"/>
    <w:rsid w:val="00D21576"/>
    <w:rsid w:val="00D2159A"/>
    <w:rsid w:val="00D2176C"/>
    <w:rsid w:val="00D219E4"/>
    <w:rsid w:val="00D21AD1"/>
    <w:rsid w:val="00D21C76"/>
    <w:rsid w:val="00D21CB8"/>
    <w:rsid w:val="00D21DE6"/>
    <w:rsid w:val="00D21EFE"/>
    <w:rsid w:val="00D2205C"/>
    <w:rsid w:val="00D22079"/>
    <w:rsid w:val="00D22095"/>
    <w:rsid w:val="00D22126"/>
    <w:rsid w:val="00D22129"/>
    <w:rsid w:val="00D22139"/>
    <w:rsid w:val="00D2220A"/>
    <w:rsid w:val="00D22228"/>
    <w:rsid w:val="00D22345"/>
    <w:rsid w:val="00D224FA"/>
    <w:rsid w:val="00D22655"/>
    <w:rsid w:val="00D22699"/>
    <w:rsid w:val="00D22756"/>
    <w:rsid w:val="00D227BF"/>
    <w:rsid w:val="00D2288A"/>
    <w:rsid w:val="00D2296F"/>
    <w:rsid w:val="00D22A4F"/>
    <w:rsid w:val="00D22AF5"/>
    <w:rsid w:val="00D22B4E"/>
    <w:rsid w:val="00D22BAA"/>
    <w:rsid w:val="00D22DE1"/>
    <w:rsid w:val="00D230CD"/>
    <w:rsid w:val="00D23113"/>
    <w:rsid w:val="00D2322A"/>
    <w:rsid w:val="00D2335D"/>
    <w:rsid w:val="00D234A5"/>
    <w:rsid w:val="00D2361D"/>
    <w:rsid w:val="00D236AD"/>
    <w:rsid w:val="00D236F0"/>
    <w:rsid w:val="00D23832"/>
    <w:rsid w:val="00D2383A"/>
    <w:rsid w:val="00D2384E"/>
    <w:rsid w:val="00D238C6"/>
    <w:rsid w:val="00D23961"/>
    <w:rsid w:val="00D23999"/>
    <w:rsid w:val="00D23A92"/>
    <w:rsid w:val="00D23AB9"/>
    <w:rsid w:val="00D23ACB"/>
    <w:rsid w:val="00D23AD6"/>
    <w:rsid w:val="00D23B29"/>
    <w:rsid w:val="00D23B3A"/>
    <w:rsid w:val="00D23C18"/>
    <w:rsid w:val="00D23EF3"/>
    <w:rsid w:val="00D2403F"/>
    <w:rsid w:val="00D2406A"/>
    <w:rsid w:val="00D240C9"/>
    <w:rsid w:val="00D240D5"/>
    <w:rsid w:val="00D2447D"/>
    <w:rsid w:val="00D24560"/>
    <w:rsid w:val="00D2465C"/>
    <w:rsid w:val="00D247D7"/>
    <w:rsid w:val="00D24814"/>
    <w:rsid w:val="00D248ED"/>
    <w:rsid w:val="00D24A6D"/>
    <w:rsid w:val="00D24AA5"/>
    <w:rsid w:val="00D24FFB"/>
    <w:rsid w:val="00D250BA"/>
    <w:rsid w:val="00D250DC"/>
    <w:rsid w:val="00D25113"/>
    <w:rsid w:val="00D251F5"/>
    <w:rsid w:val="00D25490"/>
    <w:rsid w:val="00D25644"/>
    <w:rsid w:val="00D25836"/>
    <w:rsid w:val="00D258C4"/>
    <w:rsid w:val="00D258C5"/>
    <w:rsid w:val="00D25A67"/>
    <w:rsid w:val="00D25AFC"/>
    <w:rsid w:val="00D25D61"/>
    <w:rsid w:val="00D25DC8"/>
    <w:rsid w:val="00D25ED3"/>
    <w:rsid w:val="00D261BB"/>
    <w:rsid w:val="00D26297"/>
    <w:rsid w:val="00D26478"/>
    <w:rsid w:val="00D265AA"/>
    <w:rsid w:val="00D26679"/>
    <w:rsid w:val="00D2671B"/>
    <w:rsid w:val="00D26756"/>
    <w:rsid w:val="00D2676E"/>
    <w:rsid w:val="00D268F5"/>
    <w:rsid w:val="00D2693E"/>
    <w:rsid w:val="00D26AA5"/>
    <w:rsid w:val="00D26AB2"/>
    <w:rsid w:val="00D26C29"/>
    <w:rsid w:val="00D26E1B"/>
    <w:rsid w:val="00D2704A"/>
    <w:rsid w:val="00D272AD"/>
    <w:rsid w:val="00D272F8"/>
    <w:rsid w:val="00D27453"/>
    <w:rsid w:val="00D2745E"/>
    <w:rsid w:val="00D275A7"/>
    <w:rsid w:val="00D275B5"/>
    <w:rsid w:val="00D278E9"/>
    <w:rsid w:val="00D279C9"/>
    <w:rsid w:val="00D27B4C"/>
    <w:rsid w:val="00D27D61"/>
    <w:rsid w:val="00D27DA5"/>
    <w:rsid w:val="00D27DB0"/>
    <w:rsid w:val="00D27DE0"/>
    <w:rsid w:val="00D27E51"/>
    <w:rsid w:val="00D27E61"/>
    <w:rsid w:val="00D27F80"/>
    <w:rsid w:val="00D30681"/>
    <w:rsid w:val="00D30721"/>
    <w:rsid w:val="00D30831"/>
    <w:rsid w:val="00D308F8"/>
    <w:rsid w:val="00D3094C"/>
    <w:rsid w:val="00D30969"/>
    <w:rsid w:val="00D30BA3"/>
    <w:rsid w:val="00D30C44"/>
    <w:rsid w:val="00D30C65"/>
    <w:rsid w:val="00D30CB9"/>
    <w:rsid w:val="00D30FE0"/>
    <w:rsid w:val="00D310C3"/>
    <w:rsid w:val="00D3115B"/>
    <w:rsid w:val="00D312D6"/>
    <w:rsid w:val="00D3137C"/>
    <w:rsid w:val="00D313E1"/>
    <w:rsid w:val="00D31667"/>
    <w:rsid w:val="00D31889"/>
    <w:rsid w:val="00D318B5"/>
    <w:rsid w:val="00D31962"/>
    <w:rsid w:val="00D31A49"/>
    <w:rsid w:val="00D31A83"/>
    <w:rsid w:val="00D31BCB"/>
    <w:rsid w:val="00D31BFD"/>
    <w:rsid w:val="00D31C5B"/>
    <w:rsid w:val="00D31D30"/>
    <w:rsid w:val="00D31FE3"/>
    <w:rsid w:val="00D321E8"/>
    <w:rsid w:val="00D3220A"/>
    <w:rsid w:val="00D322B4"/>
    <w:rsid w:val="00D322D3"/>
    <w:rsid w:val="00D32343"/>
    <w:rsid w:val="00D32368"/>
    <w:rsid w:val="00D32599"/>
    <w:rsid w:val="00D325B4"/>
    <w:rsid w:val="00D326E7"/>
    <w:rsid w:val="00D32710"/>
    <w:rsid w:val="00D328D0"/>
    <w:rsid w:val="00D32B0C"/>
    <w:rsid w:val="00D32B25"/>
    <w:rsid w:val="00D32B6E"/>
    <w:rsid w:val="00D32CCB"/>
    <w:rsid w:val="00D32D42"/>
    <w:rsid w:val="00D32D89"/>
    <w:rsid w:val="00D32DB5"/>
    <w:rsid w:val="00D32F70"/>
    <w:rsid w:val="00D33062"/>
    <w:rsid w:val="00D330B6"/>
    <w:rsid w:val="00D3310B"/>
    <w:rsid w:val="00D331E4"/>
    <w:rsid w:val="00D33228"/>
    <w:rsid w:val="00D33266"/>
    <w:rsid w:val="00D3328C"/>
    <w:rsid w:val="00D33298"/>
    <w:rsid w:val="00D33526"/>
    <w:rsid w:val="00D33583"/>
    <w:rsid w:val="00D336E0"/>
    <w:rsid w:val="00D337D8"/>
    <w:rsid w:val="00D338D4"/>
    <w:rsid w:val="00D338E0"/>
    <w:rsid w:val="00D33A4E"/>
    <w:rsid w:val="00D33A65"/>
    <w:rsid w:val="00D33AB2"/>
    <w:rsid w:val="00D33BA0"/>
    <w:rsid w:val="00D340F0"/>
    <w:rsid w:val="00D34319"/>
    <w:rsid w:val="00D34415"/>
    <w:rsid w:val="00D344EE"/>
    <w:rsid w:val="00D34505"/>
    <w:rsid w:val="00D34587"/>
    <w:rsid w:val="00D345D8"/>
    <w:rsid w:val="00D347B5"/>
    <w:rsid w:val="00D347F5"/>
    <w:rsid w:val="00D347FA"/>
    <w:rsid w:val="00D34897"/>
    <w:rsid w:val="00D3492F"/>
    <w:rsid w:val="00D34A5D"/>
    <w:rsid w:val="00D34A5F"/>
    <w:rsid w:val="00D34A76"/>
    <w:rsid w:val="00D34C18"/>
    <w:rsid w:val="00D34D61"/>
    <w:rsid w:val="00D34ECF"/>
    <w:rsid w:val="00D34F8F"/>
    <w:rsid w:val="00D34FE5"/>
    <w:rsid w:val="00D3511B"/>
    <w:rsid w:val="00D3513E"/>
    <w:rsid w:val="00D353B9"/>
    <w:rsid w:val="00D3546C"/>
    <w:rsid w:val="00D35505"/>
    <w:rsid w:val="00D35840"/>
    <w:rsid w:val="00D3589B"/>
    <w:rsid w:val="00D35A30"/>
    <w:rsid w:val="00D35ACE"/>
    <w:rsid w:val="00D35B30"/>
    <w:rsid w:val="00D35CA0"/>
    <w:rsid w:val="00D35CD4"/>
    <w:rsid w:val="00D3600E"/>
    <w:rsid w:val="00D3602C"/>
    <w:rsid w:val="00D36068"/>
    <w:rsid w:val="00D360FD"/>
    <w:rsid w:val="00D36141"/>
    <w:rsid w:val="00D36168"/>
    <w:rsid w:val="00D36187"/>
    <w:rsid w:val="00D36195"/>
    <w:rsid w:val="00D36242"/>
    <w:rsid w:val="00D362AA"/>
    <w:rsid w:val="00D36389"/>
    <w:rsid w:val="00D36545"/>
    <w:rsid w:val="00D366B8"/>
    <w:rsid w:val="00D368D5"/>
    <w:rsid w:val="00D36CA6"/>
    <w:rsid w:val="00D36D37"/>
    <w:rsid w:val="00D36D74"/>
    <w:rsid w:val="00D36E5C"/>
    <w:rsid w:val="00D36EDE"/>
    <w:rsid w:val="00D36FB5"/>
    <w:rsid w:val="00D3708B"/>
    <w:rsid w:val="00D3712F"/>
    <w:rsid w:val="00D37173"/>
    <w:rsid w:val="00D371E0"/>
    <w:rsid w:val="00D37295"/>
    <w:rsid w:val="00D372EC"/>
    <w:rsid w:val="00D37311"/>
    <w:rsid w:val="00D373FD"/>
    <w:rsid w:val="00D37415"/>
    <w:rsid w:val="00D37489"/>
    <w:rsid w:val="00D374CD"/>
    <w:rsid w:val="00D374E1"/>
    <w:rsid w:val="00D3750E"/>
    <w:rsid w:val="00D37670"/>
    <w:rsid w:val="00D37751"/>
    <w:rsid w:val="00D37754"/>
    <w:rsid w:val="00D3786E"/>
    <w:rsid w:val="00D378D2"/>
    <w:rsid w:val="00D37A0E"/>
    <w:rsid w:val="00D37B74"/>
    <w:rsid w:val="00D37DCD"/>
    <w:rsid w:val="00D37E3C"/>
    <w:rsid w:val="00D3C1B2"/>
    <w:rsid w:val="00D40091"/>
    <w:rsid w:val="00D40134"/>
    <w:rsid w:val="00D401B3"/>
    <w:rsid w:val="00D401CB"/>
    <w:rsid w:val="00D401D5"/>
    <w:rsid w:val="00D401D6"/>
    <w:rsid w:val="00D4024E"/>
    <w:rsid w:val="00D402A8"/>
    <w:rsid w:val="00D402BB"/>
    <w:rsid w:val="00D4037B"/>
    <w:rsid w:val="00D4041F"/>
    <w:rsid w:val="00D404E1"/>
    <w:rsid w:val="00D40530"/>
    <w:rsid w:val="00D40691"/>
    <w:rsid w:val="00D406D6"/>
    <w:rsid w:val="00D4073D"/>
    <w:rsid w:val="00D4076E"/>
    <w:rsid w:val="00D4085A"/>
    <w:rsid w:val="00D40867"/>
    <w:rsid w:val="00D409D8"/>
    <w:rsid w:val="00D409E3"/>
    <w:rsid w:val="00D40B8C"/>
    <w:rsid w:val="00D40CCA"/>
    <w:rsid w:val="00D40D46"/>
    <w:rsid w:val="00D40D68"/>
    <w:rsid w:val="00D40D72"/>
    <w:rsid w:val="00D40E07"/>
    <w:rsid w:val="00D40F1A"/>
    <w:rsid w:val="00D40F21"/>
    <w:rsid w:val="00D4101D"/>
    <w:rsid w:val="00D4104B"/>
    <w:rsid w:val="00D4109B"/>
    <w:rsid w:val="00D411BC"/>
    <w:rsid w:val="00D416D8"/>
    <w:rsid w:val="00D4171C"/>
    <w:rsid w:val="00D417D3"/>
    <w:rsid w:val="00D41855"/>
    <w:rsid w:val="00D41B2F"/>
    <w:rsid w:val="00D41C34"/>
    <w:rsid w:val="00D41CA4"/>
    <w:rsid w:val="00D41D08"/>
    <w:rsid w:val="00D41D76"/>
    <w:rsid w:val="00D41DFD"/>
    <w:rsid w:val="00D41E58"/>
    <w:rsid w:val="00D421C4"/>
    <w:rsid w:val="00D4226D"/>
    <w:rsid w:val="00D422CC"/>
    <w:rsid w:val="00D4241A"/>
    <w:rsid w:val="00D42594"/>
    <w:rsid w:val="00D425FF"/>
    <w:rsid w:val="00D427CE"/>
    <w:rsid w:val="00D42A5F"/>
    <w:rsid w:val="00D42B66"/>
    <w:rsid w:val="00D42F48"/>
    <w:rsid w:val="00D42FE7"/>
    <w:rsid w:val="00D4300D"/>
    <w:rsid w:val="00D4310F"/>
    <w:rsid w:val="00D43117"/>
    <w:rsid w:val="00D4317B"/>
    <w:rsid w:val="00D43385"/>
    <w:rsid w:val="00D4343A"/>
    <w:rsid w:val="00D43497"/>
    <w:rsid w:val="00D43533"/>
    <w:rsid w:val="00D435EE"/>
    <w:rsid w:val="00D4369E"/>
    <w:rsid w:val="00D43946"/>
    <w:rsid w:val="00D43B8F"/>
    <w:rsid w:val="00D43BFB"/>
    <w:rsid w:val="00D43C55"/>
    <w:rsid w:val="00D43E7B"/>
    <w:rsid w:val="00D43ED8"/>
    <w:rsid w:val="00D43F18"/>
    <w:rsid w:val="00D43F51"/>
    <w:rsid w:val="00D440FB"/>
    <w:rsid w:val="00D44163"/>
    <w:rsid w:val="00D441D8"/>
    <w:rsid w:val="00D4420E"/>
    <w:rsid w:val="00D4421C"/>
    <w:rsid w:val="00D44315"/>
    <w:rsid w:val="00D44405"/>
    <w:rsid w:val="00D44521"/>
    <w:rsid w:val="00D4456D"/>
    <w:rsid w:val="00D445E4"/>
    <w:rsid w:val="00D44649"/>
    <w:rsid w:val="00D446BE"/>
    <w:rsid w:val="00D447AA"/>
    <w:rsid w:val="00D44888"/>
    <w:rsid w:val="00D44B94"/>
    <w:rsid w:val="00D44B9E"/>
    <w:rsid w:val="00D44D8D"/>
    <w:rsid w:val="00D44FAD"/>
    <w:rsid w:val="00D44FDC"/>
    <w:rsid w:val="00D451D5"/>
    <w:rsid w:val="00D45223"/>
    <w:rsid w:val="00D45375"/>
    <w:rsid w:val="00D4541E"/>
    <w:rsid w:val="00D454BE"/>
    <w:rsid w:val="00D454E0"/>
    <w:rsid w:val="00D455CA"/>
    <w:rsid w:val="00D45653"/>
    <w:rsid w:val="00D4571A"/>
    <w:rsid w:val="00D457B7"/>
    <w:rsid w:val="00D45A6A"/>
    <w:rsid w:val="00D45A8A"/>
    <w:rsid w:val="00D45DBA"/>
    <w:rsid w:val="00D46048"/>
    <w:rsid w:val="00D46179"/>
    <w:rsid w:val="00D461F0"/>
    <w:rsid w:val="00D463D8"/>
    <w:rsid w:val="00D46503"/>
    <w:rsid w:val="00D46627"/>
    <w:rsid w:val="00D46640"/>
    <w:rsid w:val="00D469DE"/>
    <w:rsid w:val="00D46B9A"/>
    <w:rsid w:val="00D46C4E"/>
    <w:rsid w:val="00D46D3D"/>
    <w:rsid w:val="00D46D4D"/>
    <w:rsid w:val="00D46DDE"/>
    <w:rsid w:val="00D46E01"/>
    <w:rsid w:val="00D46EA3"/>
    <w:rsid w:val="00D46EF0"/>
    <w:rsid w:val="00D4701F"/>
    <w:rsid w:val="00D4704F"/>
    <w:rsid w:val="00D470DF"/>
    <w:rsid w:val="00D47101"/>
    <w:rsid w:val="00D4713B"/>
    <w:rsid w:val="00D47254"/>
    <w:rsid w:val="00D47374"/>
    <w:rsid w:val="00D47387"/>
    <w:rsid w:val="00D4738B"/>
    <w:rsid w:val="00D4741A"/>
    <w:rsid w:val="00D47476"/>
    <w:rsid w:val="00D476F6"/>
    <w:rsid w:val="00D47700"/>
    <w:rsid w:val="00D47805"/>
    <w:rsid w:val="00D47978"/>
    <w:rsid w:val="00D4797F"/>
    <w:rsid w:val="00D4799A"/>
    <w:rsid w:val="00D47A5A"/>
    <w:rsid w:val="00D47A79"/>
    <w:rsid w:val="00D47B82"/>
    <w:rsid w:val="00D47BF2"/>
    <w:rsid w:val="00D503E3"/>
    <w:rsid w:val="00D5049B"/>
    <w:rsid w:val="00D504D4"/>
    <w:rsid w:val="00D50626"/>
    <w:rsid w:val="00D50631"/>
    <w:rsid w:val="00D50651"/>
    <w:rsid w:val="00D5084A"/>
    <w:rsid w:val="00D50883"/>
    <w:rsid w:val="00D5088C"/>
    <w:rsid w:val="00D5095B"/>
    <w:rsid w:val="00D509A6"/>
    <w:rsid w:val="00D50A91"/>
    <w:rsid w:val="00D50BAD"/>
    <w:rsid w:val="00D50C04"/>
    <w:rsid w:val="00D50C1B"/>
    <w:rsid w:val="00D50E09"/>
    <w:rsid w:val="00D50ED1"/>
    <w:rsid w:val="00D510BC"/>
    <w:rsid w:val="00D51264"/>
    <w:rsid w:val="00D51311"/>
    <w:rsid w:val="00D5137A"/>
    <w:rsid w:val="00D513CB"/>
    <w:rsid w:val="00D513FD"/>
    <w:rsid w:val="00D51680"/>
    <w:rsid w:val="00D51707"/>
    <w:rsid w:val="00D51783"/>
    <w:rsid w:val="00D519A4"/>
    <w:rsid w:val="00D519C3"/>
    <w:rsid w:val="00D51B6A"/>
    <w:rsid w:val="00D51C51"/>
    <w:rsid w:val="00D51DA2"/>
    <w:rsid w:val="00D51E91"/>
    <w:rsid w:val="00D51E9E"/>
    <w:rsid w:val="00D52083"/>
    <w:rsid w:val="00D520B3"/>
    <w:rsid w:val="00D52119"/>
    <w:rsid w:val="00D5217A"/>
    <w:rsid w:val="00D5218E"/>
    <w:rsid w:val="00D522DC"/>
    <w:rsid w:val="00D523A6"/>
    <w:rsid w:val="00D5256A"/>
    <w:rsid w:val="00D5274D"/>
    <w:rsid w:val="00D5277F"/>
    <w:rsid w:val="00D528A2"/>
    <w:rsid w:val="00D528D7"/>
    <w:rsid w:val="00D52B99"/>
    <w:rsid w:val="00D52CE3"/>
    <w:rsid w:val="00D52EDD"/>
    <w:rsid w:val="00D53386"/>
    <w:rsid w:val="00D5343A"/>
    <w:rsid w:val="00D534E5"/>
    <w:rsid w:val="00D53565"/>
    <w:rsid w:val="00D53897"/>
    <w:rsid w:val="00D538AE"/>
    <w:rsid w:val="00D538E6"/>
    <w:rsid w:val="00D539E0"/>
    <w:rsid w:val="00D539ED"/>
    <w:rsid w:val="00D53A85"/>
    <w:rsid w:val="00D53C41"/>
    <w:rsid w:val="00D53C8B"/>
    <w:rsid w:val="00D53DF7"/>
    <w:rsid w:val="00D53F16"/>
    <w:rsid w:val="00D54027"/>
    <w:rsid w:val="00D54297"/>
    <w:rsid w:val="00D5431C"/>
    <w:rsid w:val="00D5442C"/>
    <w:rsid w:val="00D54639"/>
    <w:rsid w:val="00D546E9"/>
    <w:rsid w:val="00D5494E"/>
    <w:rsid w:val="00D54955"/>
    <w:rsid w:val="00D549EB"/>
    <w:rsid w:val="00D54A70"/>
    <w:rsid w:val="00D54A81"/>
    <w:rsid w:val="00D54B3D"/>
    <w:rsid w:val="00D54B8B"/>
    <w:rsid w:val="00D54CF8"/>
    <w:rsid w:val="00D54D4D"/>
    <w:rsid w:val="00D54E61"/>
    <w:rsid w:val="00D5529B"/>
    <w:rsid w:val="00D553B6"/>
    <w:rsid w:val="00D5543A"/>
    <w:rsid w:val="00D55503"/>
    <w:rsid w:val="00D555B8"/>
    <w:rsid w:val="00D5570F"/>
    <w:rsid w:val="00D559CC"/>
    <w:rsid w:val="00D55A32"/>
    <w:rsid w:val="00D55BE0"/>
    <w:rsid w:val="00D55DCA"/>
    <w:rsid w:val="00D5604B"/>
    <w:rsid w:val="00D56051"/>
    <w:rsid w:val="00D56155"/>
    <w:rsid w:val="00D5644C"/>
    <w:rsid w:val="00D564D6"/>
    <w:rsid w:val="00D564E1"/>
    <w:rsid w:val="00D565B0"/>
    <w:rsid w:val="00D5688A"/>
    <w:rsid w:val="00D568A3"/>
    <w:rsid w:val="00D56B22"/>
    <w:rsid w:val="00D56BE0"/>
    <w:rsid w:val="00D56C03"/>
    <w:rsid w:val="00D56CB5"/>
    <w:rsid w:val="00D56D15"/>
    <w:rsid w:val="00D56ED4"/>
    <w:rsid w:val="00D56F04"/>
    <w:rsid w:val="00D56F27"/>
    <w:rsid w:val="00D57252"/>
    <w:rsid w:val="00D572A4"/>
    <w:rsid w:val="00D572A8"/>
    <w:rsid w:val="00D57362"/>
    <w:rsid w:val="00D57561"/>
    <w:rsid w:val="00D577AF"/>
    <w:rsid w:val="00D57805"/>
    <w:rsid w:val="00D5788A"/>
    <w:rsid w:val="00D57919"/>
    <w:rsid w:val="00D5791C"/>
    <w:rsid w:val="00D57AB5"/>
    <w:rsid w:val="00D57B1A"/>
    <w:rsid w:val="00D57BEC"/>
    <w:rsid w:val="00D57C61"/>
    <w:rsid w:val="00D57DCD"/>
    <w:rsid w:val="00D57DD4"/>
    <w:rsid w:val="00D57E0E"/>
    <w:rsid w:val="00D57E2C"/>
    <w:rsid w:val="00D57F4B"/>
    <w:rsid w:val="00D57F91"/>
    <w:rsid w:val="00D57FB2"/>
    <w:rsid w:val="00D60304"/>
    <w:rsid w:val="00D60390"/>
    <w:rsid w:val="00D604A7"/>
    <w:rsid w:val="00D605E3"/>
    <w:rsid w:val="00D60805"/>
    <w:rsid w:val="00D60966"/>
    <w:rsid w:val="00D60B23"/>
    <w:rsid w:val="00D60B24"/>
    <w:rsid w:val="00D60B37"/>
    <w:rsid w:val="00D60B7A"/>
    <w:rsid w:val="00D60E9F"/>
    <w:rsid w:val="00D60F34"/>
    <w:rsid w:val="00D61333"/>
    <w:rsid w:val="00D61407"/>
    <w:rsid w:val="00D6161D"/>
    <w:rsid w:val="00D617DC"/>
    <w:rsid w:val="00D61BF0"/>
    <w:rsid w:val="00D61C0E"/>
    <w:rsid w:val="00D61CD0"/>
    <w:rsid w:val="00D61E10"/>
    <w:rsid w:val="00D6204D"/>
    <w:rsid w:val="00D6241D"/>
    <w:rsid w:val="00D62542"/>
    <w:rsid w:val="00D6260A"/>
    <w:rsid w:val="00D6273B"/>
    <w:rsid w:val="00D62937"/>
    <w:rsid w:val="00D62B30"/>
    <w:rsid w:val="00D62B49"/>
    <w:rsid w:val="00D62BAB"/>
    <w:rsid w:val="00D62D8E"/>
    <w:rsid w:val="00D62E2C"/>
    <w:rsid w:val="00D62F5C"/>
    <w:rsid w:val="00D62FC7"/>
    <w:rsid w:val="00D632BB"/>
    <w:rsid w:val="00D6330F"/>
    <w:rsid w:val="00D6344D"/>
    <w:rsid w:val="00D6352B"/>
    <w:rsid w:val="00D636C8"/>
    <w:rsid w:val="00D6371F"/>
    <w:rsid w:val="00D637B1"/>
    <w:rsid w:val="00D639EF"/>
    <w:rsid w:val="00D63A65"/>
    <w:rsid w:val="00D63B7C"/>
    <w:rsid w:val="00D63C3C"/>
    <w:rsid w:val="00D63C79"/>
    <w:rsid w:val="00D63E5F"/>
    <w:rsid w:val="00D63E84"/>
    <w:rsid w:val="00D63E89"/>
    <w:rsid w:val="00D63EA8"/>
    <w:rsid w:val="00D6401A"/>
    <w:rsid w:val="00D640B5"/>
    <w:rsid w:val="00D64444"/>
    <w:rsid w:val="00D644DD"/>
    <w:rsid w:val="00D64538"/>
    <w:rsid w:val="00D6456E"/>
    <w:rsid w:val="00D6474F"/>
    <w:rsid w:val="00D6477B"/>
    <w:rsid w:val="00D6486C"/>
    <w:rsid w:val="00D64998"/>
    <w:rsid w:val="00D64A34"/>
    <w:rsid w:val="00D64AAB"/>
    <w:rsid w:val="00D65014"/>
    <w:rsid w:val="00D65115"/>
    <w:rsid w:val="00D65491"/>
    <w:rsid w:val="00D65519"/>
    <w:rsid w:val="00D655B3"/>
    <w:rsid w:val="00D655D0"/>
    <w:rsid w:val="00D6566F"/>
    <w:rsid w:val="00D657DD"/>
    <w:rsid w:val="00D65A06"/>
    <w:rsid w:val="00D65AB7"/>
    <w:rsid w:val="00D65B38"/>
    <w:rsid w:val="00D66066"/>
    <w:rsid w:val="00D66265"/>
    <w:rsid w:val="00D66433"/>
    <w:rsid w:val="00D6655C"/>
    <w:rsid w:val="00D665B5"/>
    <w:rsid w:val="00D66728"/>
    <w:rsid w:val="00D66923"/>
    <w:rsid w:val="00D66B01"/>
    <w:rsid w:val="00D66C5A"/>
    <w:rsid w:val="00D66F52"/>
    <w:rsid w:val="00D67078"/>
    <w:rsid w:val="00D67149"/>
    <w:rsid w:val="00D671D9"/>
    <w:rsid w:val="00D673E6"/>
    <w:rsid w:val="00D67500"/>
    <w:rsid w:val="00D67627"/>
    <w:rsid w:val="00D676B0"/>
    <w:rsid w:val="00D67702"/>
    <w:rsid w:val="00D67A17"/>
    <w:rsid w:val="00D67ABE"/>
    <w:rsid w:val="00D67AD7"/>
    <w:rsid w:val="00D67AF7"/>
    <w:rsid w:val="00D67CB4"/>
    <w:rsid w:val="00D67CDB"/>
    <w:rsid w:val="00D67D00"/>
    <w:rsid w:val="00D67D3B"/>
    <w:rsid w:val="00D67D70"/>
    <w:rsid w:val="00D67EA0"/>
    <w:rsid w:val="00D67F61"/>
    <w:rsid w:val="00D67F72"/>
    <w:rsid w:val="00D7002B"/>
    <w:rsid w:val="00D70076"/>
    <w:rsid w:val="00D70508"/>
    <w:rsid w:val="00D70572"/>
    <w:rsid w:val="00D705F0"/>
    <w:rsid w:val="00D706BF"/>
    <w:rsid w:val="00D708CB"/>
    <w:rsid w:val="00D7098A"/>
    <w:rsid w:val="00D70A2D"/>
    <w:rsid w:val="00D70A80"/>
    <w:rsid w:val="00D70AAE"/>
    <w:rsid w:val="00D70B50"/>
    <w:rsid w:val="00D70CA7"/>
    <w:rsid w:val="00D70D8B"/>
    <w:rsid w:val="00D70E06"/>
    <w:rsid w:val="00D70FD4"/>
    <w:rsid w:val="00D70FD6"/>
    <w:rsid w:val="00D710FB"/>
    <w:rsid w:val="00D711A9"/>
    <w:rsid w:val="00D713C1"/>
    <w:rsid w:val="00D71585"/>
    <w:rsid w:val="00D71611"/>
    <w:rsid w:val="00D7163B"/>
    <w:rsid w:val="00D716FE"/>
    <w:rsid w:val="00D717C3"/>
    <w:rsid w:val="00D717CC"/>
    <w:rsid w:val="00D7182D"/>
    <w:rsid w:val="00D718CD"/>
    <w:rsid w:val="00D71954"/>
    <w:rsid w:val="00D719E9"/>
    <w:rsid w:val="00D71A11"/>
    <w:rsid w:val="00D71A8D"/>
    <w:rsid w:val="00D71C87"/>
    <w:rsid w:val="00D71D42"/>
    <w:rsid w:val="00D71DCB"/>
    <w:rsid w:val="00D71F80"/>
    <w:rsid w:val="00D72018"/>
    <w:rsid w:val="00D72026"/>
    <w:rsid w:val="00D720AE"/>
    <w:rsid w:val="00D720F1"/>
    <w:rsid w:val="00D72138"/>
    <w:rsid w:val="00D72403"/>
    <w:rsid w:val="00D72444"/>
    <w:rsid w:val="00D72562"/>
    <w:rsid w:val="00D72585"/>
    <w:rsid w:val="00D72594"/>
    <w:rsid w:val="00D72770"/>
    <w:rsid w:val="00D728D7"/>
    <w:rsid w:val="00D7291A"/>
    <w:rsid w:val="00D729CA"/>
    <w:rsid w:val="00D72B02"/>
    <w:rsid w:val="00D72BF2"/>
    <w:rsid w:val="00D72C35"/>
    <w:rsid w:val="00D72D9C"/>
    <w:rsid w:val="00D73365"/>
    <w:rsid w:val="00D734EE"/>
    <w:rsid w:val="00D735B5"/>
    <w:rsid w:val="00D735EA"/>
    <w:rsid w:val="00D73635"/>
    <w:rsid w:val="00D736F3"/>
    <w:rsid w:val="00D7376B"/>
    <w:rsid w:val="00D737AF"/>
    <w:rsid w:val="00D7392D"/>
    <w:rsid w:val="00D73A12"/>
    <w:rsid w:val="00D73A49"/>
    <w:rsid w:val="00D73A97"/>
    <w:rsid w:val="00D73B33"/>
    <w:rsid w:val="00D73C97"/>
    <w:rsid w:val="00D73F4F"/>
    <w:rsid w:val="00D7421E"/>
    <w:rsid w:val="00D74250"/>
    <w:rsid w:val="00D74455"/>
    <w:rsid w:val="00D74628"/>
    <w:rsid w:val="00D7484D"/>
    <w:rsid w:val="00D748EF"/>
    <w:rsid w:val="00D74C22"/>
    <w:rsid w:val="00D74DB0"/>
    <w:rsid w:val="00D74E05"/>
    <w:rsid w:val="00D74E8F"/>
    <w:rsid w:val="00D74E9E"/>
    <w:rsid w:val="00D75007"/>
    <w:rsid w:val="00D75035"/>
    <w:rsid w:val="00D75144"/>
    <w:rsid w:val="00D75326"/>
    <w:rsid w:val="00D753FE"/>
    <w:rsid w:val="00D7548F"/>
    <w:rsid w:val="00D75527"/>
    <w:rsid w:val="00D75529"/>
    <w:rsid w:val="00D755CC"/>
    <w:rsid w:val="00D759E1"/>
    <w:rsid w:val="00D759F4"/>
    <w:rsid w:val="00D75AAA"/>
    <w:rsid w:val="00D75AB4"/>
    <w:rsid w:val="00D75B09"/>
    <w:rsid w:val="00D75CEA"/>
    <w:rsid w:val="00D76017"/>
    <w:rsid w:val="00D760CB"/>
    <w:rsid w:val="00D76140"/>
    <w:rsid w:val="00D761AE"/>
    <w:rsid w:val="00D76296"/>
    <w:rsid w:val="00D762DB"/>
    <w:rsid w:val="00D763D4"/>
    <w:rsid w:val="00D76813"/>
    <w:rsid w:val="00D76C22"/>
    <w:rsid w:val="00D76C2E"/>
    <w:rsid w:val="00D76E7E"/>
    <w:rsid w:val="00D76FA0"/>
    <w:rsid w:val="00D7719A"/>
    <w:rsid w:val="00D771D5"/>
    <w:rsid w:val="00D7722B"/>
    <w:rsid w:val="00D772F9"/>
    <w:rsid w:val="00D77311"/>
    <w:rsid w:val="00D7738B"/>
    <w:rsid w:val="00D774C3"/>
    <w:rsid w:val="00D774DE"/>
    <w:rsid w:val="00D77523"/>
    <w:rsid w:val="00D7762E"/>
    <w:rsid w:val="00D776C1"/>
    <w:rsid w:val="00D7777C"/>
    <w:rsid w:val="00D77780"/>
    <w:rsid w:val="00D77B05"/>
    <w:rsid w:val="00D77CBC"/>
    <w:rsid w:val="00D77CBF"/>
    <w:rsid w:val="00D77D53"/>
    <w:rsid w:val="00D77D5E"/>
    <w:rsid w:val="00D77F83"/>
    <w:rsid w:val="00D80099"/>
    <w:rsid w:val="00D801AC"/>
    <w:rsid w:val="00D8028E"/>
    <w:rsid w:val="00D802B2"/>
    <w:rsid w:val="00D802F6"/>
    <w:rsid w:val="00D8038D"/>
    <w:rsid w:val="00D80796"/>
    <w:rsid w:val="00D8087F"/>
    <w:rsid w:val="00D8089E"/>
    <w:rsid w:val="00D809CC"/>
    <w:rsid w:val="00D80B90"/>
    <w:rsid w:val="00D80BC4"/>
    <w:rsid w:val="00D80D3A"/>
    <w:rsid w:val="00D80D69"/>
    <w:rsid w:val="00D80E76"/>
    <w:rsid w:val="00D80F36"/>
    <w:rsid w:val="00D8118E"/>
    <w:rsid w:val="00D81195"/>
    <w:rsid w:val="00D811D8"/>
    <w:rsid w:val="00D8127D"/>
    <w:rsid w:val="00D812F8"/>
    <w:rsid w:val="00D813E6"/>
    <w:rsid w:val="00D81505"/>
    <w:rsid w:val="00D81530"/>
    <w:rsid w:val="00D81532"/>
    <w:rsid w:val="00D8155B"/>
    <w:rsid w:val="00D815A3"/>
    <w:rsid w:val="00D816D3"/>
    <w:rsid w:val="00D8171F"/>
    <w:rsid w:val="00D81877"/>
    <w:rsid w:val="00D818DB"/>
    <w:rsid w:val="00D81B5A"/>
    <w:rsid w:val="00D81BF6"/>
    <w:rsid w:val="00D81C02"/>
    <w:rsid w:val="00D81CA3"/>
    <w:rsid w:val="00D81F71"/>
    <w:rsid w:val="00D81FA5"/>
    <w:rsid w:val="00D81FE2"/>
    <w:rsid w:val="00D82032"/>
    <w:rsid w:val="00D820F3"/>
    <w:rsid w:val="00D82109"/>
    <w:rsid w:val="00D82208"/>
    <w:rsid w:val="00D8225C"/>
    <w:rsid w:val="00D82414"/>
    <w:rsid w:val="00D824CD"/>
    <w:rsid w:val="00D8267D"/>
    <w:rsid w:val="00D82960"/>
    <w:rsid w:val="00D82C56"/>
    <w:rsid w:val="00D82C8C"/>
    <w:rsid w:val="00D82E66"/>
    <w:rsid w:val="00D82F28"/>
    <w:rsid w:val="00D82FB4"/>
    <w:rsid w:val="00D831E1"/>
    <w:rsid w:val="00D83488"/>
    <w:rsid w:val="00D8353D"/>
    <w:rsid w:val="00D8355A"/>
    <w:rsid w:val="00D835CA"/>
    <w:rsid w:val="00D836E0"/>
    <w:rsid w:val="00D83B56"/>
    <w:rsid w:val="00D83CB8"/>
    <w:rsid w:val="00D83D10"/>
    <w:rsid w:val="00D83D49"/>
    <w:rsid w:val="00D83E64"/>
    <w:rsid w:val="00D83F62"/>
    <w:rsid w:val="00D83F6A"/>
    <w:rsid w:val="00D83FCD"/>
    <w:rsid w:val="00D8408F"/>
    <w:rsid w:val="00D8409A"/>
    <w:rsid w:val="00D840BA"/>
    <w:rsid w:val="00D842D1"/>
    <w:rsid w:val="00D8432A"/>
    <w:rsid w:val="00D8455D"/>
    <w:rsid w:val="00D845AB"/>
    <w:rsid w:val="00D846B3"/>
    <w:rsid w:val="00D84708"/>
    <w:rsid w:val="00D84788"/>
    <w:rsid w:val="00D847AD"/>
    <w:rsid w:val="00D847E6"/>
    <w:rsid w:val="00D8484E"/>
    <w:rsid w:val="00D8489C"/>
    <w:rsid w:val="00D848C1"/>
    <w:rsid w:val="00D848EE"/>
    <w:rsid w:val="00D84918"/>
    <w:rsid w:val="00D849E0"/>
    <w:rsid w:val="00D84BAF"/>
    <w:rsid w:val="00D84D34"/>
    <w:rsid w:val="00D84E5E"/>
    <w:rsid w:val="00D84F27"/>
    <w:rsid w:val="00D85061"/>
    <w:rsid w:val="00D85212"/>
    <w:rsid w:val="00D85304"/>
    <w:rsid w:val="00D85398"/>
    <w:rsid w:val="00D853EB"/>
    <w:rsid w:val="00D855D1"/>
    <w:rsid w:val="00D855E6"/>
    <w:rsid w:val="00D85659"/>
    <w:rsid w:val="00D85695"/>
    <w:rsid w:val="00D856F1"/>
    <w:rsid w:val="00D858EC"/>
    <w:rsid w:val="00D85C75"/>
    <w:rsid w:val="00D85CB7"/>
    <w:rsid w:val="00D85F97"/>
    <w:rsid w:val="00D85FC8"/>
    <w:rsid w:val="00D860B0"/>
    <w:rsid w:val="00D86281"/>
    <w:rsid w:val="00D86284"/>
    <w:rsid w:val="00D863D4"/>
    <w:rsid w:val="00D86486"/>
    <w:rsid w:val="00D865D1"/>
    <w:rsid w:val="00D86688"/>
    <w:rsid w:val="00D867F7"/>
    <w:rsid w:val="00D86894"/>
    <w:rsid w:val="00D8692A"/>
    <w:rsid w:val="00D86963"/>
    <w:rsid w:val="00D86A18"/>
    <w:rsid w:val="00D86C57"/>
    <w:rsid w:val="00D86D5D"/>
    <w:rsid w:val="00D86E49"/>
    <w:rsid w:val="00D86E5A"/>
    <w:rsid w:val="00D86EF7"/>
    <w:rsid w:val="00D86F7D"/>
    <w:rsid w:val="00D86F9F"/>
    <w:rsid w:val="00D870FE"/>
    <w:rsid w:val="00D8712E"/>
    <w:rsid w:val="00D87376"/>
    <w:rsid w:val="00D8738B"/>
    <w:rsid w:val="00D87515"/>
    <w:rsid w:val="00D8754E"/>
    <w:rsid w:val="00D87710"/>
    <w:rsid w:val="00D87719"/>
    <w:rsid w:val="00D877C5"/>
    <w:rsid w:val="00D87817"/>
    <w:rsid w:val="00D87AF8"/>
    <w:rsid w:val="00D87B33"/>
    <w:rsid w:val="00D87C63"/>
    <w:rsid w:val="00D87F06"/>
    <w:rsid w:val="00D87F27"/>
    <w:rsid w:val="00D9006D"/>
    <w:rsid w:val="00D903D0"/>
    <w:rsid w:val="00D90404"/>
    <w:rsid w:val="00D904F1"/>
    <w:rsid w:val="00D90653"/>
    <w:rsid w:val="00D9089B"/>
    <w:rsid w:val="00D90918"/>
    <w:rsid w:val="00D90978"/>
    <w:rsid w:val="00D90A3E"/>
    <w:rsid w:val="00D90A91"/>
    <w:rsid w:val="00D90C7A"/>
    <w:rsid w:val="00D90D48"/>
    <w:rsid w:val="00D90D72"/>
    <w:rsid w:val="00D90E43"/>
    <w:rsid w:val="00D90FBC"/>
    <w:rsid w:val="00D911DA"/>
    <w:rsid w:val="00D912BE"/>
    <w:rsid w:val="00D9146A"/>
    <w:rsid w:val="00D914F6"/>
    <w:rsid w:val="00D91752"/>
    <w:rsid w:val="00D91A80"/>
    <w:rsid w:val="00D91A9F"/>
    <w:rsid w:val="00D91AEC"/>
    <w:rsid w:val="00D91F10"/>
    <w:rsid w:val="00D91F44"/>
    <w:rsid w:val="00D920D4"/>
    <w:rsid w:val="00D922EC"/>
    <w:rsid w:val="00D92390"/>
    <w:rsid w:val="00D923C8"/>
    <w:rsid w:val="00D924F6"/>
    <w:rsid w:val="00D925CA"/>
    <w:rsid w:val="00D92769"/>
    <w:rsid w:val="00D928E2"/>
    <w:rsid w:val="00D9293A"/>
    <w:rsid w:val="00D92ABB"/>
    <w:rsid w:val="00D92D23"/>
    <w:rsid w:val="00D92E18"/>
    <w:rsid w:val="00D92EDF"/>
    <w:rsid w:val="00D92EE8"/>
    <w:rsid w:val="00D93095"/>
    <w:rsid w:val="00D930AE"/>
    <w:rsid w:val="00D930DD"/>
    <w:rsid w:val="00D93238"/>
    <w:rsid w:val="00D934D2"/>
    <w:rsid w:val="00D9356F"/>
    <w:rsid w:val="00D935D9"/>
    <w:rsid w:val="00D9366B"/>
    <w:rsid w:val="00D93719"/>
    <w:rsid w:val="00D93776"/>
    <w:rsid w:val="00D93907"/>
    <w:rsid w:val="00D9397B"/>
    <w:rsid w:val="00D93BEF"/>
    <w:rsid w:val="00D93C17"/>
    <w:rsid w:val="00D93C7B"/>
    <w:rsid w:val="00D93D15"/>
    <w:rsid w:val="00D93F26"/>
    <w:rsid w:val="00D94019"/>
    <w:rsid w:val="00D9405E"/>
    <w:rsid w:val="00D940AA"/>
    <w:rsid w:val="00D940DB"/>
    <w:rsid w:val="00D942C0"/>
    <w:rsid w:val="00D94304"/>
    <w:rsid w:val="00D94589"/>
    <w:rsid w:val="00D94626"/>
    <w:rsid w:val="00D9462F"/>
    <w:rsid w:val="00D94671"/>
    <w:rsid w:val="00D94814"/>
    <w:rsid w:val="00D94815"/>
    <w:rsid w:val="00D94874"/>
    <w:rsid w:val="00D94965"/>
    <w:rsid w:val="00D949F1"/>
    <w:rsid w:val="00D94AC3"/>
    <w:rsid w:val="00D94B38"/>
    <w:rsid w:val="00D94B8D"/>
    <w:rsid w:val="00D94BF8"/>
    <w:rsid w:val="00D94C5C"/>
    <w:rsid w:val="00D94CEE"/>
    <w:rsid w:val="00D94DB7"/>
    <w:rsid w:val="00D94E46"/>
    <w:rsid w:val="00D94E51"/>
    <w:rsid w:val="00D94E53"/>
    <w:rsid w:val="00D94E85"/>
    <w:rsid w:val="00D94FDA"/>
    <w:rsid w:val="00D95037"/>
    <w:rsid w:val="00D9511D"/>
    <w:rsid w:val="00D951E7"/>
    <w:rsid w:val="00D953BF"/>
    <w:rsid w:val="00D9573B"/>
    <w:rsid w:val="00D95A3E"/>
    <w:rsid w:val="00D95ACD"/>
    <w:rsid w:val="00D95BC0"/>
    <w:rsid w:val="00D95BE7"/>
    <w:rsid w:val="00D9608E"/>
    <w:rsid w:val="00D962DD"/>
    <w:rsid w:val="00D963C4"/>
    <w:rsid w:val="00D96558"/>
    <w:rsid w:val="00D96648"/>
    <w:rsid w:val="00D96E28"/>
    <w:rsid w:val="00D96E48"/>
    <w:rsid w:val="00D96E60"/>
    <w:rsid w:val="00D96E81"/>
    <w:rsid w:val="00D96FA7"/>
    <w:rsid w:val="00D96FDE"/>
    <w:rsid w:val="00D97050"/>
    <w:rsid w:val="00D97139"/>
    <w:rsid w:val="00D971E9"/>
    <w:rsid w:val="00D973C2"/>
    <w:rsid w:val="00D977D0"/>
    <w:rsid w:val="00D97872"/>
    <w:rsid w:val="00D9797D"/>
    <w:rsid w:val="00D97A78"/>
    <w:rsid w:val="00D97C9E"/>
    <w:rsid w:val="00D97CEE"/>
    <w:rsid w:val="00D97DFC"/>
    <w:rsid w:val="00D97E25"/>
    <w:rsid w:val="00D97E36"/>
    <w:rsid w:val="00D97F1B"/>
    <w:rsid w:val="00D97F80"/>
    <w:rsid w:val="00DA019F"/>
    <w:rsid w:val="00DA0220"/>
    <w:rsid w:val="00DA023C"/>
    <w:rsid w:val="00DA03A8"/>
    <w:rsid w:val="00DA046D"/>
    <w:rsid w:val="00DA04EA"/>
    <w:rsid w:val="00DA0576"/>
    <w:rsid w:val="00DA0695"/>
    <w:rsid w:val="00DA0975"/>
    <w:rsid w:val="00DA0978"/>
    <w:rsid w:val="00DA0A55"/>
    <w:rsid w:val="00DA0ADC"/>
    <w:rsid w:val="00DA0C07"/>
    <w:rsid w:val="00DA0CA6"/>
    <w:rsid w:val="00DA0DBE"/>
    <w:rsid w:val="00DA0E96"/>
    <w:rsid w:val="00DA0F40"/>
    <w:rsid w:val="00DA0FEE"/>
    <w:rsid w:val="00DA10EE"/>
    <w:rsid w:val="00DA11A5"/>
    <w:rsid w:val="00DA12B1"/>
    <w:rsid w:val="00DA143C"/>
    <w:rsid w:val="00DA1488"/>
    <w:rsid w:val="00DA1736"/>
    <w:rsid w:val="00DA1744"/>
    <w:rsid w:val="00DA193A"/>
    <w:rsid w:val="00DA1A3B"/>
    <w:rsid w:val="00DA1AC2"/>
    <w:rsid w:val="00DA1B5D"/>
    <w:rsid w:val="00DA1BB4"/>
    <w:rsid w:val="00DA1D98"/>
    <w:rsid w:val="00DA1DB8"/>
    <w:rsid w:val="00DA1F70"/>
    <w:rsid w:val="00DA1FC1"/>
    <w:rsid w:val="00DA200F"/>
    <w:rsid w:val="00DA2265"/>
    <w:rsid w:val="00DA23F2"/>
    <w:rsid w:val="00DA257B"/>
    <w:rsid w:val="00DA2613"/>
    <w:rsid w:val="00DA2762"/>
    <w:rsid w:val="00DA2951"/>
    <w:rsid w:val="00DA2A31"/>
    <w:rsid w:val="00DA2BED"/>
    <w:rsid w:val="00DA2BFE"/>
    <w:rsid w:val="00DA2F3C"/>
    <w:rsid w:val="00DA30ED"/>
    <w:rsid w:val="00DA312C"/>
    <w:rsid w:val="00DA31ED"/>
    <w:rsid w:val="00DA32BF"/>
    <w:rsid w:val="00DA32CF"/>
    <w:rsid w:val="00DA347E"/>
    <w:rsid w:val="00DA37D6"/>
    <w:rsid w:val="00DA3873"/>
    <w:rsid w:val="00DA38AD"/>
    <w:rsid w:val="00DA39A2"/>
    <w:rsid w:val="00DA39B3"/>
    <w:rsid w:val="00DA3AD4"/>
    <w:rsid w:val="00DA3C63"/>
    <w:rsid w:val="00DA3C75"/>
    <w:rsid w:val="00DA3D44"/>
    <w:rsid w:val="00DA3E81"/>
    <w:rsid w:val="00DA418B"/>
    <w:rsid w:val="00DA43EC"/>
    <w:rsid w:val="00DA4563"/>
    <w:rsid w:val="00DA47B7"/>
    <w:rsid w:val="00DA48F5"/>
    <w:rsid w:val="00DA494C"/>
    <w:rsid w:val="00DA499C"/>
    <w:rsid w:val="00DA49EF"/>
    <w:rsid w:val="00DA4A23"/>
    <w:rsid w:val="00DA4C81"/>
    <w:rsid w:val="00DA4C9C"/>
    <w:rsid w:val="00DA4CE2"/>
    <w:rsid w:val="00DA4ECF"/>
    <w:rsid w:val="00DA4F9B"/>
    <w:rsid w:val="00DA4FFF"/>
    <w:rsid w:val="00DA5020"/>
    <w:rsid w:val="00DA507F"/>
    <w:rsid w:val="00DA50E9"/>
    <w:rsid w:val="00DA5144"/>
    <w:rsid w:val="00DA5157"/>
    <w:rsid w:val="00DA51BF"/>
    <w:rsid w:val="00DA51DD"/>
    <w:rsid w:val="00DA5399"/>
    <w:rsid w:val="00DA542C"/>
    <w:rsid w:val="00DA5522"/>
    <w:rsid w:val="00DA5857"/>
    <w:rsid w:val="00DA58FC"/>
    <w:rsid w:val="00DA59A5"/>
    <w:rsid w:val="00DA59B8"/>
    <w:rsid w:val="00DA5A3A"/>
    <w:rsid w:val="00DA5AC7"/>
    <w:rsid w:val="00DA5B55"/>
    <w:rsid w:val="00DA5C28"/>
    <w:rsid w:val="00DA5DE9"/>
    <w:rsid w:val="00DA5F42"/>
    <w:rsid w:val="00DA604D"/>
    <w:rsid w:val="00DA6100"/>
    <w:rsid w:val="00DA6175"/>
    <w:rsid w:val="00DA65F9"/>
    <w:rsid w:val="00DA67F8"/>
    <w:rsid w:val="00DA6A06"/>
    <w:rsid w:val="00DA6ADD"/>
    <w:rsid w:val="00DA6B6D"/>
    <w:rsid w:val="00DA6B7A"/>
    <w:rsid w:val="00DA6C77"/>
    <w:rsid w:val="00DA6D6B"/>
    <w:rsid w:val="00DA6EA6"/>
    <w:rsid w:val="00DA6EC7"/>
    <w:rsid w:val="00DA700B"/>
    <w:rsid w:val="00DA7118"/>
    <w:rsid w:val="00DA728B"/>
    <w:rsid w:val="00DA732E"/>
    <w:rsid w:val="00DA7352"/>
    <w:rsid w:val="00DA755C"/>
    <w:rsid w:val="00DA75B6"/>
    <w:rsid w:val="00DA7DA6"/>
    <w:rsid w:val="00DA7DB4"/>
    <w:rsid w:val="00DA7DBC"/>
    <w:rsid w:val="00DA7DC2"/>
    <w:rsid w:val="00DA7DF5"/>
    <w:rsid w:val="00DAFC41"/>
    <w:rsid w:val="00DB0052"/>
    <w:rsid w:val="00DB0133"/>
    <w:rsid w:val="00DB0190"/>
    <w:rsid w:val="00DB01D9"/>
    <w:rsid w:val="00DB0285"/>
    <w:rsid w:val="00DB0397"/>
    <w:rsid w:val="00DB04B7"/>
    <w:rsid w:val="00DB04B8"/>
    <w:rsid w:val="00DB0669"/>
    <w:rsid w:val="00DB06AC"/>
    <w:rsid w:val="00DB06C3"/>
    <w:rsid w:val="00DB075B"/>
    <w:rsid w:val="00DB07DE"/>
    <w:rsid w:val="00DB0874"/>
    <w:rsid w:val="00DB087A"/>
    <w:rsid w:val="00DB0B7D"/>
    <w:rsid w:val="00DB0DB4"/>
    <w:rsid w:val="00DB0DE0"/>
    <w:rsid w:val="00DB0FE6"/>
    <w:rsid w:val="00DB1151"/>
    <w:rsid w:val="00DB15D6"/>
    <w:rsid w:val="00DB167C"/>
    <w:rsid w:val="00DB1745"/>
    <w:rsid w:val="00DB17D2"/>
    <w:rsid w:val="00DB1851"/>
    <w:rsid w:val="00DB18C0"/>
    <w:rsid w:val="00DB198F"/>
    <w:rsid w:val="00DB19AB"/>
    <w:rsid w:val="00DB1A0D"/>
    <w:rsid w:val="00DB1B1E"/>
    <w:rsid w:val="00DB206F"/>
    <w:rsid w:val="00DB2136"/>
    <w:rsid w:val="00DB2222"/>
    <w:rsid w:val="00DB26AE"/>
    <w:rsid w:val="00DB283E"/>
    <w:rsid w:val="00DB28A1"/>
    <w:rsid w:val="00DB294B"/>
    <w:rsid w:val="00DB2AD1"/>
    <w:rsid w:val="00DB2AF5"/>
    <w:rsid w:val="00DB2CF1"/>
    <w:rsid w:val="00DB2DB4"/>
    <w:rsid w:val="00DB2E3A"/>
    <w:rsid w:val="00DB2EEE"/>
    <w:rsid w:val="00DB31BF"/>
    <w:rsid w:val="00DB323D"/>
    <w:rsid w:val="00DB3254"/>
    <w:rsid w:val="00DB34F2"/>
    <w:rsid w:val="00DB35A2"/>
    <w:rsid w:val="00DB3605"/>
    <w:rsid w:val="00DB36FC"/>
    <w:rsid w:val="00DB38A4"/>
    <w:rsid w:val="00DB3A6E"/>
    <w:rsid w:val="00DB3D2B"/>
    <w:rsid w:val="00DB3E36"/>
    <w:rsid w:val="00DB3E55"/>
    <w:rsid w:val="00DB3EA0"/>
    <w:rsid w:val="00DB3EDE"/>
    <w:rsid w:val="00DB4045"/>
    <w:rsid w:val="00DB40FB"/>
    <w:rsid w:val="00DB41BA"/>
    <w:rsid w:val="00DB41CC"/>
    <w:rsid w:val="00DB42C7"/>
    <w:rsid w:val="00DB438D"/>
    <w:rsid w:val="00DB43B3"/>
    <w:rsid w:val="00DB43E6"/>
    <w:rsid w:val="00DB4415"/>
    <w:rsid w:val="00DB4424"/>
    <w:rsid w:val="00DB4495"/>
    <w:rsid w:val="00DB462F"/>
    <w:rsid w:val="00DB46C9"/>
    <w:rsid w:val="00DB4779"/>
    <w:rsid w:val="00DB4839"/>
    <w:rsid w:val="00DB4A46"/>
    <w:rsid w:val="00DB4A7F"/>
    <w:rsid w:val="00DB4B1A"/>
    <w:rsid w:val="00DB4CB6"/>
    <w:rsid w:val="00DB4D28"/>
    <w:rsid w:val="00DB4DB6"/>
    <w:rsid w:val="00DB4F12"/>
    <w:rsid w:val="00DB5002"/>
    <w:rsid w:val="00DB5016"/>
    <w:rsid w:val="00DB50C6"/>
    <w:rsid w:val="00DB50DD"/>
    <w:rsid w:val="00DB5124"/>
    <w:rsid w:val="00DB5125"/>
    <w:rsid w:val="00DB519E"/>
    <w:rsid w:val="00DB5304"/>
    <w:rsid w:val="00DB5351"/>
    <w:rsid w:val="00DB53C1"/>
    <w:rsid w:val="00DB53DE"/>
    <w:rsid w:val="00DB553B"/>
    <w:rsid w:val="00DB5574"/>
    <w:rsid w:val="00DB557E"/>
    <w:rsid w:val="00DB57C1"/>
    <w:rsid w:val="00DB59E3"/>
    <w:rsid w:val="00DB5C2C"/>
    <w:rsid w:val="00DB5DBD"/>
    <w:rsid w:val="00DB5F64"/>
    <w:rsid w:val="00DB5F9A"/>
    <w:rsid w:val="00DB6142"/>
    <w:rsid w:val="00DB6339"/>
    <w:rsid w:val="00DB6614"/>
    <w:rsid w:val="00DB67AE"/>
    <w:rsid w:val="00DB6874"/>
    <w:rsid w:val="00DB68A4"/>
    <w:rsid w:val="00DB69D6"/>
    <w:rsid w:val="00DB6B33"/>
    <w:rsid w:val="00DB6B8D"/>
    <w:rsid w:val="00DB6BEB"/>
    <w:rsid w:val="00DB6CC7"/>
    <w:rsid w:val="00DB6DC9"/>
    <w:rsid w:val="00DB6F65"/>
    <w:rsid w:val="00DB6FF6"/>
    <w:rsid w:val="00DB71D0"/>
    <w:rsid w:val="00DB7221"/>
    <w:rsid w:val="00DB736E"/>
    <w:rsid w:val="00DB7390"/>
    <w:rsid w:val="00DB755D"/>
    <w:rsid w:val="00DB7584"/>
    <w:rsid w:val="00DB77B0"/>
    <w:rsid w:val="00DB77F5"/>
    <w:rsid w:val="00DB79E4"/>
    <w:rsid w:val="00DB7AE2"/>
    <w:rsid w:val="00DB7B66"/>
    <w:rsid w:val="00DB7B85"/>
    <w:rsid w:val="00DB7CAF"/>
    <w:rsid w:val="00DB7CEE"/>
    <w:rsid w:val="00DB7E27"/>
    <w:rsid w:val="00DC0113"/>
    <w:rsid w:val="00DC0115"/>
    <w:rsid w:val="00DC0170"/>
    <w:rsid w:val="00DC023D"/>
    <w:rsid w:val="00DC0352"/>
    <w:rsid w:val="00DC035C"/>
    <w:rsid w:val="00DC0439"/>
    <w:rsid w:val="00DC047E"/>
    <w:rsid w:val="00DC0511"/>
    <w:rsid w:val="00DC06D8"/>
    <w:rsid w:val="00DC085C"/>
    <w:rsid w:val="00DC08BE"/>
    <w:rsid w:val="00DC08E2"/>
    <w:rsid w:val="00DC0944"/>
    <w:rsid w:val="00DC0AB3"/>
    <w:rsid w:val="00DC0B7D"/>
    <w:rsid w:val="00DC0BB8"/>
    <w:rsid w:val="00DC0BEB"/>
    <w:rsid w:val="00DC0CC2"/>
    <w:rsid w:val="00DC0CE0"/>
    <w:rsid w:val="00DC0E6A"/>
    <w:rsid w:val="00DC0F1D"/>
    <w:rsid w:val="00DC10B3"/>
    <w:rsid w:val="00DC10BA"/>
    <w:rsid w:val="00DC10EC"/>
    <w:rsid w:val="00DC111C"/>
    <w:rsid w:val="00DC113B"/>
    <w:rsid w:val="00DC134D"/>
    <w:rsid w:val="00DC16AA"/>
    <w:rsid w:val="00DC1891"/>
    <w:rsid w:val="00DC18BF"/>
    <w:rsid w:val="00DC19CA"/>
    <w:rsid w:val="00DC1B13"/>
    <w:rsid w:val="00DC1B42"/>
    <w:rsid w:val="00DC1B9D"/>
    <w:rsid w:val="00DC1EF5"/>
    <w:rsid w:val="00DC220B"/>
    <w:rsid w:val="00DC22BA"/>
    <w:rsid w:val="00DC2330"/>
    <w:rsid w:val="00DC239E"/>
    <w:rsid w:val="00DC259F"/>
    <w:rsid w:val="00DC2731"/>
    <w:rsid w:val="00DC27A9"/>
    <w:rsid w:val="00DC2834"/>
    <w:rsid w:val="00DC2B03"/>
    <w:rsid w:val="00DC2B3F"/>
    <w:rsid w:val="00DC2C34"/>
    <w:rsid w:val="00DC2CD8"/>
    <w:rsid w:val="00DC2CFC"/>
    <w:rsid w:val="00DC3160"/>
    <w:rsid w:val="00DC3259"/>
    <w:rsid w:val="00DC331B"/>
    <w:rsid w:val="00DC3380"/>
    <w:rsid w:val="00DC344B"/>
    <w:rsid w:val="00DC3458"/>
    <w:rsid w:val="00DC34B2"/>
    <w:rsid w:val="00DC38A6"/>
    <w:rsid w:val="00DC38B3"/>
    <w:rsid w:val="00DC3D09"/>
    <w:rsid w:val="00DC3E1E"/>
    <w:rsid w:val="00DC3FBE"/>
    <w:rsid w:val="00DC4281"/>
    <w:rsid w:val="00DC433C"/>
    <w:rsid w:val="00DC4495"/>
    <w:rsid w:val="00DC44F6"/>
    <w:rsid w:val="00DC45FC"/>
    <w:rsid w:val="00DC4670"/>
    <w:rsid w:val="00DC468B"/>
    <w:rsid w:val="00DC4C02"/>
    <w:rsid w:val="00DC4C51"/>
    <w:rsid w:val="00DC5055"/>
    <w:rsid w:val="00DC5164"/>
    <w:rsid w:val="00DC518F"/>
    <w:rsid w:val="00DC52AC"/>
    <w:rsid w:val="00DC554C"/>
    <w:rsid w:val="00DC55A9"/>
    <w:rsid w:val="00DC566E"/>
    <w:rsid w:val="00DC5980"/>
    <w:rsid w:val="00DC5B17"/>
    <w:rsid w:val="00DC5C06"/>
    <w:rsid w:val="00DC5DFB"/>
    <w:rsid w:val="00DC5F3F"/>
    <w:rsid w:val="00DC60C4"/>
    <w:rsid w:val="00DC6185"/>
    <w:rsid w:val="00DC618E"/>
    <w:rsid w:val="00DC6255"/>
    <w:rsid w:val="00DC62F5"/>
    <w:rsid w:val="00DC6425"/>
    <w:rsid w:val="00DC6447"/>
    <w:rsid w:val="00DC64D4"/>
    <w:rsid w:val="00DC68B5"/>
    <w:rsid w:val="00DC6958"/>
    <w:rsid w:val="00DC6A9E"/>
    <w:rsid w:val="00DC6BC6"/>
    <w:rsid w:val="00DC6D10"/>
    <w:rsid w:val="00DC6E29"/>
    <w:rsid w:val="00DC6EE9"/>
    <w:rsid w:val="00DC7158"/>
    <w:rsid w:val="00DC71CB"/>
    <w:rsid w:val="00DC71F8"/>
    <w:rsid w:val="00DC7226"/>
    <w:rsid w:val="00DC7278"/>
    <w:rsid w:val="00DC730E"/>
    <w:rsid w:val="00DC739E"/>
    <w:rsid w:val="00DC7543"/>
    <w:rsid w:val="00DC7575"/>
    <w:rsid w:val="00DC75F3"/>
    <w:rsid w:val="00DC7799"/>
    <w:rsid w:val="00DC7820"/>
    <w:rsid w:val="00DC7875"/>
    <w:rsid w:val="00DC79BD"/>
    <w:rsid w:val="00DC7CC6"/>
    <w:rsid w:val="00DC7E42"/>
    <w:rsid w:val="00DC7FD0"/>
    <w:rsid w:val="00DD00AD"/>
    <w:rsid w:val="00DD018C"/>
    <w:rsid w:val="00DD01C7"/>
    <w:rsid w:val="00DD03D0"/>
    <w:rsid w:val="00DD044B"/>
    <w:rsid w:val="00DD0595"/>
    <w:rsid w:val="00DD06F9"/>
    <w:rsid w:val="00DD0918"/>
    <w:rsid w:val="00DD0965"/>
    <w:rsid w:val="00DD0A07"/>
    <w:rsid w:val="00DD0A08"/>
    <w:rsid w:val="00DD0B15"/>
    <w:rsid w:val="00DD0B9B"/>
    <w:rsid w:val="00DD0CA5"/>
    <w:rsid w:val="00DD0CDB"/>
    <w:rsid w:val="00DD0D4D"/>
    <w:rsid w:val="00DD0DFB"/>
    <w:rsid w:val="00DD0E0B"/>
    <w:rsid w:val="00DD0E6B"/>
    <w:rsid w:val="00DD0E74"/>
    <w:rsid w:val="00DD0EC4"/>
    <w:rsid w:val="00DD0F05"/>
    <w:rsid w:val="00DD0F54"/>
    <w:rsid w:val="00DD10CA"/>
    <w:rsid w:val="00DD118B"/>
    <w:rsid w:val="00DD11FA"/>
    <w:rsid w:val="00DD1203"/>
    <w:rsid w:val="00DD12C8"/>
    <w:rsid w:val="00DD15BF"/>
    <w:rsid w:val="00DD18E9"/>
    <w:rsid w:val="00DD1A2D"/>
    <w:rsid w:val="00DD1AD5"/>
    <w:rsid w:val="00DD1CC8"/>
    <w:rsid w:val="00DD1DB3"/>
    <w:rsid w:val="00DD1E83"/>
    <w:rsid w:val="00DD203E"/>
    <w:rsid w:val="00DD2245"/>
    <w:rsid w:val="00DD22D9"/>
    <w:rsid w:val="00DD2329"/>
    <w:rsid w:val="00DD2491"/>
    <w:rsid w:val="00DD2612"/>
    <w:rsid w:val="00DD2648"/>
    <w:rsid w:val="00DD26BD"/>
    <w:rsid w:val="00DD2732"/>
    <w:rsid w:val="00DD27E8"/>
    <w:rsid w:val="00DD28C3"/>
    <w:rsid w:val="00DD2B46"/>
    <w:rsid w:val="00DD2C34"/>
    <w:rsid w:val="00DD2C44"/>
    <w:rsid w:val="00DD2DE9"/>
    <w:rsid w:val="00DD2E84"/>
    <w:rsid w:val="00DD2EEA"/>
    <w:rsid w:val="00DD2FD0"/>
    <w:rsid w:val="00DD3008"/>
    <w:rsid w:val="00DD328C"/>
    <w:rsid w:val="00DD32AF"/>
    <w:rsid w:val="00DD33C8"/>
    <w:rsid w:val="00DD39CB"/>
    <w:rsid w:val="00DD3C49"/>
    <w:rsid w:val="00DD3DC0"/>
    <w:rsid w:val="00DD423F"/>
    <w:rsid w:val="00DD429B"/>
    <w:rsid w:val="00DD42E5"/>
    <w:rsid w:val="00DD43F1"/>
    <w:rsid w:val="00DD4432"/>
    <w:rsid w:val="00DD447F"/>
    <w:rsid w:val="00DD4878"/>
    <w:rsid w:val="00DD498D"/>
    <w:rsid w:val="00DD49BC"/>
    <w:rsid w:val="00DD4B6D"/>
    <w:rsid w:val="00DD4B78"/>
    <w:rsid w:val="00DD4C91"/>
    <w:rsid w:val="00DD4D4E"/>
    <w:rsid w:val="00DD503E"/>
    <w:rsid w:val="00DD5132"/>
    <w:rsid w:val="00DD51AF"/>
    <w:rsid w:val="00DD51DE"/>
    <w:rsid w:val="00DD54B4"/>
    <w:rsid w:val="00DD574C"/>
    <w:rsid w:val="00DD595B"/>
    <w:rsid w:val="00DD595D"/>
    <w:rsid w:val="00DD5D04"/>
    <w:rsid w:val="00DD5EDE"/>
    <w:rsid w:val="00DD604E"/>
    <w:rsid w:val="00DD6082"/>
    <w:rsid w:val="00DD646A"/>
    <w:rsid w:val="00DD6492"/>
    <w:rsid w:val="00DD669A"/>
    <w:rsid w:val="00DD680C"/>
    <w:rsid w:val="00DD69C7"/>
    <w:rsid w:val="00DD69D8"/>
    <w:rsid w:val="00DD6A27"/>
    <w:rsid w:val="00DD6A84"/>
    <w:rsid w:val="00DD6BC8"/>
    <w:rsid w:val="00DD6C25"/>
    <w:rsid w:val="00DD6C74"/>
    <w:rsid w:val="00DD6D6E"/>
    <w:rsid w:val="00DD6E07"/>
    <w:rsid w:val="00DD6E6C"/>
    <w:rsid w:val="00DD7113"/>
    <w:rsid w:val="00DD718D"/>
    <w:rsid w:val="00DD7410"/>
    <w:rsid w:val="00DD7529"/>
    <w:rsid w:val="00DD759C"/>
    <w:rsid w:val="00DD7731"/>
    <w:rsid w:val="00DD7766"/>
    <w:rsid w:val="00DD777E"/>
    <w:rsid w:val="00DD7789"/>
    <w:rsid w:val="00DD77CA"/>
    <w:rsid w:val="00DD77DE"/>
    <w:rsid w:val="00DD7838"/>
    <w:rsid w:val="00DD789D"/>
    <w:rsid w:val="00DD78AB"/>
    <w:rsid w:val="00DD78E2"/>
    <w:rsid w:val="00DD7949"/>
    <w:rsid w:val="00DD7C10"/>
    <w:rsid w:val="00DD7CCF"/>
    <w:rsid w:val="00DD7E46"/>
    <w:rsid w:val="00DD7F52"/>
    <w:rsid w:val="00DD7F93"/>
    <w:rsid w:val="00DE0012"/>
    <w:rsid w:val="00DE0277"/>
    <w:rsid w:val="00DE0347"/>
    <w:rsid w:val="00DE0378"/>
    <w:rsid w:val="00DE03DE"/>
    <w:rsid w:val="00DE0497"/>
    <w:rsid w:val="00DE04C8"/>
    <w:rsid w:val="00DE0669"/>
    <w:rsid w:val="00DE07A7"/>
    <w:rsid w:val="00DE0854"/>
    <w:rsid w:val="00DE0900"/>
    <w:rsid w:val="00DE0CBA"/>
    <w:rsid w:val="00DE0DAC"/>
    <w:rsid w:val="00DE10BE"/>
    <w:rsid w:val="00DE1104"/>
    <w:rsid w:val="00DE1234"/>
    <w:rsid w:val="00DE13BE"/>
    <w:rsid w:val="00DE143A"/>
    <w:rsid w:val="00DE143D"/>
    <w:rsid w:val="00DE14EF"/>
    <w:rsid w:val="00DE15B9"/>
    <w:rsid w:val="00DE1617"/>
    <w:rsid w:val="00DE18D1"/>
    <w:rsid w:val="00DE19F6"/>
    <w:rsid w:val="00DE1A26"/>
    <w:rsid w:val="00DE1AFB"/>
    <w:rsid w:val="00DE1B28"/>
    <w:rsid w:val="00DE1B66"/>
    <w:rsid w:val="00DE1BF4"/>
    <w:rsid w:val="00DE1C8C"/>
    <w:rsid w:val="00DE1CFB"/>
    <w:rsid w:val="00DE2153"/>
    <w:rsid w:val="00DE2283"/>
    <w:rsid w:val="00DE22B8"/>
    <w:rsid w:val="00DE2324"/>
    <w:rsid w:val="00DE2380"/>
    <w:rsid w:val="00DE241D"/>
    <w:rsid w:val="00DE245F"/>
    <w:rsid w:val="00DE246F"/>
    <w:rsid w:val="00DE24E0"/>
    <w:rsid w:val="00DE2782"/>
    <w:rsid w:val="00DE28A3"/>
    <w:rsid w:val="00DE2990"/>
    <w:rsid w:val="00DE2995"/>
    <w:rsid w:val="00DE29FB"/>
    <w:rsid w:val="00DE2A40"/>
    <w:rsid w:val="00DE2B52"/>
    <w:rsid w:val="00DE2D75"/>
    <w:rsid w:val="00DE2DD3"/>
    <w:rsid w:val="00DE2E36"/>
    <w:rsid w:val="00DE2E99"/>
    <w:rsid w:val="00DE30A4"/>
    <w:rsid w:val="00DE3113"/>
    <w:rsid w:val="00DE333E"/>
    <w:rsid w:val="00DE33B9"/>
    <w:rsid w:val="00DE37BD"/>
    <w:rsid w:val="00DE3823"/>
    <w:rsid w:val="00DE38CE"/>
    <w:rsid w:val="00DE398C"/>
    <w:rsid w:val="00DE3A8A"/>
    <w:rsid w:val="00DE3BD6"/>
    <w:rsid w:val="00DE3D3B"/>
    <w:rsid w:val="00DE3DDA"/>
    <w:rsid w:val="00DE3E26"/>
    <w:rsid w:val="00DE3EBA"/>
    <w:rsid w:val="00DE4029"/>
    <w:rsid w:val="00DE43BB"/>
    <w:rsid w:val="00DE43C5"/>
    <w:rsid w:val="00DE4556"/>
    <w:rsid w:val="00DE462A"/>
    <w:rsid w:val="00DE4799"/>
    <w:rsid w:val="00DE47F7"/>
    <w:rsid w:val="00DE4AF2"/>
    <w:rsid w:val="00DE4BAB"/>
    <w:rsid w:val="00DE4CCD"/>
    <w:rsid w:val="00DE4D8C"/>
    <w:rsid w:val="00DE4F17"/>
    <w:rsid w:val="00DE515C"/>
    <w:rsid w:val="00DE527F"/>
    <w:rsid w:val="00DE5373"/>
    <w:rsid w:val="00DE53FA"/>
    <w:rsid w:val="00DE5432"/>
    <w:rsid w:val="00DE557B"/>
    <w:rsid w:val="00DE56F4"/>
    <w:rsid w:val="00DE57DD"/>
    <w:rsid w:val="00DE57FC"/>
    <w:rsid w:val="00DE580D"/>
    <w:rsid w:val="00DE59CF"/>
    <w:rsid w:val="00DE59EC"/>
    <w:rsid w:val="00DE5AFA"/>
    <w:rsid w:val="00DE5B2C"/>
    <w:rsid w:val="00DE5BAB"/>
    <w:rsid w:val="00DE5C9E"/>
    <w:rsid w:val="00DE5CC8"/>
    <w:rsid w:val="00DE5E23"/>
    <w:rsid w:val="00DE5F84"/>
    <w:rsid w:val="00DE6353"/>
    <w:rsid w:val="00DE635E"/>
    <w:rsid w:val="00DE654C"/>
    <w:rsid w:val="00DE67D2"/>
    <w:rsid w:val="00DE686E"/>
    <w:rsid w:val="00DE6A1A"/>
    <w:rsid w:val="00DE6B09"/>
    <w:rsid w:val="00DE6C18"/>
    <w:rsid w:val="00DE6D70"/>
    <w:rsid w:val="00DE6E29"/>
    <w:rsid w:val="00DE6F2D"/>
    <w:rsid w:val="00DE7065"/>
    <w:rsid w:val="00DE7110"/>
    <w:rsid w:val="00DE7204"/>
    <w:rsid w:val="00DE7217"/>
    <w:rsid w:val="00DE7448"/>
    <w:rsid w:val="00DE7455"/>
    <w:rsid w:val="00DE7492"/>
    <w:rsid w:val="00DE7556"/>
    <w:rsid w:val="00DE766E"/>
    <w:rsid w:val="00DE7835"/>
    <w:rsid w:val="00DE7B19"/>
    <w:rsid w:val="00DE7DE9"/>
    <w:rsid w:val="00DF0003"/>
    <w:rsid w:val="00DF0033"/>
    <w:rsid w:val="00DF0093"/>
    <w:rsid w:val="00DF00D0"/>
    <w:rsid w:val="00DF01E8"/>
    <w:rsid w:val="00DF02F3"/>
    <w:rsid w:val="00DF0360"/>
    <w:rsid w:val="00DF0422"/>
    <w:rsid w:val="00DF06BD"/>
    <w:rsid w:val="00DF07A1"/>
    <w:rsid w:val="00DF08E1"/>
    <w:rsid w:val="00DF0A49"/>
    <w:rsid w:val="00DF0A5D"/>
    <w:rsid w:val="00DF0A8E"/>
    <w:rsid w:val="00DF0AF9"/>
    <w:rsid w:val="00DF0B4B"/>
    <w:rsid w:val="00DF0B50"/>
    <w:rsid w:val="00DF0DD4"/>
    <w:rsid w:val="00DF165A"/>
    <w:rsid w:val="00DF16BA"/>
    <w:rsid w:val="00DF17E9"/>
    <w:rsid w:val="00DF17FD"/>
    <w:rsid w:val="00DF18CC"/>
    <w:rsid w:val="00DF1D33"/>
    <w:rsid w:val="00DF1DE4"/>
    <w:rsid w:val="00DF207A"/>
    <w:rsid w:val="00DF2129"/>
    <w:rsid w:val="00DF2442"/>
    <w:rsid w:val="00DF25AC"/>
    <w:rsid w:val="00DF2636"/>
    <w:rsid w:val="00DF267B"/>
    <w:rsid w:val="00DF271D"/>
    <w:rsid w:val="00DF2769"/>
    <w:rsid w:val="00DF27B7"/>
    <w:rsid w:val="00DF290C"/>
    <w:rsid w:val="00DF2B44"/>
    <w:rsid w:val="00DF2C1E"/>
    <w:rsid w:val="00DF2CBD"/>
    <w:rsid w:val="00DF2EBA"/>
    <w:rsid w:val="00DF2ED3"/>
    <w:rsid w:val="00DF332B"/>
    <w:rsid w:val="00DF35B4"/>
    <w:rsid w:val="00DF3731"/>
    <w:rsid w:val="00DF3755"/>
    <w:rsid w:val="00DF377B"/>
    <w:rsid w:val="00DF38C8"/>
    <w:rsid w:val="00DF39B1"/>
    <w:rsid w:val="00DF3B30"/>
    <w:rsid w:val="00DF3B65"/>
    <w:rsid w:val="00DF3D49"/>
    <w:rsid w:val="00DF3D6A"/>
    <w:rsid w:val="00DF3E18"/>
    <w:rsid w:val="00DF3E9B"/>
    <w:rsid w:val="00DF40D9"/>
    <w:rsid w:val="00DF40EF"/>
    <w:rsid w:val="00DF4140"/>
    <w:rsid w:val="00DF41E1"/>
    <w:rsid w:val="00DF4369"/>
    <w:rsid w:val="00DF4519"/>
    <w:rsid w:val="00DF458C"/>
    <w:rsid w:val="00DF4592"/>
    <w:rsid w:val="00DF47C1"/>
    <w:rsid w:val="00DF485D"/>
    <w:rsid w:val="00DF48D0"/>
    <w:rsid w:val="00DF4917"/>
    <w:rsid w:val="00DF4A21"/>
    <w:rsid w:val="00DF4CD3"/>
    <w:rsid w:val="00DF4ED7"/>
    <w:rsid w:val="00DF4F6E"/>
    <w:rsid w:val="00DF501A"/>
    <w:rsid w:val="00DF5228"/>
    <w:rsid w:val="00DF52E7"/>
    <w:rsid w:val="00DF53F1"/>
    <w:rsid w:val="00DF5437"/>
    <w:rsid w:val="00DF5719"/>
    <w:rsid w:val="00DF5852"/>
    <w:rsid w:val="00DF59D1"/>
    <w:rsid w:val="00DF5A71"/>
    <w:rsid w:val="00DF5BE3"/>
    <w:rsid w:val="00DF5CE2"/>
    <w:rsid w:val="00DF5DDD"/>
    <w:rsid w:val="00DF5E45"/>
    <w:rsid w:val="00DF5E8A"/>
    <w:rsid w:val="00DF5EF3"/>
    <w:rsid w:val="00DF5F38"/>
    <w:rsid w:val="00DF5F98"/>
    <w:rsid w:val="00DF6034"/>
    <w:rsid w:val="00DF6100"/>
    <w:rsid w:val="00DF61B0"/>
    <w:rsid w:val="00DF6288"/>
    <w:rsid w:val="00DF6330"/>
    <w:rsid w:val="00DF6425"/>
    <w:rsid w:val="00DF66AE"/>
    <w:rsid w:val="00DF6750"/>
    <w:rsid w:val="00DF6819"/>
    <w:rsid w:val="00DF6821"/>
    <w:rsid w:val="00DF6B9B"/>
    <w:rsid w:val="00DF6CDD"/>
    <w:rsid w:val="00DF6D17"/>
    <w:rsid w:val="00DF6E13"/>
    <w:rsid w:val="00DF718E"/>
    <w:rsid w:val="00DF71ED"/>
    <w:rsid w:val="00DF727B"/>
    <w:rsid w:val="00DF730C"/>
    <w:rsid w:val="00DF7561"/>
    <w:rsid w:val="00DF75FC"/>
    <w:rsid w:val="00DF7609"/>
    <w:rsid w:val="00DF7725"/>
    <w:rsid w:val="00DF785A"/>
    <w:rsid w:val="00DF798E"/>
    <w:rsid w:val="00DF79B8"/>
    <w:rsid w:val="00DF7C16"/>
    <w:rsid w:val="00DF7D78"/>
    <w:rsid w:val="00DF7DC2"/>
    <w:rsid w:val="00DFF474"/>
    <w:rsid w:val="00E0008F"/>
    <w:rsid w:val="00E000F8"/>
    <w:rsid w:val="00E00319"/>
    <w:rsid w:val="00E00388"/>
    <w:rsid w:val="00E003D8"/>
    <w:rsid w:val="00E0067F"/>
    <w:rsid w:val="00E00AB1"/>
    <w:rsid w:val="00E00C5A"/>
    <w:rsid w:val="00E00D12"/>
    <w:rsid w:val="00E00DAE"/>
    <w:rsid w:val="00E00DD1"/>
    <w:rsid w:val="00E00ED7"/>
    <w:rsid w:val="00E010CF"/>
    <w:rsid w:val="00E0112A"/>
    <w:rsid w:val="00E011D9"/>
    <w:rsid w:val="00E011E1"/>
    <w:rsid w:val="00E0123A"/>
    <w:rsid w:val="00E0140E"/>
    <w:rsid w:val="00E014BA"/>
    <w:rsid w:val="00E014F8"/>
    <w:rsid w:val="00E01618"/>
    <w:rsid w:val="00E01853"/>
    <w:rsid w:val="00E01D7D"/>
    <w:rsid w:val="00E01DE3"/>
    <w:rsid w:val="00E01F58"/>
    <w:rsid w:val="00E01F77"/>
    <w:rsid w:val="00E01FDB"/>
    <w:rsid w:val="00E021C2"/>
    <w:rsid w:val="00E0255E"/>
    <w:rsid w:val="00E0263F"/>
    <w:rsid w:val="00E026B6"/>
    <w:rsid w:val="00E02738"/>
    <w:rsid w:val="00E0288A"/>
    <w:rsid w:val="00E02989"/>
    <w:rsid w:val="00E029AC"/>
    <w:rsid w:val="00E02A65"/>
    <w:rsid w:val="00E02B31"/>
    <w:rsid w:val="00E02B7F"/>
    <w:rsid w:val="00E02CCC"/>
    <w:rsid w:val="00E02DAF"/>
    <w:rsid w:val="00E02F1A"/>
    <w:rsid w:val="00E030E7"/>
    <w:rsid w:val="00E03168"/>
    <w:rsid w:val="00E0320E"/>
    <w:rsid w:val="00E0321C"/>
    <w:rsid w:val="00E032D3"/>
    <w:rsid w:val="00E03345"/>
    <w:rsid w:val="00E03388"/>
    <w:rsid w:val="00E03393"/>
    <w:rsid w:val="00E0356B"/>
    <w:rsid w:val="00E035CC"/>
    <w:rsid w:val="00E0364B"/>
    <w:rsid w:val="00E03A73"/>
    <w:rsid w:val="00E03B5C"/>
    <w:rsid w:val="00E03C95"/>
    <w:rsid w:val="00E03FD7"/>
    <w:rsid w:val="00E04003"/>
    <w:rsid w:val="00E0408D"/>
    <w:rsid w:val="00E0411C"/>
    <w:rsid w:val="00E0415A"/>
    <w:rsid w:val="00E041EE"/>
    <w:rsid w:val="00E042E3"/>
    <w:rsid w:val="00E043E6"/>
    <w:rsid w:val="00E0474B"/>
    <w:rsid w:val="00E048A8"/>
    <w:rsid w:val="00E048CA"/>
    <w:rsid w:val="00E04A7D"/>
    <w:rsid w:val="00E04AC1"/>
    <w:rsid w:val="00E04B7B"/>
    <w:rsid w:val="00E04D75"/>
    <w:rsid w:val="00E04E43"/>
    <w:rsid w:val="00E04FC2"/>
    <w:rsid w:val="00E05202"/>
    <w:rsid w:val="00E05250"/>
    <w:rsid w:val="00E052DB"/>
    <w:rsid w:val="00E05714"/>
    <w:rsid w:val="00E05A4A"/>
    <w:rsid w:val="00E05B6A"/>
    <w:rsid w:val="00E05BE7"/>
    <w:rsid w:val="00E05DE9"/>
    <w:rsid w:val="00E05E7A"/>
    <w:rsid w:val="00E05FA7"/>
    <w:rsid w:val="00E0654F"/>
    <w:rsid w:val="00E065E0"/>
    <w:rsid w:val="00E06729"/>
    <w:rsid w:val="00E06909"/>
    <w:rsid w:val="00E06B9F"/>
    <w:rsid w:val="00E06BE0"/>
    <w:rsid w:val="00E06CE5"/>
    <w:rsid w:val="00E06D7E"/>
    <w:rsid w:val="00E06DDA"/>
    <w:rsid w:val="00E06DDB"/>
    <w:rsid w:val="00E06ED6"/>
    <w:rsid w:val="00E0703B"/>
    <w:rsid w:val="00E0708C"/>
    <w:rsid w:val="00E0708E"/>
    <w:rsid w:val="00E070CE"/>
    <w:rsid w:val="00E07476"/>
    <w:rsid w:val="00E07709"/>
    <w:rsid w:val="00E077A3"/>
    <w:rsid w:val="00E07BA0"/>
    <w:rsid w:val="00E07C49"/>
    <w:rsid w:val="00E07D64"/>
    <w:rsid w:val="00E07DA8"/>
    <w:rsid w:val="00E09F21"/>
    <w:rsid w:val="00E10048"/>
    <w:rsid w:val="00E100CA"/>
    <w:rsid w:val="00E101B8"/>
    <w:rsid w:val="00E1035A"/>
    <w:rsid w:val="00E104A9"/>
    <w:rsid w:val="00E105A5"/>
    <w:rsid w:val="00E105C4"/>
    <w:rsid w:val="00E10739"/>
    <w:rsid w:val="00E10782"/>
    <w:rsid w:val="00E10879"/>
    <w:rsid w:val="00E10B78"/>
    <w:rsid w:val="00E10BF0"/>
    <w:rsid w:val="00E10C9E"/>
    <w:rsid w:val="00E10E5B"/>
    <w:rsid w:val="00E1107F"/>
    <w:rsid w:val="00E110F0"/>
    <w:rsid w:val="00E111D5"/>
    <w:rsid w:val="00E1128F"/>
    <w:rsid w:val="00E1145C"/>
    <w:rsid w:val="00E1148F"/>
    <w:rsid w:val="00E114CF"/>
    <w:rsid w:val="00E11544"/>
    <w:rsid w:val="00E11718"/>
    <w:rsid w:val="00E1180C"/>
    <w:rsid w:val="00E1182A"/>
    <w:rsid w:val="00E11856"/>
    <w:rsid w:val="00E11969"/>
    <w:rsid w:val="00E11AA7"/>
    <w:rsid w:val="00E11CC7"/>
    <w:rsid w:val="00E11E60"/>
    <w:rsid w:val="00E11EBE"/>
    <w:rsid w:val="00E11F0C"/>
    <w:rsid w:val="00E11F36"/>
    <w:rsid w:val="00E120EB"/>
    <w:rsid w:val="00E122B1"/>
    <w:rsid w:val="00E124E7"/>
    <w:rsid w:val="00E1269A"/>
    <w:rsid w:val="00E127D1"/>
    <w:rsid w:val="00E12923"/>
    <w:rsid w:val="00E1294A"/>
    <w:rsid w:val="00E12C1E"/>
    <w:rsid w:val="00E12C6F"/>
    <w:rsid w:val="00E12C77"/>
    <w:rsid w:val="00E12E77"/>
    <w:rsid w:val="00E13029"/>
    <w:rsid w:val="00E131FD"/>
    <w:rsid w:val="00E1327B"/>
    <w:rsid w:val="00E1333F"/>
    <w:rsid w:val="00E13367"/>
    <w:rsid w:val="00E13468"/>
    <w:rsid w:val="00E13588"/>
    <w:rsid w:val="00E135FF"/>
    <w:rsid w:val="00E1366A"/>
    <w:rsid w:val="00E137E4"/>
    <w:rsid w:val="00E1385E"/>
    <w:rsid w:val="00E138FE"/>
    <w:rsid w:val="00E13969"/>
    <w:rsid w:val="00E13A01"/>
    <w:rsid w:val="00E13AA7"/>
    <w:rsid w:val="00E13CEF"/>
    <w:rsid w:val="00E13DBE"/>
    <w:rsid w:val="00E13DD2"/>
    <w:rsid w:val="00E13EE3"/>
    <w:rsid w:val="00E13F3D"/>
    <w:rsid w:val="00E13F82"/>
    <w:rsid w:val="00E13FA2"/>
    <w:rsid w:val="00E14046"/>
    <w:rsid w:val="00E141E6"/>
    <w:rsid w:val="00E1427F"/>
    <w:rsid w:val="00E144E8"/>
    <w:rsid w:val="00E14604"/>
    <w:rsid w:val="00E14790"/>
    <w:rsid w:val="00E147D7"/>
    <w:rsid w:val="00E14849"/>
    <w:rsid w:val="00E14850"/>
    <w:rsid w:val="00E148E4"/>
    <w:rsid w:val="00E14919"/>
    <w:rsid w:val="00E149C0"/>
    <w:rsid w:val="00E149C9"/>
    <w:rsid w:val="00E14A9B"/>
    <w:rsid w:val="00E14BA3"/>
    <w:rsid w:val="00E14BF8"/>
    <w:rsid w:val="00E14C92"/>
    <w:rsid w:val="00E14D98"/>
    <w:rsid w:val="00E14F47"/>
    <w:rsid w:val="00E14F6F"/>
    <w:rsid w:val="00E14F7C"/>
    <w:rsid w:val="00E1510A"/>
    <w:rsid w:val="00E15175"/>
    <w:rsid w:val="00E1522F"/>
    <w:rsid w:val="00E153AF"/>
    <w:rsid w:val="00E15405"/>
    <w:rsid w:val="00E15593"/>
    <w:rsid w:val="00E155E2"/>
    <w:rsid w:val="00E15969"/>
    <w:rsid w:val="00E15976"/>
    <w:rsid w:val="00E15A31"/>
    <w:rsid w:val="00E15B0F"/>
    <w:rsid w:val="00E15B42"/>
    <w:rsid w:val="00E15E55"/>
    <w:rsid w:val="00E15E9A"/>
    <w:rsid w:val="00E15EFD"/>
    <w:rsid w:val="00E16337"/>
    <w:rsid w:val="00E16348"/>
    <w:rsid w:val="00E164A8"/>
    <w:rsid w:val="00E164FE"/>
    <w:rsid w:val="00E165A3"/>
    <w:rsid w:val="00E16654"/>
    <w:rsid w:val="00E16699"/>
    <w:rsid w:val="00E16721"/>
    <w:rsid w:val="00E16846"/>
    <w:rsid w:val="00E1690D"/>
    <w:rsid w:val="00E16969"/>
    <w:rsid w:val="00E16BEA"/>
    <w:rsid w:val="00E16D2C"/>
    <w:rsid w:val="00E16DD6"/>
    <w:rsid w:val="00E1704A"/>
    <w:rsid w:val="00E17183"/>
    <w:rsid w:val="00E171C4"/>
    <w:rsid w:val="00E1724C"/>
    <w:rsid w:val="00E17282"/>
    <w:rsid w:val="00E172F1"/>
    <w:rsid w:val="00E17323"/>
    <w:rsid w:val="00E1743E"/>
    <w:rsid w:val="00E17540"/>
    <w:rsid w:val="00E176E3"/>
    <w:rsid w:val="00E17938"/>
    <w:rsid w:val="00E17973"/>
    <w:rsid w:val="00E179AA"/>
    <w:rsid w:val="00E179C8"/>
    <w:rsid w:val="00E17BCA"/>
    <w:rsid w:val="00E17C4A"/>
    <w:rsid w:val="00E17D89"/>
    <w:rsid w:val="00E17EFB"/>
    <w:rsid w:val="00E18376"/>
    <w:rsid w:val="00E193D1"/>
    <w:rsid w:val="00E20002"/>
    <w:rsid w:val="00E203A7"/>
    <w:rsid w:val="00E204B9"/>
    <w:rsid w:val="00E204C1"/>
    <w:rsid w:val="00E206CB"/>
    <w:rsid w:val="00E207C0"/>
    <w:rsid w:val="00E20835"/>
    <w:rsid w:val="00E20884"/>
    <w:rsid w:val="00E20944"/>
    <w:rsid w:val="00E209BF"/>
    <w:rsid w:val="00E20A46"/>
    <w:rsid w:val="00E20B62"/>
    <w:rsid w:val="00E20C60"/>
    <w:rsid w:val="00E20C75"/>
    <w:rsid w:val="00E20C82"/>
    <w:rsid w:val="00E20D16"/>
    <w:rsid w:val="00E20DB7"/>
    <w:rsid w:val="00E20F45"/>
    <w:rsid w:val="00E20F81"/>
    <w:rsid w:val="00E20FF3"/>
    <w:rsid w:val="00E21055"/>
    <w:rsid w:val="00E211ED"/>
    <w:rsid w:val="00E21356"/>
    <w:rsid w:val="00E21418"/>
    <w:rsid w:val="00E214F0"/>
    <w:rsid w:val="00E2154B"/>
    <w:rsid w:val="00E21619"/>
    <w:rsid w:val="00E216E6"/>
    <w:rsid w:val="00E21736"/>
    <w:rsid w:val="00E21ACF"/>
    <w:rsid w:val="00E21D44"/>
    <w:rsid w:val="00E21E66"/>
    <w:rsid w:val="00E21F9E"/>
    <w:rsid w:val="00E22030"/>
    <w:rsid w:val="00E2228E"/>
    <w:rsid w:val="00E223F8"/>
    <w:rsid w:val="00E2258A"/>
    <w:rsid w:val="00E226A7"/>
    <w:rsid w:val="00E2273B"/>
    <w:rsid w:val="00E2277A"/>
    <w:rsid w:val="00E227E9"/>
    <w:rsid w:val="00E2282C"/>
    <w:rsid w:val="00E22878"/>
    <w:rsid w:val="00E2299C"/>
    <w:rsid w:val="00E229D7"/>
    <w:rsid w:val="00E22BA9"/>
    <w:rsid w:val="00E22CB9"/>
    <w:rsid w:val="00E22F62"/>
    <w:rsid w:val="00E22FCB"/>
    <w:rsid w:val="00E22FD8"/>
    <w:rsid w:val="00E2319E"/>
    <w:rsid w:val="00E23218"/>
    <w:rsid w:val="00E23341"/>
    <w:rsid w:val="00E23412"/>
    <w:rsid w:val="00E23509"/>
    <w:rsid w:val="00E23552"/>
    <w:rsid w:val="00E235F3"/>
    <w:rsid w:val="00E238BA"/>
    <w:rsid w:val="00E238C0"/>
    <w:rsid w:val="00E23938"/>
    <w:rsid w:val="00E23A43"/>
    <w:rsid w:val="00E23B19"/>
    <w:rsid w:val="00E23D3F"/>
    <w:rsid w:val="00E23E32"/>
    <w:rsid w:val="00E23E52"/>
    <w:rsid w:val="00E23E61"/>
    <w:rsid w:val="00E240A3"/>
    <w:rsid w:val="00E2413A"/>
    <w:rsid w:val="00E241E7"/>
    <w:rsid w:val="00E2428B"/>
    <w:rsid w:val="00E242E7"/>
    <w:rsid w:val="00E2432E"/>
    <w:rsid w:val="00E2442B"/>
    <w:rsid w:val="00E2445F"/>
    <w:rsid w:val="00E2448D"/>
    <w:rsid w:val="00E248AB"/>
    <w:rsid w:val="00E2499F"/>
    <w:rsid w:val="00E249BB"/>
    <w:rsid w:val="00E24AEF"/>
    <w:rsid w:val="00E24B24"/>
    <w:rsid w:val="00E24D91"/>
    <w:rsid w:val="00E24DAE"/>
    <w:rsid w:val="00E24DF9"/>
    <w:rsid w:val="00E24E4F"/>
    <w:rsid w:val="00E24F1E"/>
    <w:rsid w:val="00E25202"/>
    <w:rsid w:val="00E25373"/>
    <w:rsid w:val="00E254CC"/>
    <w:rsid w:val="00E2575F"/>
    <w:rsid w:val="00E257D4"/>
    <w:rsid w:val="00E25818"/>
    <w:rsid w:val="00E25AE0"/>
    <w:rsid w:val="00E25DF4"/>
    <w:rsid w:val="00E25E8B"/>
    <w:rsid w:val="00E25F4C"/>
    <w:rsid w:val="00E26049"/>
    <w:rsid w:val="00E26075"/>
    <w:rsid w:val="00E260CB"/>
    <w:rsid w:val="00E263C2"/>
    <w:rsid w:val="00E26665"/>
    <w:rsid w:val="00E26688"/>
    <w:rsid w:val="00E2678B"/>
    <w:rsid w:val="00E268D9"/>
    <w:rsid w:val="00E26B0D"/>
    <w:rsid w:val="00E26FDE"/>
    <w:rsid w:val="00E271A3"/>
    <w:rsid w:val="00E27206"/>
    <w:rsid w:val="00E27537"/>
    <w:rsid w:val="00E2757D"/>
    <w:rsid w:val="00E275A8"/>
    <w:rsid w:val="00E2786B"/>
    <w:rsid w:val="00E27C30"/>
    <w:rsid w:val="00E27CD6"/>
    <w:rsid w:val="00E27D29"/>
    <w:rsid w:val="00E2B927"/>
    <w:rsid w:val="00E30114"/>
    <w:rsid w:val="00E30169"/>
    <w:rsid w:val="00E30222"/>
    <w:rsid w:val="00E302AD"/>
    <w:rsid w:val="00E303F5"/>
    <w:rsid w:val="00E30811"/>
    <w:rsid w:val="00E30862"/>
    <w:rsid w:val="00E30A1B"/>
    <w:rsid w:val="00E30AE7"/>
    <w:rsid w:val="00E30F2D"/>
    <w:rsid w:val="00E30F5D"/>
    <w:rsid w:val="00E310FD"/>
    <w:rsid w:val="00E3110E"/>
    <w:rsid w:val="00E3117C"/>
    <w:rsid w:val="00E31328"/>
    <w:rsid w:val="00E3149F"/>
    <w:rsid w:val="00E31689"/>
    <w:rsid w:val="00E31730"/>
    <w:rsid w:val="00E31885"/>
    <w:rsid w:val="00E319B8"/>
    <w:rsid w:val="00E31A87"/>
    <w:rsid w:val="00E31ABC"/>
    <w:rsid w:val="00E31B3E"/>
    <w:rsid w:val="00E31BB9"/>
    <w:rsid w:val="00E31E77"/>
    <w:rsid w:val="00E31F0A"/>
    <w:rsid w:val="00E31FA8"/>
    <w:rsid w:val="00E32311"/>
    <w:rsid w:val="00E3244C"/>
    <w:rsid w:val="00E324A4"/>
    <w:rsid w:val="00E326C1"/>
    <w:rsid w:val="00E326D1"/>
    <w:rsid w:val="00E3275E"/>
    <w:rsid w:val="00E329BC"/>
    <w:rsid w:val="00E32A3A"/>
    <w:rsid w:val="00E32E01"/>
    <w:rsid w:val="00E32E0C"/>
    <w:rsid w:val="00E32E17"/>
    <w:rsid w:val="00E33006"/>
    <w:rsid w:val="00E33032"/>
    <w:rsid w:val="00E3313C"/>
    <w:rsid w:val="00E3314F"/>
    <w:rsid w:val="00E33185"/>
    <w:rsid w:val="00E33229"/>
    <w:rsid w:val="00E332A1"/>
    <w:rsid w:val="00E332C2"/>
    <w:rsid w:val="00E33370"/>
    <w:rsid w:val="00E333D4"/>
    <w:rsid w:val="00E33449"/>
    <w:rsid w:val="00E3347B"/>
    <w:rsid w:val="00E338C6"/>
    <w:rsid w:val="00E339FC"/>
    <w:rsid w:val="00E33D2D"/>
    <w:rsid w:val="00E33D53"/>
    <w:rsid w:val="00E33E2C"/>
    <w:rsid w:val="00E33FF8"/>
    <w:rsid w:val="00E34294"/>
    <w:rsid w:val="00E34325"/>
    <w:rsid w:val="00E34394"/>
    <w:rsid w:val="00E343FB"/>
    <w:rsid w:val="00E34539"/>
    <w:rsid w:val="00E34660"/>
    <w:rsid w:val="00E34824"/>
    <w:rsid w:val="00E34880"/>
    <w:rsid w:val="00E348C2"/>
    <w:rsid w:val="00E34905"/>
    <w:rsid w:val="00E349D1"/>
    <w:rsid w:val="00E349DC"/>
    <w:rsid w:val="00E34B49"/>
    <w:rsid w:val="00E34BE3"/>
    <w:rsid w:val="00E34C17"/>
    <w:rsid w:val="00E34C3F"/>
    <w:rsid w:val="00E34E90"/>
    <w:rsid w:val="00E3501A"/>
    <w:rsid w:val="00E351BB"/>
    <w:rsid w:val="00E35326"/>
    <w:rsid w:val="00E35357"/>
    <w:rsid w:val="00E355A7"/>
    <w:rsid w:val="00E355C8"/>
    <w:rsid w:val="00E3562A"/>
    <w:rsid w:val="00E357B1"/>
    <w:rsid w:val="00E3585C"/>
    <w:rsid w:val="00E3599A"/>
    <w:rsid w:val="00E35A3C"/>
    <w:rsid w:val="00E35B35"/>
    <w:rsid w:val="00E35B81"/>
    <w:rsid w:val="00E35F23"/>
    <w:rsid w:val="00E36203"/>
    <w:rsid w:val="00E3640B"/>
    <w:rsid w:val="00E364E9"/>
    <w:rsid w:val="00E365AC"/>
    <w:rsid w:val="00E36744"/>
    <w:rsid w:val="00E36971"/>
    <w:rsid w:val="00E369F7"/>
    <w:rsid w:val="00E36AF1"/>
    <w:rsid w:val="00E36BE9"/>
    <w:rsid w:val="00E36C03"/>
    <w:rsid w:val="00E36C99"/>
    <w:rsid w:val="00E36CE6"/>
    <w:rsid w:val="00E36DDC"/>
    <w:rsid w:val="00E36DF4"/>
    <w:rsid w:val="00E37011"/>
    <w:rsid w:val="00E37139"/>
    <w:rsid w:val="00E3742F"/>
    <w:rsid w:val="00E37495"/>
    <w:rsid w:val="00E374E1"/>
    <w:rsid w:val="00E3754E"/>
    <w:rsid w:val="00E37C62"/>
    <w:rsid w:val="00E37CB8"/>
    <w:rsid w:val="00E37D3C"/>
    <w:rsid w:val="00E37DDE"/>
    <w:rsid w:val="00E37DE8"/>
    <w:rsid w:val="00E37E41"/>
    <w:rsid w:val="00E37EF4"/>
    <w:rsid w:val="00E37F53"/>
    <w:rsid w:val="00E4051F"/>
    <w:rsid w:val="00E40834"/>
    <w:rsid w:val="00E409B8"/>
    <w:rsid w:val="00E40A34"/>
    <w:rsid w:val="00E40AED"/>
    <w:rsid w:val="00E40C66"/>
    <w:rsid w:val="00E40DC4"/>
    <w:rsid w:val="00E40E38"/>
    <w:rsid w:val="00E40E9C"/>
    <w:rsid w:val="00E4102A"/>
    <w:rsid w:val="00E41066"/>
    <w:rsid w:val="00E41205"/>
    <w:rsid w:val="00E413A6"/>
    <w:rsid w:val="00E414C2"/>
    <w:rsid w:val="00E414E4"/>
    <w:rsid w:val="00E4167B"/>
    <w:rsid w:val="00E41898"/>
    <w:rsid w:val="00E418C0"/>
    <w:rsid w:val="00E41958"/>
    <w:rsid w:val="00E41988"/>
    <w:rsid w:val="00E41999"/>
    <w:rsid w:val="00E41A16"/>
    <w:rsid w:val="00E41A60"/>
    <w:rsid w:val="00E41C2C"/>
    <w:rsid w:val="00E41C87"/>
    <w:rsid w:val="00E41EAA"/>
    <w:rsid w:val="00E4210F"/>
    <w:rsid w:val="00E422D7"/>
    <w:rsid w:val="00E426C8"/>
    <w:rsid w:val="00E42798"/>
    <w:rsid w:val="00E427CE"/>
    <w:rsid w:val="00E42A22"/>
    <w:rsid w:val="00E42C4B"/>
    <w:rsid w:val="00E42C52"/>
    <w:rsid w:val="00E42CD8"/>
    <w:rsid w:val="00E42F10"/>
    <w:rsid w:val="00E43102"/>
    <w:rsid w:val="00E432B6"/>
    <w:rsid w:val="00E434BD"/>
    <w:rsid w:val="00E436F7"/>
    <w:rsid w:val="00E43A02"/>
    <w:rsid w:val="00E43A59"/>
    <w:rsid w:val="00E43B52"/>
    <w:rsid w:val="00E43FE2"/>
    <w:rsid w:val="00E441AE"/>
    <w:rsid w:val="00E4420D"/>
    <w:rsid w:val="00E442FE"/>
    <w:rsid w:val="00E44319"/>
    <w:rsid w:val="00E4435D"/>
    <w:rsid w:val="00E44392"/>
    <w:rsid w:val="00E443AE"/>
    <w:rsid w:val="00E44460"/>
    <w:rsid w:val="00E445D9"/>
    <w:rsid w:val="00E44689"/>
    <w:rsid w:val="00E44738"/>
    <w:rsid w:val="00E4474C"/>
    <w:rsid w:val="00E4475C"/>
    <w:rsid w:val="00E447CB"/>
    <w:rsid w:val="00E44873"/>
    <w:rsid w:val="00E448B2"/>
    <w:rsid w:val="00E449DF"/>
    <w:rsid w:val="00E44ABF"/>
    <w:rsid w:val="00E44ACB"/>
    <w:rsid w:val="00E44B0B"/>
    <w:rsid w:val="00E44C1A"/>
    <w:rsid w:val="00E44CC9"/>
    <w:rsid w:val="00E44EB5"/>
    <w:rsid w:val="00E45214"/>
    <w:rsid w:val="00E45274"/>
    <w:rsid w:val="00E454E8"/>
    <w:rsid w:val="00E45692"/>
    <w:rsid w:val="00E45719"/>
    <w:rsid w:val="00E45792"/>
    <w:rsid w:val="00E4587B"/>
    <w:rsid w:val="00E45A54"/>
    <w:rsid w:val="00E45CFF"/>
    <w:rsid w:val="00E45D30"/>
    <w:rsid w:val="00E45DFD"/>
    <w:rsid w:val="00E45FCA"/>
    <w:rsid w:val="00E46069"/>
    <w:rsid w:val="00E46124"/>
    <w:rsid w:val="00E461F1"/>
    <w:rsid w:val="00E46215"/>
    <w:rsid w:val="00E462CD"/>
    <w:rsid w:val="00E46414"/>
    <w:rsid w:val="00E46444"/>
    <w:rsid w:val="00E464D1"/>
    <w:rsid w:val="00E4651F"/>
    <w:rsid w:val="00E46836"/>
    <w:rsid w:val="00E46961"/>
    <w:rsid w:val="00E46A54"/>
    <w:rsid w:val="00E46AF8"/>
    <w:rsid w:val="00E46B0F"/>
    <w:rsid w:val="00E46DCA"/>
    <w:rsid w:val="00E46DF1"/>
    <w:rsid w:val="00E46F2A"/>
    <w:rsid w:val="00E47144"/>
    <w:rsid w:val="00E471F2"/>
    <w:rsid w:val="00E4732C"/>
    <w:rsid w:val="00E4740D"/>
    <w:rsid w:val="00E47484"/>
    <w:rsid w:val="00E47698"/>
    <w:rsid w:val="00E4779A"/>
    <w:rsid w:val="00E478B3"/>
    <w:rsid w:val="00E50312"/>
    <w:rsid w:val="00E504AC"/>
    <w:rsid w:val="00E50536"/>
    <w:rsid w:val="00E50714"/>
    <w:rsid w:val="00E5071F"/>
    <w:rsid w:val="00E507A9"/>
    <w:rsid w:val="00E507F7"/>
    <w:rsid w:val="00E50885"/>
    <w:rsid w:val="00E508D0"/>
    <w:rsid w:val="00E50976"/>
    <w:rsid w:val="00E50D3E"/>
    <w:rsid w:val="00E50E71"/>
    <w:rsid w:val="00E50FA5"/>
    <w:rsid w:val="00E510B3"/>
    <w:rsid w:val="00E51246"/>
    <w:rsid w:val="00E51257"/>
    <w:rsid w:val="00E5165B"/>
    <w:rsid w:val="00E516A8"/>
    <w:rsid w:val="00E516C0"/>
    <w:rsid w:val="00E516C4"/>
    <w:rsid w:val="00E517EA"/>
    <w:rsid w:val="00E519AD"/>
    <w:rsid w:val="00E51B39"/>
    <w:rsid w:val="00E51C54"/>
    <w:rsid w:val="00E51E20"/>
    <w:rsid w:val="00E520EB"/>
    <w:rsid w:val="00E52106"/>
    <w:rsid w:val="00E5218D"/>
    <w:rsid w:val="00E521DB"/>
    <w:rsid w:val="00E52237"/>
    <w:rsid w:val="00E52620"/>
    <w:rsid w:val="00E52637"/>
    <w:rsid w:val="00E52677"/>
    <w:rsid w:val="00E52714"/>
    <w:rsid w:val="00E52923"/>
    <w:rsid w:val="00E52993"/>
    <w:rsid w:val="00E529E5"/>
    <w:rsid w:val="00E52C0E"/>
    <w:rsid w:val="00E52C5D"/>
    <w:rsid w:val="00E52CE4"/>
    <w:rsid w:val="00E52D51"/>
    <w:rsid w:val="00E52EBE"/>
    <w:rsid w:val="00E52EE6"/>
    <w:rsid w:val="00E52FC1"/>
    <w:rsid w:val="00E52FF4"/>
    <w:rsid w:val="00E5309A"/>
    <w:rsid w:val="00E530B4"/>
    <w:rsid w:val="00E531A8"/>
    <w:rsid w:val="00E53522"/>
    <w:rsid w:val="00E53553"/>
    <w:rsid w:val="00E5355B"/>
    <w:rsid w:val="00E539BB"/>
    <w:rsid w:val="00E53B0E"/>
    <w:rsid w:val="00E53B7F"/>
    <w:rsid w:val="00E53CC6"/>
    <w:rsid w:val="00E53F15"/>
    <w:rsid w:val="00E53F4D"/>
    <w:rsid w:val="00E53FF2"/>
    <w:rsid w:val="00E541EA"/>
    <w:rsid w:val="00E54260"/>
    <w:rsid w:val="00E54285"/>
    <w:rsid w:val="00E5434F"/>
    <w:rsid w:val="00E54449"/>
    <w:rsid w:val="00E544CB"/>
    <w:rsid w:val="00E545F4"/>
    <w:rsid w:val="00E54BCC"/>
    <w:rsid w:val="00E54BDF"/>
    <w:rsid w:val="00E54BE8"/>
    <w:rsid w:val="00E54C84"/>
    <w:rsid w:val="00E54C9C"/>
    <w:rsid w:val="00E54E1A"/>
    <w:rsid w:val="00E54EA7"/>
    <w:rsid w:val="00E54F5C"/>
    <w:rsid w:val="00E55016"/>
    <w:rsid w:val="00E55084"/>
    <w:rsid w:val="00E55290"/>
    <w:rsid w:val="00E553D9"/>
    <w:rsid w:val="00E554D5"/>
    <w:rsid w:val="00E55838"/>
    <w:rsid w:val="00E5586A"/>
    <w:rsid w:val="00E55A10"/>
    <w:rsid w:val="00E55F74"/>
    <w:rsid w:val="00E55FBB"/>
    <w:rsid w:val="00E560C1"/>
    <w:rsid w:val="00E56161"/>
    <w:rsid w:val="00E56367"/>
    <w:rsid w:val="00E565C9"/>
    <w:rsid w:val="00E566D5"/>
    <w:rsid w:val="00E56A4E"/>
    <w:rsid w:val="00E56C31"/>
    <w:rsid w:val="00E56CCB"/>
    <w:rsid w:val="00E56E18"/>
    <w:rsid w:val="00E56E29"/>
    <w:rsid w:val="00E56F2B"/>
    <w:rsid w:val="00E57024"/>
    <w:rsid w:val="00E570ED"/>
    <w:rsid w:val="00E571FB"/>
    <w:rsid w:val="00E5729A"/>
    <w:rsid w:val="00E572BB"/>
    <w:rsid w:val="00E57380"/>
    <w:rsid w:val="00E57440"/>
    <w:rsid w:val="00E57561"/>
    <w:rsid w:val="00E576DE"/>
    <w:rsid w:val="00E577AC"/>
    <w:rsid w:val="00E57A4E"/>
    <w:rsid w:val="00E57DB2"/>
    <w:rsid w:val="00E57F17"/>
    <w:rsid w:val="00E57F42"/>
    <w:rsid w:val="00E60018"/>
    <w:rsid w:val="00E6010B"/>
    <w:rsid w:val="00E6025C"/>
    <w:rsid w:val="00E60287"/>
    <w:rsid w:val="00E602D4"/>
    <w:rsid w:val="00E60314"/>
    <w:rsid w:val="00E60433"/>
    <w:rsid w:val="00E6046B"/>
    <w:rsid w:val="00E604C3"/>
    <w:rsid w:val="00E606E5"/>
    <w:rsid w:val="00E60742"/>
    <w:rsid w:val="00E60826"/>
    <w:rsid w:val="00E60C4D"/>
    <w:rsid w:val="00E60CB0"/>
    <w:rsid w:val="00E60D6A"/>
    <w:rsid w:val="00E60DD0"/>
    <w:rsid w:val="00E60F3E"/>
    <w:rsid w:val="00E60F51"/>
    <w:rsid w:val="00E60F96"/>
    <w:rsid w:val="00E60F9F"/>
    <w:rsid w:val="00E61354"/>
    <w:rsid w:val="00E613E6"/>
    <w:rsid w:val="00E61415"/>
    <w:rsid w:val="00E61806"/>
    <w:rsid w:val="00E618C1"/>
    <w:rsid w:val="00E61A54"/>
    <w:rsid w:val="00E61EAF"/>
    <w:rsid w:val="00E61EBF"/>
    <w:rsid w:val="00E61ECB"/>
    <w:rsid w:val="00E61F22"/>
    <w:rsid w:val="00E622DA"/>
    <w:rsid w:val="00E623DC"/>
    <w:rsid w:val="00E62430"/>
    <w:rsid w:val="00E62570"/>
    <w:rsid w:val="00E62588"/>
    <w:rsid w:val="00E628B9"/>
    <w:rsid w:val="00E62D02"/>
    <w:rsid w:val="00E62D32"/>
    <w:rsid w:val="00E62D7B"/>
    <w:rsid w:val="00E63050"/>
    <w:rsid w:val="00E6305D"/>
    <w:rsid w:val="00E630DA"/>
    <w:rsid w:val="00E6318E"/>
    <w:rsid w:val="00E632AC"/>
    <w:rsid w:val="00E635D1"/>
    <w:rsid w:val="00E6362A"/>
    <w:rsid w:val="00E6365F"/>
    <w:rsid w:val="00E6376F"/>
    <w:rsid w:val="00E6381A"/>
    <w:rsid w:val="00E63A48"/>
    <w:rsid w:val="00E63BCE"/>
    <w:rsid w:val="00E63D1A"/>
    <w:rsid w:val="00E63D4C"/>
    <w:rsid w:val="00E63F12"/>
    <w:rsid w:val="00E63F4F"/>
    <w:rsid w:val="00E64014"/>
    <w:rsid w:val="00E64046"/>
    <w:rsid w:val="00E641CF"/>
    <w:rsid w:val="00E641EF"/>
    <w:rsid w:val="00E645D5"/>
    <w:rsid w:val="00E648E3"/>
    <w:rsid w:val="00E6494C"/>
    <w:rsid w:val="00E64A2E"/>
    <w:rsid w:val="00E64B5A"/>
    <w:rsid w:val="00E65292"/>
    <w:rsid w:val="00E65339"/>
    <w:rsid w:val="00E653F8"/>
    <w:rsid w:val="00E65476"/>
    <w:rsid w:val="00E6558B"/>
    <w:rsid w:val="00E65628"/>
    <w:rsid w:val="00E656AF"/>
    <w:rsid w:val="00E656F8"/>
    <w:rsid w:val="00E656FA"/>
    <w:rsid w:val="00E65762"/>
    <w:rsid w:val="00E6587B"/>
    <w:rsid w:val="00E659D6"/>
    <w:rsid w:val="00E65C6A"/>
    <w:rsid w:val="00E65D3C"/>
    <w:rsid w:val="00E65ED4"/>
    <w:rsid w:val="00E65ED6"/>
    <w:rsid w:val="00E6610E"/>
    <w:rsid w:val="00E66111"/>
    <w:rsid w:val="00E66212"/>
    <w:rsid w:val="00E66252"/>
    <w:rsid w:val="00E6635C"/>
    <w:rsid w:val="00E66569"/>
    <w:rsid w:val="00E66589"/>
    <w:rsid w:val="00E66AF9"/>
    <w:rsid w:val="00E66B46"/>
    <w:rsid w:val="00E66B78"/>
    <w:rsid w:val="00E66B85"/>
    <w:rsid w:val="00E66C2D"/>
    <w:rsid w:val="00E66C9B"/>
    <w:rsid w:val="00E67104"/>
    <w:rsid w:val="00E671A6"/>
    <w:rsid w:val="00E67310"/>
    <w:rsid w:val="00E676E3"/>
    <w:rsid w:val="00E6775F"/>
    <w:rsid w:val="00E678CF"/>
    <w:rsid w:val="00E67983"/>
    <w:rsid w:val="00E67AC8"/>
    <w:rsid w:val="00E67DAB"/>
    <w:rsid w:val="00E67DCF"/>
    <w:rsid w:val="00E67ECB"/>
    <w:rsid w:val="00E67FA1"/>
    <w:rsid w:val="00E6E8EE"/>
    <w:rsid w:val="00E70320"/>
    <w:rsid w:val="00E70362"/>
    <w:rsid w:val="00E7047B"/>
    <w:rsid w:val="00E70571"/>
    <w:rsid w:val="00E706B4"/>
    <w:rsid w:val="00E706E9"/>
    <w:rsid w:val="00E706F7"/>
    <w:rsid w:val="00E7078D"/>
    <w:rsid w:val="00E70886"/>
    <w:rsid w:val="00E708C6"/>
    <w:rsid w:val="00E70992"/>
    <w:rsid w:val="00E70DB9"/>
    <w:rsid w:val="00E70FC3"/>
    <w:rsid w:val="00E70FF1"/>
    <w:rsid w:val="00E71080"/>
    <w:rsid w:val="00E712F4"/>
    <w:rsid w:val="00E71321"/>
    <w:rsid w:val="00E713A2"/>
    <w:rsid w:val="00E71913"/>
    <w:rsid w:val="00E71944"/>
    <w:rsid w:val="00E719CF"/>
    <w:rsid w:val="00E71B41"/>
    <w:rsid w:val="00E71BBA"/>
    <w:rsid w:val="00E71BDE"/>
    <w:rsid w:val="00E71C93"/>
    <w:rsid w:val="00E71D5D"/>
    <w:rsid w:val="00E71DF1"/>
    <w:rsid w:val="00E71E2E"/>
    <w:rsid w:val="00E71EC6"/>
    <w:rsid w:val="00E71EFA"/>
    <w:rsid w:val="00E71F51"/>
    <w:rsid w:val="00E72258"/>
    <w:rsid w:val="00E72261"/>
    <w:rsid w:val="00E724C4"/>
    <w:rsid w:val="00E7254B"/>
    <w:rsid w:val="00E725B3"/>
    <w:rsid w:val="00E725B5"/>
    <w:rsid w:val="00E726D0"/>
    <w:rsid w:val="00E7287E"/>
    <w:rsid w:val="00E72A6B"/>
    <w:rsid w:val="00E72BB5"/>
    <w:rsid w:val="00E72BDD"/>
    <w:rsid w:val="00E72E71"/>
    <w:rsid w:val="00E72EE4"/>
    <w:rsid w:val="00E72F09"/>
    <w:rsid w:val="00E732CB"/>
    <w:rsid w:val="00E7347D"/>
    <w:rsid w:val="00E734BB"/>
    <w:rsid w:val="00E734DF"/>
    <w:rsid w:val="00E7352E"/>
    <w:rsid w:val="00E735CA"/>
    <w:rsid w:val="00E7373F"/>
    <w:rsid w:val="00E739B3"/>
    <w:rsid w:val="00E73B90"/>
    <w:rsid w:val="00E73D36"/>
    <w:rsid w:val="00E73F7B"/>
    <w:rsid w:val="00E74150"/>
    <w:rsid w:val="00E74164"/>
    <w:rsid w:val="00E74204"/>
    <w:rsid w:val="00E74262"/>
    <w:rsid w:val="00E742AD"/>
    <w:rsid w:val="00E742DA"/>
    <w:rsid w:val="00E7460D"/>
    <w:rsid w:val="00E74665"/>
    <w:rsid w:val="00E7467C"/>
    <w:rsid w:val="00E746AD"/>
    <w:rsid w:val="00E746D3"/>
    <w:rsid w:val="00E7478D"/>
    <w:rsid w:val="00E748B8"/>
    <w:rsid w:val="00E74934"/>
    <w:rsid w:val="00E74A2F"/>
    <w:rsid w:val="00E74B00"/>
    <w:rsid w:val="00E74B41"/>
    <w:rsid w:val="00E74BBA"/>
    <w:rsid w:val="00E74EDB"/>
    <w:rsid w:val="00E74F51"/>
    <w:rsid w:val="00E751A7"/>
    <w:rsid w:val="00E751CF"/>
    <w:rsid w:val="00E75256"/>
    <w:rsid w:val="00E753BF"/>
    <w:rsid w:val="00E755B3"/>
    <w:rsid w:val="00E75924"/>
    <w:rsid w:val="00E75A6E"/>
    <w:rsid w:val="00E75D49"/>
    <w:rsid w:val="00E75D89"/>
    <w:rsid w:val="00E75DC1"/>
    <w:rsid w:val="00E7605D"/>
    <w:rsid w:val="00E76086"/>
    <w:rsid w:val="00E76091"/>
    <w:rsid w:val="00E76380"/>
    <w:rsid w:val="00E76401"/>
    <w:rsid w:val="00E76462"/>
    <w:rsid w:val="00E764A3"/>
    <w:rsid w:val="00E764B1"/>
    <w:rsid w:val="00E764ED"/>
    <w:rsid w:val="00E7671A"/>
    <w:rsid w:val="00E76877"/>
    <w:rsid w:val="00E76889"/>
    <w:rsid w:val="00E7691F"/>
    <w:rsid w:val="00E76AA9"/>
    <w:rsid w:val="00E76B59"/>
    <w:rsid w:val="00E76C5F"/>
    <w:rsid w:val="00E76C71"/>
    <w:rsid w:val="00E76E83"/>
    <w:rsid w:val="00E77004"/>
    <w:rsid w:val="00E77081"/>
    <w:rsid w:val="00E7727A"/>
    <w:rsid w:val="00E772EA"/>
    <w:rsid w:val="00E77311"/>
    <w:rsid w:val="00E77382"/>
    <w:rsid w:val="00E775F3"/>
    <w:rsid w:val="00E77609"/>
    <w:rsid w:val="00E7763C"/>
    <w:rsid w:val="00E7765C"/>
    <w:rsid w:val="00E7777A"/>
    <w:rsid w:val="00E77923"/>
    <w:rsid w:val="00E77960"/>
    <w:rsid w:val="00E77979"/>
    <w:rsid w:val="00E779E4"/>
    <w:rsid w:val="00E77BD3"/>
    <w:rsid w:val="00E77BF9"/>
    <w:rsid w:val="00E77C38"/>
    <w:rsid w:val="00E77F26"/>
    <w:rsid w:val="00E77F89"/>
    <w:rsid w:val="00E80308"/>
    <w:rsid w:val="00E80354"/>
    <w:rsid w:val="00E80671"/>
    <w:rsid w:val="00E8079D"/>
    <w:rsid w:val="00E807BC"/>
    <w:rsid w:val="00E80B41"/>
    <w:rsid w:val="00E80B53"/>
    <w:rsid w:val="00E80DE0"/>
    <w:rsid w:val="00E80E7A"/>
    <w:rsid w:val="00E80EBD"/>
    <w:rsid w:val="00E81468"/>
    <w:rsid w:val="00E8156E"/>
    <w:rsid w:val="00E81621"/>
    <w:rsid w:val="00E8175A"/>
    <w:rsid w:val="00E818B8"/>
    <w:rsid w:val="00E818FB"/>
    <w:rsid w:val="00E819D1"/>
    <w:rsid w:val="00E819F6"/>
    <w:rsid w:val="00E81DCC"/>
    <w:rsid w:val="00E81F9C"/>
    <w:rsid w:val="00E82015"/>
    <w:rsid w:val="00E821F0"/>
    <w:rsid w:val="00E8223E"/>
    <w:rsid w:val="00E82386"/>
    <w:rsid w:val="00E826FE"/>
    <w:rsid w:val="00E827E5"/>
    <w:rsid w:val="00E829ED"/>
    <w:rsid w:val="00E82CFD"/>
    <w:rsid w:val="00E82FB9"/>
    <w:rsid w:val="00E8300F"/>
    <w:rsid w:val="00E83064"/>
    <w:rsid w:val="00E831B9"/>
    <w:rsid w:val="00E831D7"/>
    <w:rsid w:val="00E8320B"/>
    <w:rsid w:val="00E83332"/>
    <w:rsid w:val="00E83394"/>
    <w:rsid w:val="00E83425"/>
    <w:rsid w:val="00E83497"/>
    <w:rsid w:val="00E834EA"/>
    <w:rsid w:val="00E8351E"/>
    <w:rsid w:val="00E8353F"/>
    <w:rsid w:val="00E838D2"/>
    <w:rsid w:val="00E83901"/>
    <w:rsid w:val="00E83B79"/>
    <w:rsid w:val="00E83C22"/>
    <w:rsid w:val="00E83DC8"/>
    <w:rsid w:val="00E83DE1"/>
    <w:rsid w:val="00E83E54"/>
    <w:rsid w:val="00E83ED9"/>
    <w:rsid w:val="00E83F1D"/>
    <w:rsid w:val="00E8401F"/>
    <w:rsid w:val="00E840B3"/>
    <w:rsid w:val="00E84318"/>
    <w:rsid w:val="00E84323"/>
    <w:rsid w:val="00E84368"/>
    <w:rsid w:val="00E844DC"/>
    <w:rsid w:val="00E845CA"/>
    <w:rsid w:val="00E8481F"/>
    <w:rsid w:val="00E8482E"/>
    <w:rsid w:val="00E8485C"/>
    <w:rsid w:val="00E849B5"/>
    <w:rsid w:val="00E849CA"/>
    <w:rsid w:val="00E84BB2"/>
    <w:rsid w:val="00E84CCF"/>
    <w:rsid w:val="00E84D48"/>
    <w:rsid w:val="00E84EAA"/>
    <w:rsid w:val="00E84F04"/>
    <w:rsid w:val="00E84F8A"/>
    <w:rsid w:val="00E850CE"/>
    <w:rsid w:val="00E8514E"/>
    <w:rsid w:val="00E85170"/>
    <w:rsid w:val="00E85392"/>
    <w:rsid w:val="00E855EC"/>
    <w:rsid w:val="00E85743"/>
    <w:rsid w:val="00E85814"/>
    <w:rsid w:val="00E8581C"/>
    <w:rsid w:val="00E85836"/>
    <w:rsid w:val="00E8591E"/>
    <w:rsid w:val="00E85965"/>
    <w:rsid w:val="00E85B6B"/>
    <w:rsid w:val="00E85BD4"/>
    <w:rsid w:val="00E85CE4"/>
    <w:rsid w:val="00E85D05"/>
    <w:rsid w:val="00E85D4D"/>
    <w:rsid w:val="00E85EDC"/>
    <w:rsid w:val="00E85F3B"/>
    <w:rsid w:val="00E86074"/>
    <w:rsid w:val="00E8631C"/>
    <w:rsid w:val="00E86349"/>
    <w:rsid w:val="00E865BA"/>
    <w:rsid w:val="00E86826"/>
    <w:rsid w:val="00E8682F"/>
    <w:rsid w:val="00E8684E"/>
    <w:rsid w:val="00E868C4"/>
    <w:rsid w:val="00E86940"/>
    <w:rsid w:val="00E86987"/>
    <w:rsid w:val="00E86C7E"/>
    <w:rsid w:val="00E86CB0"/>
    <w:rsid w:val="00E86D17"/>
    <w:rsid w:val="00E86D1D"/>
    <w:rsid w:val="00E86D90"/>
    <w:rsid w:val="00E86E08"/>
    <w:rsid w:val="00E86E0F"/>
    <w:rsid w:val="00E86EC1"/>
    <w:rsid w:val="00E86F6F"/>
    <w:rsid w:val="00E8715F"/>
    <w:rsid w:val="00E87213"/>
    <w:rsid w:val="00E8738C"/>
    <w:rsid w:val="00E87474"/>
    <w:rsid w:val="00E876CA"/>
    <w:rsid w:val="00E87709"/>
    <w:rsid w:val="00E878EA"/>
    <w:rsid w:val="00E879A2"/>
    <w:rsid w:val="00E87A00"/>
    <w:rsid w:val="00E87AD6"/>
    <w:rsid w:val="00E87C0B"/>
    <w:rsid w:val="00E87C5F"/>
    <w:rsid w:val="00E9001F"/>
    <w:rsid w:val="00E902E0"/>
    <w:rsid w:val="00E90521"/>
    <w:rsid w:val="00E90842"/>
    <w:rsid w:val="00E90893"/>
    <w:rsid w:val="00E90982"/>
    <w:rsid w:val="00E90BB1"/>
    <w:rsid w:val="00E90CA4"/>
    <w:rsid w:val="00E90CA8"/>
    <w:rsid w:val="00E90CA9"/>
    <w:rsid w:val="00E90CDB"/>
    <w:rsid w:val="00E90EC8"/>
    <w:rsid w:val="00E910D7"/>
    <w:rsid w:val="00E912DD"/>
    <w:rsid w:val="00E914A4"/>
    <w:rsid w:val="00E91518"/>
    <w:rsid w:val="00E9153B"/>
    <w:rsid w:val="00E915AF"/>
    <w:rsid w:val="00E915D1"/>
    <w:rsid w:val="00E91644"/>
    <w:rsid w:val="00E91698"/>
    <w:rsid w:val="00E916E2"/>
    <w:rsid w:val="00E91849"/>
    <w:rsid w:val="00E91883"/>
    <w:rsid w:val="00E91990"/>
    <w:rsid w:val="00E919C2"/>
    <w:rsid w:val="00E91A44"/>
    <w:rsid w:val="00E91A51"/>
    <w:rsid w:val="00E91CD3"/>
    <w:rsid w:val="00E91DF3"/>
    <w:rsid w:val="00E91E3D"/>
    <w:rsid w:val="00E91F18"/>
    <w:rsid w:val="00E92043"/>
    <w:rsid w:val="00E9213A"/>
    <w:rsid w:val="00E9226F"/>
    <w:rsid w:val="00E922C9"/>
    <w:rsid w:val="00E922D4"/>
    <w:rsid w:val="00E92622"/>
    <w:rsid w:val="00E9275D"/>
    <w:rsid w:val="00E92877"/>
    <w:rsid w:val="00E92E29"/>
    <w:rsid w:val="00E92E85"/>
    <w:rsid w:val="00E92F59"/>
    <w:rsid w:val="00E92F5B"/>
    <w:rsid w:val="00E9313A"/>
    <w:rsid w:val="00E9317A"/>
    <w:rsid w:val="00E934BA"/>
    <w:rsid w:val="00E93534"/>
    <w:rsid w:val="00E935A8"/>
    <w:rsid w:val="00E936C8"/>
    <w:rsid w:val="00E9375C"/>
    <w:rsid w:val="00E93800"/>
    <w:rsid w:val="00E938C7"/>
    <w:rsid w:val="00E939A5"/>
    <w:rsid w:val="00E93A38"/>
    <w:rsid w:val="00E93BDC"/>
    <w:rsid w:val="00E94121"/>
    <w:rsid w:val="00E941C7"/>
    <w:rsid w:val="00E9441A"/>
    <w:rsid w:val="00E9452D"/>
    <w:rsid w:val="00E94603"/>
    <w:rsid w:val="00E9460B"/>
    <w:rsid w:val="00E94652"/>
    <w:rsid w:val="00E94705"/>
    <w:rsid w:val="00E94718"/>
    <w:rsid w:val="00E94919"/>
    <w:rsid w:val="00E9495A"/>
    <w:rsid w:val="00E94AAB"/>
    <w:rsid w:val="00E94D21"/>
    <w:rsid w:val="00E94E82"/>
    <w:rsid w:val="00E94F7D"/>
    <w:rsid w:val="00E9519F"/>
    <w:rsid w:val="00E952BF"/>
    <w:rsid w:val="00E9538C"/>
    <w:rsid w:val="00E9546D"/>
    <w:rsid w:val="00E95527"/>
    <w:rsid w:val="00E955B7"/>
    <w:rsid w:val="00E95B6C"/>
    <w:rsid w:val="00E95BF3"/>
    <w:rsid w:val="00E95D59"/>
    <w:rsid w:val="00E95D84"/>
    <w:rsid w:val="00E95DA3"/>
    <w:rsid w:val="00E95EA0"/>
    <w:rsid w:val="00E95FCE"/>
    <w:rsid w:val="00E96024"/>
    <w:rsid w:val="00E9605C"/>
    <w:rsid w:val="00E960DD"/>
    <w:rsid w:val="00E960FB"/>
    <w:rsid w:val="00E9612E"/>
    <w:rsid w:val="00E96240"/>
    <w:rsid w:val="00E96487"/>
    <w:rsid w:val="00E96518"/>
    <w:rsid w:val="00E96558"/>
    <w:rsid w:val="00E96750"/>
    <w:rsid w:val="00E96802"/>
    <w:rsid w:val="00E96855"/>
    <w:rsid w:val="00E968D4"/>
    <w:rsid w:val="00E96B6A"/>
    <w:rsid w:val="00E96C7D"/>
    <w:rsid w:val="00E96C90"/>
    <w:rsid w:val="00E96D71"/>
    <w:rsid w:val="00E96E02"/>
    <w:rsid w:val="00E96E6F"/>
    <w:rsid w:val="00E96F2F"/>
    <w:rsid w:val="00E96F72"/>
    <w:rsid w:val="00E9703D"/>
    <w:rsid w:val="00E9736A"/>
    <w:rsid w:val="00E973A6"/>
    <w:rsid w:val="00E9742A"/>
    <w:rsid w:val="00E97485"/>
    <w:rsid w:val="00E974EF"/>
    <w:rsid w:val="00E9756E"/>
    <w:rsid w:val="00E977A0"/>
    <w:rsid w:val="00E978AE"/>
    <w:rsid w:val="00E97C5F"/>
    <w:rsid w:val="00E97D1A"/>
    <w:rsid w:val="00E97D35"/>
    <w:rsid w:val="00E97D8B"/>
    <w:rsid w:val="00E97ED1"/>
    <w:rsid w:val="00E9880E"/>
    <w:rsid w:val="00E9D08B"/>
    <w:rsid w:val="00EA01C5"/>
    <w:rsid w:val="00EA04D8"/>
    <w:rsid w:val="00EA0517"/>
    <w:rsid w:val="00EA0594"/>
    <w:rsid w:val="00EA0693"/>
    <w:rsid w:val="00EA0725"/>
    <w:rsid w:val="00EA07F9"/>
    <w:rsid w:val="00EA099C"/>
    <w:rsid w:val="00EA0A8B"/>
    <w:rsid w:val="00EA0B04"/>
    <w:rsid w:val="00EA0B51"/>
    <w:rsid w:val="00EA0C9E"/>
    <w:rsid w:val="00EA0D0A"/>
    <w:rsid w:val="00EA0E30"/>
    <w:rsid w:val="00EA0FD0"/>
    <w:rsid w:val="00EA11D9"/>
    <w:rsid w:val="00EA1242"/>
    <w:rsid w:val="00EA125A"/>
    <w:rsid w:val="00EA1669"/>
    <w:rsid w:val="00EA16B1"/>
    <w:rsid w:val="00EA196D"/>
    <w:rsid w:val="00EA1A0C"/>
    <w:rsid w:val="00EA1A9B"/>
    <w:rsid w:val="00EA1BAD"/>
    <w:rsid w:val="00EA1C4E"/>
    <w:rsid w:val="00EA1EC1"/>
    <w:rsid w:val="00EA1F0E"/>
    <w:rsid w:val="00EA2110"/>
    <w:rsid w:val="00EA2139"/>
    <w:rsid w:val="00EA2238"/>
    <w:rsid w:val="00EA226F"/>
    <w:rsid w:val="00EA25BE"/>
    <w:rsid w:val="00EA27CD"/>
    <w:rsid w:val="00EA27F5"/>
    <w:rsid w:val="00EA28A5"/>
    <w:rsid w:val="00EA2944"/>
    <w:rsid w:val="00EA294D"/>
    <w:rsid w:val="00EA2A26"/>
    <w:rsid w:val="00EA2ACC"/>
    <w:rsid w:val="00EA2C61"/>
    <w:rsid w:val="00EA2C8D"/>
    <w:rsid w:val="00EA2C90"/>
    <w:rsid w:val="00EA2D05"/>
    <w:rsid w:val="00EA2D41"/>
    <w:rsid w:val="00EA2DAB"/>
    <w:rsid w:val="00EA3278"/>
    <w:rsid w:val="00EA33DC"/>
    <w:rsid w:val="00EA3477"/>
    <w:rsid w:val="00EA34B3"/>
    <w:rsid w:val="00EA3543"/>
    <w:rsid w:val="00EA35A9"/>
    <w:rsid w:val="00EA36D2"/>
    <w:rsid w:val="00EA375F"/>
    <w:rsid w:val="00EA3A20"/>
    <w:rsid w:val="00EA3AFC"/>
    <w:rsid w:val="00EA3E19"/>
    <w:rsid w:val="00EA3E53"/>
    <w:rsid w:val="00EA3FA2"/>
    <w:rsid w:val="00EA41D9"/>
    <w:rsid w:val="00EA4286"/>
    <w:rsid w:val="00EA446F"/>
    <w:rsid w:val="00EA473A"/>
    <w:rsid w:val="00EA4A41"/>
    <w:rsid w:val="00EA4BA7"/>
    <w:rsid w:val="00EA4C84"/>
    <w:rsid w:val="00EA4D0A"/>
    <w:rsid w:val="00EA4D34"/>
    <w:rsid w:val="00EA4D86"/>
    <w:rsid w:val="00EA4E63"/>
    <w:rsid w:val="00EA4F77"/>
    <w:rsid w:val="00EA505B"/>
    <w:rsid w:val="00EA506B"/>
    <w:rsid w:val="00EA5092"/>
    <w:rsid w:val="00EA5182"/>
    <w:rsid w:val="00EA51CF"/>
    <w:rsid w:val="00EA52E6"/>
    <w:rsid w:val="00EA539C"/>
    <w:rsid w:val="00EA5448"/>
    <w:rsid w:val="00EA54B1"/>
    <w:rsid w:val="00EA576A"/>
    <w:rsid w:val="00EA5AC4"/>
    <w:rsid w:val="00EA5B38"/>
    <w:rsid w:val="00EA5C07"/>
    <w:rsid w:val="00EA5F8C"/>
    <w:rsid w:val="00EA6089"/>
    <w:rsid w:val="00EA6311"/>
    <w:rsid w:val="00EA634C"/>
    <w:rsid w:val="00EA6503"/>
    <w:rsid w:val="00EA6632"/>
    <w:rsid w:val="00EA681A"/>
    <w:rsid w:val="00EA6860"/>
    <w:rsid w:val="00EA69EA"/>
    <w:rsid w:val="00EA6A5D"/>
    <w:rsid w:val="00EA6AC3"/>
    <w:rsid w:val="00EA6BB1"/>
    <w:rsid w:val="00EA6F4A"/>
    <w:rsid w:val="00EA6F7B"/>
    <w:rsid w:val="00EA6FBB"/>
    <w:rsid w:val="00EA7022"/>
    <w:rsid w:val="00EA7219"/>
    <w:rsid w:val="00EA734C"/>
    <w:rsid w:val="00EA737F"/>
    <w:rsid w:val="00EA73C9"/>
    <w:rsid w:val="00EA76A3"/>
    <w:rsid w:val="00EA7763"/>
    <w:rsid w:val="00EA778D"/>
    <w:rsid w:val="00EA7795"/>
    <w:rsid w:val="00EA798F"/>
    <w:rsid w:val="00EA79C5"/>
    <w:rsid w:val="00EA7B32"/>
    <w:rsid w:val="00EA7BC9"/>
    <w:rsid w:val="00EA7EDA"/>
    <w:rsid w:val="00EA7F90"/>
    <w:rsid w:val="00EAB09B"/>
    <w:rsid w:val="00EB00BE"/>
    <w:rsid w:val="00EB0187"/>
    <w:rsid w:val="00EB0242"/>
    <w:rsid w:val="00EB038F"/>
    <w:rsid w:val="00EB03A8"/>
    <w:rsid w:val="00EB05FD"/>
    <w:rsid w:val="00EB062A"/>
    <w:rsid w:val="00EB08A1"/>
    <w:rsid w:val="00EB0A69"/>
    <w:rsid w:val="00EB0AA2"/>
    <w:rsid w:val="00EB0ABF"/>
    <w:rsid w:val="00EB0B26"/>
    <w:rsid w:val="00EB0B65"/>
    <w:rsid w:val="00EB0C9C"/>
    <w:rsid w:val="00EB0CB8"/>
    <w:rsid w:val="00EB0D53"/>
    <w:rsid w:val="00EB0D79"/>
    <w:rsid w:val="00EB0DE7"/>
    <w:rsid w:val="00EB1115"/>
    <w:rsid w:val="00EB12A9"/>
    <w:rsid w:val="00EB13DC"/>
    <w:rsid w:val="00EB1429"/>
    <w:rsid w:val="00EB146E"/>
    <w:rsid w:val="00EB1475"/>
    <w:rsid w:val="00EB14CC"/>
    <w:rsid w:val="00EB1559"/>
    <w:rsid w:val="00EB163D"/>
    <w:rsid w:val="00EB177E"/>
    <w:rsid w:val="00EB17AD"/>
    <w:rsid w:val="00EB1854"/>
    <w:rsid w:val="00EB194E"/>
    <w:rsid w:val="00EB1950"/>
    <w:rsid w:val="00EB1A79"/>
    <w:rsid w:val="00EB1B45"/>
    <w:rsid w:val="00EB1C31"/>
    <w:rsid w:val="00EB1CF3"/>
    <w:rsid w:val="00EB1D3D"/>
    <w:rsid w:val="00EB1D51"/>
    <w:rsid w:val="00EB1DA9"/>
    <w:rsid w:val="00EB1DB4"/>
    <w:rsid w:val="00EB1E6E"/>
    <w:rsid w:val="00EB2137"/>
    <w:rsid w:val="00EB2156"/>
    <w:rsid w:val="00EB2224"/>
    <w:rsid w:val="00EB2322"/>
    <w:rsid w:val="00EB2347"/>
    <w:rsid w:val="00EB23E3"/>
    <w:rsid w:val="00EB2610"/>
    <w:rsid w:val="00EB2633"/>
    <w:rsid w:val="00EB2649"/>
    <w:rsid w:val="00EB268A"/>
    <w:rsid w:val="00EB288A"/>
    <w:rsid w:val="00EB298F"/>
    <w:rsid w:val="00EB29D0"/>
    <w:rsid w:val="00EB2BCD"/>
    <w:rsid w:val="00EB2C09"/>
    <w:rsid w:val="00EB2C5C"/>
    <w:rsid w:val="00EB2CFE"/>
    <w:rsid w:val="00EB30F6"/>
    <w:rsid w:val="00EB31F7"/>
    <w:rsid w:val="00EB3249"/>
    <w:rsid w:val="00EB32BB"/>
    <w:rsid w:val="00EB32EB"/>
    <w:rsid w:val="00EB331E"/>
    <w:rsid w:val="00EB339D"/>
    <w:rsid w:val="00EB3427"/>
    <w:rsid w:val="00EB3515"/>
    <w:rsid w:val="00EB360F"/>
    <w:rsid w:val="00EB3639"/>
    <w:rsid w:val="00EB393E"/>
    <w:rsid w:val="00EB397A"/>
    <w:rsid w:val="00EB39B9"/>
    <w:rsid w:val="00EB3A0E"/>
    <w:rsid w:val="00EB3AD6"/>
    <w:rsid w:val="00EB3D1C"/>
    <w:rsid w:val="00EB3E7E"/>
    <w:rsid w:val="00EB3EC7"/>
    <w:rsid w:val="00EB3F97"/>
    <w:rsid w:val="00EB3FF9"/>
    <w:rsid w:val="00EB4011"/>
    <w:rsid w:val="00EB416A"/>
    <w:rsid w:val="00EB4336"/>
    <w:rsid w:val="00EB4355"/>
    <w:rsid w:val="00EB4387"/>
    <w:rsid w:val="00EB4540"/>
    <w:rsid w:val="00EB46C4"/>
    <w:rsid w:val="00EB48A2"/>
    <w:rsid w:val="00EB4943"/>
    <w:rsid w:val="00EB4972"/>
    <w:rsid w:val="00EB4982"/>
    <w:rsid w:val="00EB4AF0"/>
    <w:rsid w:val="00EB4BC8"/>
    <w:rsid w:val="00EB4C2F"/>
    <w:rsid w:val="00EB4D24"/>
    <w:rsid w:val="00EB4F81"/>
    <w:rsid w:val="00EB5029"/>
    <w:rsid w:val="00EB5189"/>
    <w:rsid w:val="00EB5422"/>
    <w:rsid w:val="00EB55B6"/>
    <w:rsid w:val="00EB5636"/>
    <w:rsid w:val="00EB59CA"/>
    <w:rsid w:val="00EB5B27"/>
    <w:rsid w:val="00EB5D4E"/>
    <w:rsid w:val="00EB5E65"/>
    <w:rsid w:val="00EB5F3E"/>
    <w:rsid w:val="00EB5F97"/>
    <w:rsid w:val="00EB6099"/>
    <w:rsid w:val="00EB61B8"/>
    <w:rsid w:val="00EB638E"/>
    <w:rsid w:val="00EB6525"/>
    <w:rsid w:val="00EB663A"/>
    <w:rsid w:val="00EB66B6"/>
    <w:rsid w:val="00EB678D"/>
    <w:rsid w:val="00EB6B33"/>
    <w:rsid w:val="00EB6D0A"/>
    <w:rsid w:val="00EB6E47"/>
    <w:rsid w:val="00EB6E93"/>
    <w:rsid w:val="00EB6F12"/>
    <w:rsid w:val="00EB71E2"/>
    <w:rsid w:val="00EB728B"/>
    <w:rsid w:val="00EB734F"/>
    <w:rsid w:val="00EB75AD"/>
    <w:rsid w:val="00EB75CE"/>
    <w:rsid w:val="00EB7742"/>
    <w:rsid w:val="00EB7823"/>
    <w:rsid w:val="00EB78B5"/>
    <w:rsid w:val="00EB7A62"/>
    <w:rsid w:val="00EB7B47"/>
    <w:rsid w:val="00EB7CE8"/>
    <w:rsid w:val="00EB7F23"/>
    <w:rsid w:val="00EC01BC"/>
    <w:rsid w:val="00EC01D5"/>
    <w:rsid w:val="00EC028A"/>
    <w:rsid w:val="00EC0306"/>
    <w:rsid w:val="00EC0502"/>
    <w:rsid w:val="00EC0576"/>
    <w:rsid w:val="00EC05EF"/>
    <w:rsid w:val="00EC0670"/>
    <w:rsid w:val="00EC0918"/>
    <w:rsid w:val="00EC0928"/>
    <w:rsid w:val="00EC0A79"/>
    <w:rsid w:val="00EC0D23"/>
    <w:rsid w:val="00EC0E17"/>
    <w:rsid w:val="00EC0E55"/>
    <w:rsid w:val="00EC0EE0"/>
    <w:rsid w:val="00EC1043"/>
    <w:rsid w:val="00EC1068"/>
    <w:rsid w:val="00EC1388"/>
    <w:rsid w:val="00EC13F4"/>
    <w:rsid w:val="00EC1492"/>
    <w:rsid w:val="00EC1771"/>
    <w:rsid w:val="00EC17A0"/>
    <w:rsid w:val="00EC17D3"/>
    <w:rsid w:val="00EC17EA"/>
    <w:rsid w:val="00EC1A4F"/>
    <w:rsid w:val="00EC1BFB"/>
    <w:rsid w:val="00EC1D6C"/>
    <w:rsid w:val="00EC1F76"/>
    <w:rsid w:val="00EC2025"/>
    <w:rsid w:val="00EC228A"/>
    <w:rsid w:val="00EC234F"/>
    <w:rsid w:val="00EC23F9"/>
    <w:rsid w:val="00EC24A7"/>
    <w:rsid w:val="00EC24F1"/>
    <w:rsid w:val="00EC2543"/>
    <w:rsid w:val="00EC25C9"/>
    <w:rsid w:val="00EC271E"/>
    <w:rsid w:val="00EC28FC"/>
    <w:rsid w:val="00EC2B96"/>
    <w:rsid w:val="00EC2ECD"/>
    <w:rsid w:val="00EC2F07"/>
    <w:rsid w:val="00EC2F38"/>
    <w:rsid w:val="00EC2F9E"/>
    <w:rsid w:val="00EC2FF6"/>
    <w:rsid w:val="00EC3053"/>
    <w:rsid w:val="00EC30E4"/>
    <w:rsid w:val="00EC32C7"/>
    <w:rsid w:val="00EC32D5"/>
    <w:rsid w:val="00EC33E9"/>
    <w:rsid w:val="00EC342B"/>
    <w:rsid w:val="00EC36F6"/>
    <w:rsid w:val="00EC37C4"/>
    <w:rsid w:val="00EC3866"/>
    <w:rsid w:val="00EC38CD"/>
    <w:rsid w:val="00EC3B30"/>
    <w:rsid w:val="00EC3B88"/>
    <w:rsid w:val="00EC3C9B"/>
    <w:rsid w:val="00EC3D53"/>
    <w:rsid w:val="00EC3D6A"/>
    <w:rsid w:val="00EC3F40"/>
    <w:rsid w:val="00EC3F8F"/>
    <w:rsid w:val="00EC41D3"/>
    <w:rsid w:val="00EC4275"/>
    <w:rsid w:val="00EC4293"/>
    <w:rsid w:val="00EC42DD"/>
    <w:rsid w:val="00EC4331"/>
    <w:rsid w:val="00EC4420"/>
    <w:rsid w:val="00EC4490"/>
    <w:rsid w:val="00EC4515"/>
    <w:rsid w:val="00EC4548"/>
    <w:rsid w:val="00EC465D"/>
    <w:rsid w:val="00EC47F2"/>
    <w:rsid w:val="00EC4813"/>
    <w:rsid w:val="00EC4A01"/>
    <w:rsid w:val="00EC4DA8"/>
    <w:rsid w:val="00EC4F99"/>
    <w:rsid w:val="00EC4FC3"/>
    <w:rsid w:val="00EC51C4"/>
    <w:rsid w:val="00EC52EC"/>
    <w:rsid w:val="00EC5341"/>
    <w:rsid w:val="00EC5470"/>
    <w:rsid w:val="00EC5476"/>
    <w:rsid w:val="00EC5530"/>
    <w:rsid w:val="00EC5619"/>
    <w:rsid w:val="00EC595E"/>
    <w:rsid w:val="00EC5A96"/>
    <w:rsid w:val="00EC5C29"/>
    <w:rsid w:val="00EC5E91"/>
    <w:rsid w:val="00EC5F86"/>
    <w:rsid w:val="00EC601B"/>
    <w:rsid w:val="00EC6041"/>
    <w:rsid w:val="00EC613D"/>
    <w:rsid w:val="00EC615B"/>
    <w:rsid w:val="00EC64D1"/>
    <w:rsid w:val="00EC6758"/>
    <w:rsid w:val="00EC6876"/>
    <w:rsid w:val="00EC6973"/>
    <w:rsid w:val="00EC69AF"/>
    <w:rsid w:val="00EC6A5A"/>
    <w:rsid w:val="00EC6A90"/>
    <w:rsid w:val="00EC6A96"/>
    <w:rsid w:val="00EC6B24"/>
    <w:rsid w:val="00EC6E59"/>
    <w:rsid w:val="00EC6E64"/>
    <w:rsid w:val="00EC6F16"/>
    <w:rsid w:val="00EC6F7E"/>
    <w:rsid w:val="00EC6FE5"/>
    <w:rsid w:val="00EC7179"/>
    <w:rsid w:val="00EC7202"/>
    <w:rsid w:val="00EC736A"/>
    <w:rsid w:val="00EC747C"/>
    <w:rsid w:val="00EC74AD"/>
    <w:rsid w:val="00EC74D8"/>
    <w:rsid w:val="00EC76EF"/>
    <w:rsid w:val="00EC7745"/>
    <w:rsid w:val="00EC78E1"/>
    <w:rsid w:val="00EC7A32"/>
    <w:rsid w:val="00EC7A33"/>
    <w:rsid w:val="00EC7E05"/>
    <w:rsid w:val="00EC7E0F"/>
    <w:rsid w:val="00EC7E46"/>
    <w:rsid w:val="00EC7F7B"/>
    <w:rsid w:val="00ED0249"/>
    <w:rsid w:val="00ED0749"/>
    <w:rsid w:val="00ED07B5"/>
    <w:rsid w:val="00ED09D7"/>
    <w:rsid w:val="00ED0B18"/>
    <w:rsid w:val="00ED0B3F"/>
    <w:rsid w:val="00ED0B9B"/>
    <w:rsid w:val="00ED0C93"/>
    <w:rsid w:val="00ED0CD0"/>
    <w:rsid w:val="00ED0D7B"/>
    <w:rsid w:val="00ED0D7F"/>
    <w:rsid w:val="00ED0DDF"/>
    <w:rsid w:val="00ED0F1C"/>
    <w:rsid w:val="00ED111C"/>
    <w:rsid w:val="00ED1137"/>
    <w:rsid w:val="00ED11A9"/>
    <w:rsid w:val="00ED11CB"/>
    <w:rsid w:val="00ED1212"/>
    <w:rsid w:val="00ED123A"/>
    <w:rsid w:val="00ED124D"/>
    <w:rsid w:val="00ED13DC"/>
    <w:rsid w:val="00ED147C"/>
    <w:rsid w:val="00ED1637"/>
    <w:rsid w:val="00ED1988"/>
    <w:rsid w:val="00ED1AE0"/>
    <w:rsid w:val="00ED1B8A"/>
    <w:rsid w:val="00ED1BF0"/>
    <w:rsid w:val="00ED1C3A"/>
    <w:rsid w:val="00ED1C3D"/>
    <w:rsid w:val="00ED1EE3"/>
    <w:rsid w:val="00ED1FB6"/>
    <w:rsid w:val="00ED219C"/>
    <w:rsid w:val="00ED2267"/>
    <w:rsid w:val="00ED229D"/>
    <w:rsid w:val="00ED23C9"/>
    <w:rsid w:val="00ED2455"/>
    <w:rsid w:val="00ED2562"/>
    <w:rsid w:val="00ED2581"/>
    <w:rsid w:val="00ED2677"/>
    <w:rsid w:val="00ED267C"/>
    <w:rsid w:val="00ED2BD5"/>
    <w:rsid w:val="00ED2BE3"/>
    <w:rsid w:val="00ED2CE0"/>
    <w:rsid w:val="00ED2D29"/>
    <w:rsid w:val="00ED2DFC"/>
    <w:rsid w:val="00ED34C9"/>
    <w:rsid w:val="00ED3562"/>
    <w:rsid w:val="00ED356D"/>
    <w:rsid w:val="00ED36DD"/>
    <w:rsid w:val="00ED3738"/>
    <w:rsid w:val="00ED37EA"/>
    <w:rsid w:val="00ED386A"/>
    <w:rsid w:val="00ED3B81"/>
    <w:rsid w:val="00ED3B92"/>
    <w:rsid w:val="00ED3C73"/>
    <w:rsid w:val="00ED3C79"/>
    <w:rsid w:val="00ED3CC2"/>
    <w:rsid w:val="00ED3CD4"/>
    <w:rsid w:val="00ED3D38"/>
    <w:rsid w:val="00ED3F22"/>
    <w:rsid w:val="00ED3F49"/>
    <w:rsid w:val="00ED40F1"/>
    <w:rsid w:val="00ED41F0"/>
    <w:rsid w:val="00ED4369"/>
    <w:rsid w:val="00ED4B18"/>
    <w:rsid w:val="00ED4B47"/>
    <w:rsid w:val="00ED4B8E"/>
    <w:rsid w:val="00ED4BD0"/>
    <w:rsid w:val="00ED4C5E"/>
    <w:rsid w:val="00ED4F82"/>
    <w:rsid w:val="00ED5030"/>
    <w:rsid w:val="00ED5094"/>
    <w:rsid w:val="00ED5224"/>
    <w:rsid w:val="00ED5678"/>
    <w:rsid w:val="00ED56A7"/>
    <w:rsid w:val="00ED5734"/>
    <w:rsid w:val="00ED57F3"/>
    <w:rsid w:val="00ED5993"/>
    <w:rsid w:val="00ED59A8"/>
    <w:rsid w:val="00ED5A67"/>
    <w:rsid w:val="00ED5C63"/>
    <w:rsid w:val="00ED5D43"/>
    <w:rsid w:val="00ED5D68"/>
    <w:rsid w:val="00ED60B1"/>
    <w:rsid w:val="00ED61E7"/>
    <w:rsid w:val="00ED6248"/>
    <w:rsid w:val="00ED62F7"/>
    <w:rsid w:val="00ED643B"/>
    <w:rsid w:val="00ED6769"/>
    <w:rsid w:val="00ED67A7"/>
    <w:rsid w:val="00ED67AD"/>
    <w:rsid w:val="00ED67CE"/>
    <w:rsid w:val="00ED6898"/>
    <w:rsid w:val="00ED69A3"/>
    <w:rsid w:val="00ED6A8D"/>
    <w:rsid w:val="00ED6CCF"/>
    <w:rsid w:val="00ED6ED7"/>
    <w:rsid w:val="00ED6F7D"/>
    <w:rsid w:val="00ED6FFC"/>
    <w:rsid w:val="00ED705E"/>
    <w:rsid w:val="00ED708C"/>
    <w:rsid w:val="00ED70C1"/>
    <w:rsid w:val="00ED71FC"/>
    <w:rsid w:val="00ED720B"/>
    <w:rsid w:val="00ED7215"/>
    <w:rsid w:val="00ED727E"/>
    <w:rsid w:val="00ED728B"/>
    <w:rsid w:val="00ED7481"/>
    <w:rsid w:val="00ED7509"/>
    <w:rsid w:val="00ED762D"/>
    <w:rsid w:val="00ED7786"/>
    <w:rsid w:val="00ED77A3"/>
    <w:rsid w:val="00ED7919"/>
    <w:rsid w:val="00ED7B87"/>
    <w:rsid w:val="00ED7C5E"/>
    <w:rsid w:val="00ED7C7F"/>
    <w:rsid w:val="00ED7D11"/>
    <w:rsid w:val="00ED7DBA"/>
    <w:rsid w:val="00ED7E69"/>
    <w:rsid w:val="00ED7FB6"/>
    <w:rsid w:val="00EE00EB"/>
    <w:rsid w:val="00EE02ED"/>
    <w:rsid w:val="00EE0437"/>
    <w:rsid w:val="00EE071E"/>
    <w:rsid w:val="00EE0803"/>
    <w:rsid w:val="00EE0906"/>
    <w:rsid w:val="00EE0974"/>
    <w:rsid w:val="00EE09BA"/>
    <w:rsid w:val="00EE0A72"/>
    <w:rsid w:val="00EE0AFF"/>
    <w:rsid w:val="00EE0D05"/>
    <w:rsid w:val="00EE0DAC"/>
    <w:rsid w:val="00EE0EB1"/>
    <w:rsid w:val="00EE11AC"/>
    <w:rsid w:val="00EE15D8"/>
    <w:rsid w:val="00EE188A"/>
    <w:rsid w:val="00EE1C55"/>
    <w:rsid w:val="00EE1CB2"/>
    <w:rsid w:val="00EE1E4A"/>
    <w:rsid w:val="00EE2040"/>
    <w:rsid w:val="00EE2152"/>
    <w:rsid w:val="00EE2194"/>
    <w:rsid w:val="00EE2354"/>
    <w:rsid w:val="00EE23D7"/>
    <w:rsid w:val="00EE2550"/>
    <w:rsid w:val="00EE25C8"/>
    <w:rsid w:val="00EE25E6"/>
    <w:rsid w:val="00EE2687"/>
    <w:rsid w:val="00EE289A"/>
    <w:rsid w:val="00EE28B5"/>
    <w:rsid w:val="00EE2E33"/>
    <w:rsid w:val="00EE2FE7"/>
    <w:rsid w:val="00EE301E"/>
    <w:rsid w:val="00EE3288"/>
    <w:rsid w:val="00EE32CF"/>
    <w:rsid w:val="00EE3336"/>
    <w:rsid w:val="00EE365D"/>
    <w:rsid w:val="00EE365E"/>
    <w:rsid w:val="00EE3679"/>
    <w:rsid w:val="00EE36C5"/>
    <w:rsid w:val="00EE36EE"/>
    <w:rsid w:val="00EE37C6"/>
    <w:rsid w:val="00EE38D6"/>
    <w:rsid w:val="00EE38DB"/>
    <w:rsid w:val="00EE3980"/>
    <w:rsid w:val="00EE3B04"/>
    <w:rsid w:val="00EE3B0D"/>
    <w:rsid w:val="00EE3CFD"/>
    <w:rsid w:val="00EE3F17"/>
    <w:rsid w:val="00EE3FE6"/>
    <w:rsid w:val="00EE4026"/>
    <w:rsid w:val="00EE4093"/>
    <w:rsid w:val="00EE4247"/>
    <w:rsid w:val="00EE4412"/>
    <w:rsid w:val="00EE4436"/>
    <w:rsid w:val="00EE4603"/>
    <w:rsid w:val="00EE468B"/>
    <w:rsid w:val="00EE4747"/>
    <w:rsid w:val="00EE4BBD"/>
    <w:rsid w:val="00EE4C93"/>
    <w:rsid w:val="00EE4CDE"/>
    <w:rsid w:val="00EE4D66"/>
    <w:rsid w:val="00EE4ECE"/>
    <w:rsid w:val="00EE4F11"/>
    <w:rsid w:val="00EE4F4A"/>
    <w:rsid w:val="00EE509A"/>
    <w:rsid w:val="00EE52C3"/>
    <w:rsid w:val="00EE547C"/>
    <w:rsid w:val="00EE549C"/>
    <w:rsid w:val="00EE5623"/>
    <w:rsid w:val="00EE56BD"/>
    <w:rsid w:val="00EE56D3"/>
    <w:rsid w:val="00EE56EC"/>
    <w:rsid w:val="00EE5B61"/>
    <w:rsid w:val="00EE5BE1"/>
    <w:rsid w:val="00EE5D48"/>
    <w:rsid w:val="00EE5DF2"/>
    <w:rsid w:val="00EE5DF5"/>
    <w:rsid w:val="00EE5E76"/>
    <w:rsid w:val="00EE5EC1"/>
    <w:rsid w:val="00EE5EF6"/>
    <w:rsid w:val="00EE5F0E"/>
    <w:rsid w:val="00EE5F6D"/>
    <w:rsid w:val="00EE6085"/>
    <w:rsid w:val="00EE60DF"/>
    <w:rsid w:val="00EE6180"/>
    <w:rsid w:val="00EE61D4"/>
    <w:rsid w:val="00EE6200"/>
    <w:rsid w:val="00EE62DD"/>
    <w:rsid w:val="00EE6333"/>
    <w:rsid w:val="00EE63CD"/>
    <w:rsid w:val="00EE6426"/>
    <w:rsid w:val="00EE679F"/>
    <w:rsid w:val="00EE6932"/>
    <w:rsid w:val="00EE6AED"/>
    <w:rsid w:val="00EE6C3F"/>
    <w:rsid w:val="00EE6F80"/>
    <w:rsid w:val="00EE702E"/>
    <w:rsid w:val="00EE70AE"/>
    <w:rsid w:val="00EE70B4"/>
    <w:rsid w:val="00EE71AF"/>
    <w:rsid w:val="00EE7219"/>
    <w:rsid w:val="00EE73DA"/>
    <w:rsid w:val="00EE7442"/>
    <w:rsid w:val="00EE76FB"/>
    <w:rsid w:val="00EE771E"/>
    <w:rsid w:val="00EE7885"/>
    <w:rsid w:val="00EE7975"/>
    <w:rsid w:val="00EE7980"/>
    <w:rsid w:val="00EE7A46"/>
    <w:rsid w:val="00EE7B42"/>
    <w:rsid w:val="00EE7C97"/>
    <w:rsid w:val="00EE7DBA"/>
    <w:rsid w:val="00EE7F77"/>
    <w:rsid w:val="00EEFAEC"/>
    <w:rsid w:val="00EF0143"/>
    <w:rsid w:val="00EF0312"/>
    <w:rsid w:val="00EF053C"/>
    <w:rsid w:val="00EF05E4"/>
    <w:rsid w:val="00EF065D"/>
    <w:rsid w:val="00EF069B"/>
    <w:rsid w:val="00EF07E7"/>
    <w:rsid w:val="00EF0920"/>
    <w:rsid w:val="00EF0B64"/>
    <w:rsid w:val="00EF0BEB"/>
    <w:rsid w:val="00EF0C1E"/>
    <w:rsid w:val="00EF0CDA"/>
    <w:rsid w:val="00EF0F0B"/>
    <w:rsid w:val="00EF0F0C"/>
    <w:rsid w:val="00EF105B"/>
    <w:rsid w:val="00EF10D2"/>
    <w:rsid w:val="00EF10DD"/>
    <w:rsid w:val="00EF1140"/>
    <w:rsid w:val="00EF1180"/>
    <w:rsid w:val="00EF120A"/>
    <w:rsid w:val="00EF12BF"/>
    <w:rsid w:val="00EF12D6"/>
    <w:rsid w:val="00EF150E"/>
    <w:rsid w:val="00EF1598"/>
    <w:rsid w:val="00EF1AB4"/>
    <w:rsid w:val="00EF1BF8"/>
    <w:rsid w:val="00EF1CE9"/>
    <w:rsid w:val="00EF1D76"/>
    <w:rsid w:val="00EF1FAD"/>
    <w:rsid w:val="00EF219B"/>
    <w:rsid w:val="00EF22E8"/>
    <w:rsid w:val="00EF234D"/>
    <w:rsid w:val="00EF2477"/>
    <w:rsid w:val="00EF24A2"/>
    <w:rsid w:val="00EF24A7"/>
    <w:rsid w:val="00EF24FA"/>
    <w:rsid w:val="00EF250A"/>
    <w:rsid w:val="00EF2721"/>
    <w:rsid w:val="00EF27B2"/>
    <w:rsid w:val="00EF290B"/>
    <w:rsid w:val="00EF29B0"/>
    <w:rsid w:val="00EF2A84"/>
    <w:rsid w:val="00EF2DDE"/>
    <w:rsid w:val="00EF2DE3"/>
    <w:rsid w:val="00EF2F92"/>
    <w:rsid w:val="00EF2F9E"/>
    <w:rsid w:val="00EF3014"/>
    <w:rsid w:val="00EF3199"/>
    <w:rsid w:val="00EF3458"/>
    <w:rsid w:val="00EF35B6"/>
    <w:rsid w:val="00EF3672"/>
    <w:rsid w:val="00EF36BC"/>
    <w:rsid w:val="00EF3793"/>
    <w:rsid w:val="00EF37A8"/>
    <w:rsid w:val="00EF37DC"/>
    <w:rsid w:val="00EF397F"/>
    <w:rsid w:val="00EF3A43"/>
    <w:rsid w:val="00EF3B3B"/>
    <w:rsid w:val="00EF3CE5"/>
    <w:rsid w:val="00EF3EFB"/>
    <w:rsid w:val="00EF3FBC"/>
    <w:rsid w:val="00EF40CD"/>
    <w:rsid w:val="00EF42F4"/>
    <w:rsid w:val="00EF4320"/>
    <w:rsid w:val="00EF44F5"/>
    <w:rsid w:val="00EF462C"/>
    <w:rsid w:val="00EF46BD"/>
    <w:rsid w:val="00EF47BE"/>
    <w:rsid w:val="00EF48B3"/>
    <w:rsid w:val="00EF4D29"/>
    <w:rsid w:val="00EF5022"/>
    <w:rsid w:val="00EF52CB"/>
    <w:rsid w:val="00EF52F6"/>
    <w:rsid w:val="00EF533D"/>
    <w:rsid w:val="00EF535F"/>
    <w:rsid w:val="00EF536E"/>
    <w:rsid w:val="00EF5396"/>
    <w:rsid w:val="00EF543E"/>
    <w:rsid w:val="00EF54F5"/>
    <w:rsid w:val="00EF5651"/>
    <w:rsid w:val="00EF58A9"/>
    <w:rsid w:val="00EF595F"/>
    <w:rsid w:val="00EF5A38"/>
    <w:rsid w:val="00EF5B82"/>
    <w:rsid w:val="00EF5DAE"/>
    <w:rsid w:val="00EF61B6"/>
    <w:rsid w:val="00EF61D4"/>
    <w:rsid w:val="00EF62B6"/>
    <w:rsid w:val="00EF62FB"/>
    <w:rsid w:val="00EF633A"/>
    <w:rsid w:val="00EF63BC"/>
    <w:rsid w:val="00EF6578"/>
    <w:rsid w:val="00EF6962"/>
    <w:rsid w:val="00EF696F"/>
    <w:rsid w:val="00EF69C1"/>
    <w:rsid w:val="00EF6A4C"/>
    <w:rsid w:val="00EF6AE9"/>
    <w:rsid w:val="00EF6C32"/>
    <w:rsid w:val="00EF6C40"/>
    <w:rsid w:val="00EF6C70"/>
    <w:rsid w:val="00EF6E90"/>
    <w:rsid w:val="00EF6EF9"/>
    <w:rsid w:val="00EF6FAE"/>
    <w:rsid w:val="00EF6FD2"/>
    <w:rsid w:val="00EF6FDB"/>
    <w:rsid w:val="00EF72F3"/>
    <w:rsid w:val="00EF75C1"/>
    <w:rsid w:val="00EF75F1"/>
    <w:rsid w:val="00EF7612"/>
    <w:rsid w:val="00EF761C"/>
    <w:rsid w:val="00EF7718"/>
    <w:rsid w:val="00EF7800"/>
    <w:rsid w:val="00EF7804"/>
    <w:rsid w:val="00EF7846"/>
    <w:rsid w:val="00EF78ED"/>
    <w:rsid w:val="00EF7947"/>
    <w:rsid w:val="00EF79C0"/>
    <w:rsid w:val="00EF7AE1"/>
    <w:rsid w:val="00EF7B59"/>
    <w:rsid w:val="00EF7C2B"/>
    <w:rsid w:val="00EF7C8D"/>
    <w:rsid w:val="00EF7D07"/>
    <w:rsid w:val="00EF7DEF"/>
    <w:rsid w:val="00EF7E1E"/>
    <w:rsid w:val="00EF7EA7"/>
    <w:rsid w:val="00F000B4"/>
    <w:rsid w:val="00F00287"/>
    <w:rsid w:val="00F00850"/>
    <w:rsid w:val="00F00901"/>
    <w:rsid w:val="00F009F1"/>
    <w:rsid w:val="00F00AF4"/>
    <w:rsid w:val="00F00B5F"/>
    <w:rsid w:val="00F00D51"/>
    <w:rsid w:val="00F00D97"/>
    <w:rsid w:val="00F00F93"/>
    <w:rsid w:val="00F01013"/>
    <w:rsid w:val="00F0109D"/>
    <w:rsid w:val="00F010F1"/>
    <w:rsid w:val="00F0144F"/>
    <w:rsid w:val="00F01549"/>
    <w:rsid w:val="00F01555"/>
    <w:rsid w:val="00F01607"/>
    <w:rsid w:val="00F0162E"/>
    <w:rsid w:val="00F019DB"/>
    <w:rsid w:val="00F01A1D"/>
    <w:rsid w:val="00F01A76"/>
    <w:rsid w:val="00F01AB0"/>
    <w:rsid w:val="00F01FE5"/>
    <w:rsid w:val="00F020A1"/>
    <w:rsid w:val="00F020A5"/>
    <w:rsid w:val="00F022D5"/>
    <w:rsid w:val="00F0244E"/>
    <w:rsid w:val="00F02474"/>
    <w:rsid w:val="00F0255E"/>
    <w:rsid w:val="00F028F2"/>
    <w:rsid w:val="00F0296F"/>
    <w:rsid w:val="00F02A06"/>
    <w:rsid w:val="00F02ACB"/>
    <w:rsid w:val="00F02C27"/>
    <w:rsid w:val="00F02CA7"/>
    <w:rsid w:val="00F02CCD"/>
    <w:rsid w:val="00F02D51"/>
    <w:rsid w:val="00F02DF2"/>
    <w:rsid w:val="00F02FB5"/>
    <w:rsid w:val="00F03003"/>
    <w:rsid w:val="00F031EE"/>
    <w:rsid w:val="00F034B7"/>
    <w:rsid w:val="00F03738"/>
    <w:rsid w:val="00F03919"/>
    <w:rsid w:val="00F03920"/>
    <w:rsid w:val="00F039FF"/>
    <w:rsid w:val="00F03B04"/>
    <w:rsid w:val="00F03D34"/>
    <w:rsid w:val="00F03F61"/>
    <w:rsid w:val="00F03FEB"/>
    <w:rsid w:val="00F041C8"/>
    <w:rsid w:val="00F042BA"/>
    <w:rsid w:val="00F04457"/>
    <w:rsid w:val="00F044F4"/>
    <w:rsid w:val="00F04603"/>
    <w:rsid w:val="00F0486A"/>
    <w:rsid w:val="00F04A9E"/>
    <w:rsid w:val="00F04AD1"/>
    <w:rsid w:val="00F04B81"/>
    <w:rsid w:val="00F04B93"/>
    <w:rsid w:val="00F04C8B"/>
    <w:rsid w:val="00F04C90"/>
    <w:rsid w:val="00F04CAC"/>
    <w:rsid w:val="00F04F13"/>
    <w:rsid w:val="00F04F23"/>
    <w:rsid w:val="00F0511B"/>
    <w:rsid w:val="00F051CC"/>
    <w:rsid w:val="00F051F1"/>
    <w:rsid w:val="00F0521C"/>
    <w:rsid w:val="00F05282"/>
    <w:rsid w:val="00F05365"/>
    <w:rsid w:val="00F05384"/>
    <w:rsid w:val="00F0549E"/>
    <w:rsid w:val="00F05611"/>
    <w:rsid w:val="00F05732"/>
    <w:rsid w:val="00F057E0"/>
    <w:rsid w:val="00F05A1D"/>
    <w:rsid w:val="00F05A97"/>
    <w:rsid w:val="00F05AFE"/>
    <w:rsid w:val="00F05BAB"/>
    <w:rsid w:val="00F05E75"/>
    <w:rsid w:val="00F05F46"/>
    <w:rsid w:val="00F05FEE"/>
    <w:rsid w:val="00F06315"/>
    <w:rsid w:val="00F06344"/>
    <w:rsid w:val="00F06364"/>
    <w:rsid w:val="00F06435"/>
    <w:rsid w:val="00F0646E"/>
    <w:rsid w:val="00F06487"/>
    <w:rsid w:val="00F0652D"/>
    <w:rsid w:val="00F06595"/>
    <w:rsid w:val="00F06700"/>
    <w:rsid w:val="00F06760"/>
    <w:rsid w:val="00F068E5"/>
    <w:rsid w:val="00F0698F"/>
    <w:rsid w:val="00F06A45"/>
    <w:rsid w:val="00F06BB7"/>
    <w:rsid w:val="00F06EF7"/>
    <w:rsid w:val="00F06F25"/>
    <w:rsid w:val="00F06F76"/>
    <w:rsid w:val="00F0705F"/>
    <w:rsid w:val="00F070F3"/>
    <w:rsid w:val="00F07142"/>
    <w:rsid w:val="00F071A8"/>
    <w:rsid w:val="00F0751A"/>
    <w:rsid w:val="00F0764B"/>
    <w:rsid w:val="00F07758"/>
    <w:rsid w:val="00F07779"/>
    <w:rsid w:val="00F0777F"/>
    <w:rsid w:val="00F077C2"/>
    <w:rsid w:val="00F07865"/>
    <w:rsid w:val="00F0787C"/>
    <w:rsid w:val="00F07971"/>
    <w:rsid w:val="00F07A2F"/>
    <w:rsid w:val="00F07A51"/>
    <w:rsid w:val="00F07A66"/>
    <w:rsid w:val="00F07C37"/>
    <w:rsid w:val="00F07C4E"/>
    <w:rsid w:val="00F07E60"/>
    <w:rsid w:val="00F07F31"/>
    <w:rsid w:val="00F1000D"/>
    <w:rsid w:val="00F10143"/>
    <w:rsid w:val="00F101C5"/>
    <w:rsid w:val="00F10603"/>
    <w:rsid w:val="00F10716"/>
    <w:rsid w:val="00F1079F"/>
    <w:rsid w:val="00F108B6"/>
    <w:rsid w:val="00F109CE"/>
    <w:rsid w:val="00F10B9D"/>
    <w:rsid w:val="00F10D7C"/>
    <w:rsid w:val="00F10EB8"/>
    <w:rsid w:val="00F115D9"/>
    <w:rsid w:val="00F116AF"/>
    <w:rsid w:val="00F1181D"/>
    <w:rsid w:val="00F118CB"/>
    <w:rsid w:val="00F11908"/>
    <w:rsid w:val="00F11911"/>
    <w:rsid w:val="00F1192F"/>
    <w:rsid w:val="00F11932"/>
    <w:rsid w:val="00F1198D"/>
    <w:rsid w:val="00F11CF4"/>
    <w:rsid w:val="00F11D78"/>
    <w:rsid w:val="00F11E54"/>
    <w:rsid w:val="00F1220D"/>
    <w:rsid w:val="00F1226C"/>
    <w:rsid w:val="00F1231F"/>
    <w:rsid w:val="00F12409"/>
    <w:rsid w:val="00F12440"/>
    <w:rsid w:val="00F124C1"/>
    <w:rsid w:val="00F12678"/>
    <w:rsid w:val="00F127D4"/>
    <w:rsid w:val="00F12800"/>
    <w:rsid w:val="00F12863"/>
    <w:rsid w:val="00F12939"/>
    <w:rsid w:val="00F12A5F"/>
    <w:rsid w:val="00F12AFE"/>
    <w:rsid w:val="00F12B05"/>
    <w:rsid w:val="00F12B14"/>
    <w:rsid w:val="00F12CA3"/>
    <w:rsid w:val="00F12CC6"/>
    <w:rsid w:val="00F12CEF"/>
    <w:rsid w:val="00F12D1A"/>
    <w:rsid w:val="00F12D44"/>
    <w:rsid w:val="00F12F8D"/>
    <w:rsid w:val="00F12FE3"/>
    <w:rsid w:val="00F132C5"/>
    <w:rsid w:val="00F132D4"/>
    <w:rsid w:val="00F134E2"/>
    <w:rsid w:val="00F135C4"/>
    <w:rsid w:val="00F13B9F"/>
    <w:rsid w:val="00F13D6D"/>
    <w:rsid w:val="00F140BB"/>
    <w:rsid w:val="00F14293"/>
    <w:rsid w:val="00F1430A"/>
    <w:rsid w:val="00F14533"/>
    <w:rsid w:val="00F1453C"/>
    <w:rsid w:val="00F14575"/>
    <w:rsid w:val="00F14699"/>
    <w:rsid w:val="00F1475B"/>
    <w:rsid w:val="00F14A33"/>
    <w:rsid w:val="00F14B06"/>
    <w:rsid w:val="00F14B42"/>
    <w:rsid w:val="00F14B61"/>
    <w:rsid w:val="00F14E77"/>
    <w:rsid w:val="00F14ED7"/>
    <w:rsid w:val="00F150F2"/>
    <w:rsid w:val="00F151C2"/>
    <w:rsid w:val="00F153E8"/>
    <w:rsid w:val="00F15432"/>
    <w:rsid w:val="00F1548C"/>
    <w:rsid w:val="00F155F4"/>
    <w:rsid w:val="00F15729"/>
    <w:rsid w:val="00F15752"/>
    <w:rsid w:val="00F1585E"/>
    <w:rsid w:val="00F1595C"/>
    <w:rsid w:val="00F15BCE"/>
    <w:rsid w:val="00F15BEF"/>
    <w:rsid w:val="00F15C13"/>
    <w:rsid w:val="00F15C8B"/>
    <w:rsid w:val="00F15DC8"/>
    <w:rsid w:val="00F15E1F"/>
    <w:rsid w:val="00F15EC4"/>
    <w:rsid w:val="00F15EEB"/>
    <w:rsid w:val="00F161FB"/>
    <w:rsid w:val="00F16433"/>
    <w:rsid w:val="00F1654E"/>
    <w:rsid w:val="00F16654"/>
    <w:rsid w:val="00F1668A"/>
    <w:rsid w:val="00F167E0"/>
    <w:rsid w:val="00F16863"/>
    <w:rsid w:val="00F16878"/>
    <w:rsid w:val="00F168B9"/>
    <w:rsid w:val="00F169C8"/>
    <w:rsid w:val="00F16AFD"/>
    <w:rsid w:val="00F16DD2"/>
    <w:rsid w:val="00F16E04"/>
    <w:rsid w:val="00F16ED1"/>
    <w:rsid w:val="00F172A6"/>
    <w:rsid w:val="00F1734B"/>
    <w:rsid w:val="00F17350"/>
    <w:rsid w:val="00F17560"/>
    <w:rsid w:val="00F17609"/>
    <w:rsid w:val="00F176E1"/>
    <w:rsid w:val="00F1777F"/>
    <w:rsid w:val="00F1786B"/>
    <w:rsid w:val="00F179D7"/>
    <w:rsid w:val="00F179FF"/>
    <w:rsid w:val="00F17A9D"/>
    <w:rsid w:val="00F17B20"/>
    <w:rsid w:val="00F17D0A"/>
    <w:rsid w:val="00F17EEB"/>
    <w:rsid w:val="00F1F300"/>
    <w:rsid w:val="00F20045"/>
    <w:rsid w:val="00F200FA"/>
    <w:rsid w:val="00F20588"/>
    <w:rsid w:val="00F20634"/>
    <w:rsid w:val="00F206E7"/>
    <w:rsid w:val="00F20E75"/>
    <w:rsid w:val="00F21029"/>
    <w:rsid w:val="00F212BC"/>
    <w:rsid w:val="00F2143B"/>
    <w:rsid w:val="00F21629"/>
    <w:rsid w:val="00F21743"/>
    <w:rsid w:val="00F21831"/>
    <w:rsid w:val="00F21941"/>
    <w:rsid w:val="00F219C2"/>
    <w:rsid w:val="00F21A12"/>
    <w:rsid w:val="00F21A30"/>
    <w:rsid w:val="00F21ADB"/>
    <w:rsid w:val="00F21BCF"/>
    <w:rsid w:val="00F21D36"/>
    <w:rsid w:val="00F21F7F"/>
    <w:rsid w:val="00F22072"/>
    <w:rsid w:val="00F2213C"/>
    <w:rsid w:val="00F2222D"/>
    <w:rsid w:val="00F22336"/>
    <w:rsid w:val="00F2246F"/>
    <w:rsid w:val="00F22525"/>
    <w:rsid w:val="00F225AE"/>
    <w:rsid w:val="00F2296C"/>
    <w:rsid w:val="00F22BC1"/>
    <w:rsid w:val="00F22DDA"/>
    <w:rsid w:val="00F22DFE"/>
    <w:rsid w:val="00F230B1"/>
    <w:rsid w:val="00F2325E"/>
    <w:rsid w:val="00F232D8"/>
    <w:rsid w:val="00F234D7"/>
    <w:rsid w:val="00F2351E"/>
    <w:rsid w:val="00F235F4"/>
    <w:rsid w:val="00F236C6"/>
    <w:rsid w:val="00F2388E"/>
    <w:rsid w:val="00F23A4D"/>
    <w:rsid w:val="00F23D41"/>
    <w:rsid w:val="00F23E13"/>
    <w:rsid w:val="00F23E9B"/>
    <w:rsid w:val="00F23E9C"/>
    <w:rsid w:val="00F2402B"/>
    <w:rsid w:val="00F24041"/>
    <w:rsid w:val="00F240DF"/>
    <w:rsid w:val="00F241A9"/>
    <w:rsid w:val="00F24296"/>
    <w:rsid w:val="00F242DF"/>
    <w:rsid w:val="00F242E4"/>
    <w:rsid w:val="00F24430"/>
    <w:rsid w:val="00F244D5"/>
    <w:rsid w:val="00F24853"/>
    <w:rsid w:val="00F248C0"/>
    <w:rsid w:val="00F2492A"/>
    <w:rsid w:val="00F24985"/>
    <w:rsid w:val="00F249AD"/>
    <w:rsid w:val="00F24A15"/>
    <w:rsid w:val="00F24A28"/>
    <w:rsid w:val="00F24A52"/>
    <w:rsid w:val="00F24D49"/>
    <w:rsid w:val="00F24D62"/>
    <w:rsid w:val="00F24E5D"/>
    <w:rsid w:val="00F24EC1"/>
    <w:rsid w:val="00F24EEF"/>
    <w:rsid w:val="00F24FC0"/>
    <w:rsid w:val="00F250B2"/>
    <w:rsid w:val="00F2513B"/>
    <w:rsid w:val="00F25143"/>
    <w:rsid w:val="00F2527F"/>
    <w:rsid w:val="00F25547"/>
    <w:rsid w:val="00F2557A"/>
    <w:rsid w:val="00F255AE"/>
    <w:rsid w:val="00F25823"/>
    <w:rsid w:val="00F25A3A"/>
    <w:rsid w:val="00F25A4C"/>
    <w:rsid w:val="00F25E07"/>
    <w:rsid w:val="00F25EEE"/>
    <w:rsid w:val="00F25F4A"/>
    <w:rsid w:val="00F26178"/>
    <w:rsid w:val="00F262BA"/>
    <w:rsid w:val="00F26429"/>
    <w:rsid w:val="00F265C8"/>
    <w:rsid w:val="00F265F1"/>
    <w:rsid w:val="00F2672C"/>
    <w:rsid w:val="00F268EC"/>
    <w:rsid w:val="00F26A3B"/>
    <w:rsid w:val="00F26A5D"/>
    <w:rsid w:val="00F26ABD"/>
    <w:rsid w:val="00F26AE3"/>
    <w:rsid w:val="00F26B9F"/>
    <w:rsid w:val="00F26E02"/>
    <w:rsid w:val="00F26FB7"/>
    <w:rsid w:val="00F2716F"/>
    <w:rsid w:val="00F271CA"/>
    <w:rsid w:val="00F2722D"/>
    <w:rsid w:val="00F27269"/>
    <w:rsid w:val="00F27300"/>
    <w:rsid w:val="00F27330"/>
    <w:rsid w:val="00F2753C"/>
    <w:rsid w:val="00F27619"/>
    <w:rsid w:val="00F276EA"/>
    <w:rsid w:val="00F27885"/>
    <w:rsid w:val="00F27C14"/>
    <w:rsid w:val="00F27C9E"/>
    <w:rsid w:val="00F30019"/>
    <w:rsid w:val="00F30044"/>
    <w:rsid w:val="00F30155"/>
    <w:rsid w:val="00F3016B"/>
    <w:rsid w:val="00F301B4"/>
    <w:rsid w:val="00F3020F"/>
    <w:rsid w:val="00F30287"/>
    <w:rsid w:val="00F3041D"/>
    <w:rsid w:val="00F3046C"/>
    <w:rsid w:val="00F30482"/>
    <w:rsid w:val="00F30599"/>
    <w:rsid w:val="00F30B1C"/>
    <w:rsid w:val="00F30B22"/>
    <w:rsid w:val="00F30BD3"/>
    <w:rsid w:val="00F30CE8"/>
    <w:rsid w:val="00F30D02"/>
    <w:rsid w:val="00F30DEC"/>
    <w:rsid w:val="00F30FAF"/>
    <w:rsid w:val="00F31040"/>
    <w:rsid w:val="00F31047"/>
    <w:rsid w:val="00F310EC"/>
    <w:rsid w:val="00F311A4"/>
    <w:rsid w:val="00F311AA"/>
    <w:rsid w:val="00F3138A"/>
    <w:rsid w:val="00F3139F"/>
    <w:rsid w:val="00F31494"/>
    <w:rsid w:val="00F3157E"/>
    <w:rsid w:val="00F315EA"/>
    <w:rsid w:val="00F3160E"/>
    <w:rsid w:val="00F3171E"/>
    <w:rsid w:val="00F31835"/>
    <w:rsid w:val="00F31863"/>
    <w:rsid w:val="00F31A64"/>
    <w:rsid w:val="00F31A8E"/>
    <w:rsid w:val="00F31CAA"/>
    <w:rsid w:val="00F31D4B"/>
    <w:rsid w:val="00F31D6C"/>
    <w:rsid w:val="00F31FAA"/>
    <w:rsid w:val="00F320FF"/>
    <w:rsid w:val="00F3213F"/>
    <w:rsid w:val="00F322FD"/>
    <w:rsid w:val="00F32327"/>
    <w:rsid w:val="00F323B3"/>
    <w:rsid w:val="00F323D0"/>
    <w:rsid w:val="00F323D7"/>
    <w:rsid w:val="00F3258E"/>
    <w:rsid w:val="00F325C3"/>
    <w:rsid w:val="00F32701"/>
    <w:rsid w:val="00F327A8"/>
    <w:rsid w:val="00F32876"/>
    <w:rsid w:val="00F328CB"/>
    <w:rsid w:val="00F329CF"/>
    <w:rsid w:val="00F32BCA"/>
    <w:rsid w:val="00F33030"/>
    <w:rsid w:val="00F333A3"/>
    <w:rsid w:val="00F33483"/>
    <w:rsid w:val="00F33502"/>
    <w:rsid w:val="00F3386D"/>
    <w:rsid w:val="00F33C95"/>
    <w:rsid w:val="00F33D35"/>
    <w:rsid w:val="00F33DD2"/>
    <w:rsid w:val="00F33E6F"/>
    <w:rsid w:val="00F33F15"/>
    <w:rsid w:val="00F3410E"/>
    <w:rsid w:val="00F34125"/>
    <w:rsid w:val="00F341AA"/>
    <w:rsid w:val="00F341F2"/>
    <w:rsid w:val="00F3424C"/>
    <w:rsid w:val="00F342A7"/>
    <w:rsid w:val="00F34384"/>
    <w:rsid w:val="00F343FA"/>
    <w:rsid w:val="00F3455A"/>
    <w:rsid w:val="00F34597"/>
    <w:rsid w:val="00F34755"/>
    <w:rsid w:val="00F34814"/>
    <w:rsid w:val="00F34849"/>
    <w:rsid w:val="00F34B01"/>
    <w:rsid w:val="00F34B27"/>
    <w:rsid w:val="00F34B8C"/>
    <w:rsid w:val="00F34C3A"/>
    <w:rsid w:val="00F34DDF"/>
    <w:rsid w:val="00F3505A"/>
    <w:rsid w:val="00F3513A"/>
    <w:rsid w:val="00F351E0"/>
    <w:rsid w:val="00F35233"/>
    <w:rsid w:val="00F352FE"/>
    <w:rsid w:val="00F35634"/>
    <w:rsid w:val="00F356C3"/>
    <w:rsid w:val="00F356E7"/>
    <w:rsid w:val="00F3570E"/>
    <w:rsid w:val="00F35793"/>
    <w:rsid w:val="00F35837"/>
    <w:rsid w:val="00F35BFC"/>
    <w:rsid w:val="00F35C02"/>
    <w:rsid w:val="00F35DE7"/>
    <w:rsid w:val="00F36038"/>
    <w:rsid w:val="00F3607A"/>
    <w:rsid w:val="00F36438"/>
    <w:rsid w:val="00F36492"/>
    <w:rsid w:val="00F3651A"/>
    <w:rsid w:val="00F36530"/>
    <w:rsid w:val="00F36595"/>
    <w:rsid w:val="00F36913"/>
    <w:rsid w:val="00F36A18"/>
    <w:rsid w:val="00F36A48"/>
    <w:rsid w:val="00F36D7D"/>
    <w:rsid w:val="00F36DBC"/>
    <w:rsid w:val="00F36DD7"/>
    <w:rsid w:val="00F36F84"/>
    <w:rsid w:val="00F36FE8"/>
    <w:rsid w:val="00F3706F"/>
    <w:rsid w:val="00F37177"/>
    <w:rsid w:val="00F37322"/>
    <w:rsid w:val="00F37382"/>
    <w:rsid w:val="00F375A5"/>
    <w:rsid w:val="00F37791"/>
    <w:rsid w:val="00F37983"/>
    <w:rsid w:val="00F37A8E"/>
    <w:rsid w:val="00F37B07"/>
    <w:rsid w:val="00F37C3F"/>
    <w:rsid w:val="00F37CD6"/>
    <w:rsid w:val="00F40068"/>
    <w:rsid w:val="00F40089"/>
    <w:rsid w:val="00F400AA"/>
    <w:rsid w:val="00F40174"/>
    <w:rsid w:val="00F405B1"/>
    <w:rsid w:val="00F40611"/>
    <w:rsid w:val="00F406BD"/>
    <w:rsid w:val="00F407E7"/>
    <w:rsid w:val="00F408BE"/>
    <w:rsid w:val="00F409BB"/>
    <w:rsid w:val="00F40A59"/>
    <w:rsid w:val="00F40BBE"/>
    <w:rsid w:val="00F40BFD"/>
    <w:rsid w:val="00F40E12"/>
    <w:rsid w:val="00F40E48"/>
    <w:rsid w:val="00F40EA1"/>
    <w:rsid w:val="00F410A2"/>
    <w:rsid w:val="00F4111A"/>
    <w:rsid w:val="00F4118A"/>
    <w:rsid w:val="00F411AC"/>
    <w:rsid w:val="00F411D2"/>
    <w:rsid w:val="00F4126A"/>
    <w:rsid w:val="00F41305"/>
    <w:rsid w:val="00F415BB"/>
    <w:rsid w:val="00F415C5"/>
    <w:rsid w:val="00F41641"/>
    <w:rsid w:val="00F41667"/>
    <w:rsid w:val="00F4169E"/>
    <w:rsid w:val="00F41736"/>
    <w:rsid w:val="00F418B6"/>
    <w:rsid w:val="00F418F9"/>
    <w:rsid w:val="00F419B4"/>
    <w:rsid w:val="00F41B6C"/>
    <w:rsid w:val="00F41C7F"/>
    <w:rsid w:val="00F41D4A"/>
    <w:rsid w:val="00F41D81"/>
    <w:rsid w:val="00F41E01"/>
    <w:rsid w:val="00F42167"/>
    <w:rsid w:val="00F42221"/>
    <w:rsid w:val="00F42288"/>
    <w:rsid w:val="00F42296"/>
    <w:rsid w:val="00F4234D"/>
    <w:rsid w:val="00F423F7"/>
    <w:rsid w:val="00F423F8"/>
    <w:rsid w:val="00F4298A"/>
    <w:rsid w:val="00F42990"/>
    <w:rsid w:val="00F42A9B"/>
    <w:rsid w:val="00F42B65"/>
    <w:rsid w:val="00F42CE3"/>
    <w:rsid w:val="00F42D9B"/>
    <w:rsid w:val="00F42E14"/>
    <w:rsid w:val="00F42E1D"/>
    <w:rsid w:val="00F42E71"/>
    <w:rsid w:val="00F42E82"/>
    <w:rsid w:val="00F42EC5"/>
    <w:rsid w:val="00F430F7"/>
    <w:rsid w:val="00F43451"/>
    <w:rsid w:val="00F43469"/>
    <w:rsid w:val="00F434FB"/>
    <w:rsid w:val="00F43589"/>
    <w:rsid w:val="00F436BA"/>
    <w:rsid w:val="00F436FB"/>
    <w:rsid w:val="00F43A55"/>
    <w:rsid w:val="00F43AF9"/>
    <w:rsid w:val="00F43B04"/>
    <w:rsid w:val="00F43CFD"/>
    <w:rsid w:val="00F43D2F"/>
    <w:rsid w:val="00F43E98"/>
    <w:rsid w:val="00F43EA5"/>
    <w:rsid w:val="00F43EE7"/>
    <w:rsid w:val="00F43FB6"/>
    <w:rsid w:val="00F44020"/>
    <w:rsid w:val="00F44119"/>
    <w:rsid w:val="00F4436C"/>
    <w:rsid w:val="00F443B4"/>
    <w:rsid w:val="00F445C4"/>
    <w:rsid w:val="00F4465B"/>
    <w:rsid w:val="00F446ED"/>
    <w:rsid w:val="00F446F5"/>
    <w:rsid w:val="00F449AC"/>
    <w:rsid w:val="00F44B6E"/>
    <w:rsid w:val="00F44CB2"/>
    <w:rsid w:val="00F44ECF"/>
    <w:rsid w:val="00F451ED"/>
    <w:rsid w:val="00F4573E"/>
    <w:rsid w:val="00F4589F"/>
    <w:rsid w:val="00F4591C"/>
    <w:rsid w:val="00F45933"/>
    <w:rsid w:val="00F45A29"/>
    <w:rsid w:val="00F45A6D"/>
    <w:rsid w:val="00F45B7F"/>
    <w:rsid w:val="00F45B8E"/>
    <w:rsid w:val="00F45BA7"/>
    <w:rsid w:val="00F45F1E"/>
    <w:rsid w:val="00F460C5"/>
    <w:rsid w:val="00F460E7"/>
    <w:rsid w:val="00F46156"/>
    <w:rsid w:val="00F461E9"/>
    <w:rsid w:val="00F46234"/>
    <w:rsid w:val="00F46259"/>
    <w:rsid w:val="00F463B5"/>
    <w:rsid w:val="00F463EF"/>
    <w:rsid w:val="00F464A8"/>
    <w:rsid w:val="00F465A3"/>
    <w:rsid w:val="00F4661E"/>
    <w:rsid w:val="00F468C2"/>
    <w:rsid w:val="00F4693B"/>
    <w:rsid w:val="00F469E3"/>
    <w:rsid w:val="00F46C74"/>
    <w:rsid w:val="00F46E80"/>
    <w:rsid w:val="00F46E9A"/>
    <w:rsid w:val="00F46F8C"/>
    <w:rsid w:val="00F46FED"/>
    <w:rsid w:val="00F47022"/>
    <w:rsid w:val="00F470E6"/>
    <w:rsid w:val="00F47139"/>
    <w:rsid w:val="00F47196"/>
    <w:rsid w:val="00F47245"/>
    <w:rsid w:val="00F474E9"/>
    <w:rsid w:val="00F475E6"/>
    <w:rsid w:val="00F47678"/>
    <w:rsid w:val="00F476B2"/>
    <w:rsid w:val="00F47871"/>
    <w:rsid w:val="00F47A4A"/>
    <w:rsid w:val="00F47B17"/>
    <w:rsid w:val="00F47B6B"/>
    <w:rsid w:val="00F47C22"/>
    <w:rsid w:val="00F47CAF"/>
    <w:rsid w:val="00F47CC4"/>
    <w:rsid w:val="00F47D54"/>
    <w:rsid w:val="00F4B5D3"/>
    <w:rsid w:val="00F5005C"/>
    <w:rsid w:val="00F503A9"/>
    <w:rsid w:val="00F503B3"/>
    <w:rsid w:val="00F5062A"/>
    <w:rsid w:val="00F5065D"/>
    <w:rsid w:val="00F5072D"/>
    <w:rsid w:val="00F50880"/>
    <w:rsid w:val="00F51074"/>
    <w:rsid w:val="00F5111A"/>
    <w:rsid w:val="00F51130"/>
    <w:rsid w:val="00F51149"/>
    <w:rsid w:val="00F51342"/>
    <w:rsid w:val="00F51369"/>
    <w:rsid w:val="00F5140E"/>
    <w:rsid w:val="00F519B4"/>
    <w:rsid w:val="00F51AAC"/>
    <w:rsid w:val="00F51AC1"/>
    <w:rsid w:val="00F51B54"/>
    <w:rsid w:val="00F51B72"/>
    <w:rsid w:val="00F51CF1"/>
    <w:rsid w:val="00F51E0D"/>
    <w:rsid w:val="00F51F4B"/>
    <w:rsid w:val="00F5207F"/>
    <w:rsid w:val="00F521F2"/>
    <w:rsid w:val="00F522A3"/>
    <w:rsid w:val="00F52317"/>
    <w:rsid w:val="00F523D5"/>
    <w:rsid w:val="00F5243D"/>
    <w:rsid w:val="00F52471"/>
    <w:rsid w:val="00F524E6"/>
    <w:rsid w:val="00F5255B"/>
    <w:rsid w:val="00F52840"/>
    <w:rsid w:val="00F52AFC"/>
    <w:rsid w:val="00F52C8F"/>
    <w:rsid w:val="00F52D2C"/>
    <w:rsid w:val="00F52D88"/>
    <w:rsid w:val="00F52DA0"/>
    <w:rsid w:val="00F52DC8"/>
    <w:rsid w:val="00F52DCD"/>
    <w:rsid w:val="00F52DCE"/>
    <w:rsid w:val="00F52F7D"/>
    <w:rsid w:val="00F53535"/>
    <w:rsid w:val="00F53592"/>
    <w:rsid w:val="00F535D7"/>
    <w:rsid w:val="00F5384A"/>
    <w:rsid w:val="00F53AED"/>
    <w:rsid w:val="00F53D5D"/>
    <w:rsid w:val="00F53F23"/>
    <w:rsid w:val="00F54123"/>
    <w:rsid w:val="00F54165"/>
    <w:rsid w:val="00F542B4"/>
    <w:rsid w:val="00F542BE"/>
    <w:rsid w:val="00F54335"/>
    <w:rsid w:val="00F54749"/>
    <w:rsid w:val="00F54A04"/>
    <w:rsid w:val="00F54A23"/>
    <w:rsid w:val="00F54B0C"/>
    <w:rsid w:val="00F54CF9"/>
    <w:rsid w:val="00F54CFC"/>
    <w:rsid w:val="00F54D73"/>
    <w:rsid w:val="00F54DD5"/>
    <w:rsid w:val="00F54DD8"/>
    <w:rsid w:val="00F54EA2"/>
    <w:rsid w:val="00F55213"/>
    <w:rsid w:val="00F5523F"/>
    <w:rsid w:val="00F55273"/>
    <w:rsid w:val="00F552A6"/>
    <w:rsid w:val="00F5540A"/>
    <w:rsid w:val="00F554F0"/>
    <w:rsid w:val="00F556D3"/>
    <w:rsid w:val="00F5584B"/>
    <w:rsid w:val="00F558A0"/>
    <w:rsid w:val="00F55916"/>
    <w:rsid w:val="00F559C3"/>
    <w:rsid w:val="00F55A7A"/>
    <w:rsid w:val="00F55C4F"/>
    <w:rsid w:val="00F55DB9"/>
    <w:rsid w:val="00F55DC3"/>
    <w:rsid w:val="00F55DEF"/>
    <w:rsid w:val="00F55E32"/>
    <w:rsid w:val="00F55F41"/>
    <w:rsid w:val="00F562FD"/>
    <w:rsid w:val="00F56352"/>
    <w:rsid w:val="00F56453"/>
    <w:rsid w:val="00F56569"/>
    <w:rsid w:val="00F56585"/>
    <w:rsid w:val="00F5660F"/>
    <w:rsid w:val="00F56809"/>
    <w:rsid w:val="00F56868"/>
    <w:rsid w:val="00F56C06"/>
    <w:rsid w:val="00F56D03"/>
    <w:rsid w:val="00F56D0A"/>
    <w:rsid w:val="00F56DA6"/>
    <w:rsid w:val="00F56F2D"/>
    <w:rsid w:val="00F56FDA"/>
    <w:rsid w:val="00F57008"/>
    <w:rsid w:val="00F57030"/>
    <w:rsid w:val="00F57068"/>
    <w:rsid w:val="00F571FD"/>
    <w:rsid w:val="00F5734F"/>
    <w:rsid w:val="00F5760A"/>
    <w:rsid w:val="00F57664"/>
    <w:rsid w:val="00F576AD"/>
    <w:rsid w:val="00F577E9"/>
    <w:rsid w:val="00F57B4B"/>
    <w:rsid w:val="00F57BF3"/>
    <w:rsid w:val="00F57DC9"/>
    <w:rsid w:val="00F57F15"/>
    <w:rsid w:val="00F57F58"/>
    <w:rsid w:val="00F57F73"/>
    <w:rsid w:val="00F5D97A"/>
    <w:rsid w:val="00F6000A"/>
    <w:rsid w:val="00F6003D"/>
    <w:rsid w:val="00F60066"/>
    <w:rsid w:val="00F60082"/>
    <w:rsid w:val="00F601DF"/>
    <w:rsid w:val="00F6045B"/>
    <w:rsid w:val="00F604C7"/>
    <w:rsid w:val="00F6052F"/>
    <w:rsid w:val="00F60774"/>
    <w:rsid w:val="00F609FB"/>
    <w:rsid w:val="00F60AD1"/>
    <w:rsid w:val="00F60D0A"/>
    <w:rsid w:val="00F60E5F"/>
    <w:rsid w:val="00F60ED1"/>
    <w:rsid w:val="00F610BA"/>
    <w:rsid w:val="00F61110"/>
    <w:rsid w:val="00F61172"/>
    <w:rsid w:val="00F61193"/>
    <w:rsid w:val="00F61446"/>
    <w:rsid w:val="00F6148F"/>
    <w:rsid w:val="00F614EB"/>
    <w:rsid w:val="00F61599"/>
    <w:rsid w:val="00F615CC"/>
    <w:rsid w:val="00F61680"/>
    <w:rsid w:val="00F61823"/>
    <w:rsid w:val="00F61859"/>
    <w:rsid w:val="00F61B0D"/>
    <w:rsid w:val="00F61B1A"/>
    <w:rsid w:val="00F61B60"/>
    <w:rsid w:val="00F61C8E"/>
    <w:rsid w:val="00F61CE8"/>
    <w:rsid w:val="00F61D2D"/>
    <w:rsid w:val="00F61D83"/>
    <w:rsid w:val="00F61DC1"/>
    <w:rsid w:val="00F61E19"/>
    <w:rsid w:val="00F61EB5"/>
    <w:rsid w:val="00F61F3E"/>
    <w:rsid w:val="00F621E1"/>
    <w:rsid w:val="00F621F1"/>
    <w:rsid w:val="00F62344"/>
    <w:rsid w:val="00F62345"/>
    <w:rsid w:val="00F6237E"/>
    <w:rsid w:val="00F6255D"/>
    <w:rsid w:val="00F6265B"/>
    <w:rsid w:val="00F6265D"/>
    <w:rsid w:val="00F626FD"/>
    <w:rsid w:val="00F62A3E"/>
    <w:rsid w:val="00F62A8D"/>
    <w:rsid w:val="00F62B94"/>
    <w:rsid w:val="00F62BCB"/>
    <w:rsid w:val="00F62D0D"/>
    <w:rsid w:val="00F62D3D"/>
    <w:rsid w:val="00F62EEE"/>
    <w:rsid w:val="00F62F4D"/>
    <w:rsid w:val="00F62F6A"/>
    <w:rsid w:val="00F63110"/>
    <w:rsid w:val="00F631C7"/>
    <w:rsid w:val="00F63331"/>
    <w:rsid w:val="00F63608"/>
    <w:rsid w:val="00F63771"/>
    <w:rsid w:val="00F6395B"/>
    <w:rsid w:val="00F6399A"/>
    <w:rsid w:val="00F63AB1"/>
    <w:rsid w:val="00F63BDA"/>
    <w:rsid w:val="00F63CA4"/>
    <w:rsid w:val="00F63ECB"/>
    <w:rsid w:val="00F640F0"/>
    <w:rsid w:val="00F6461B"/>
    <w:rsid w:val="00F64738"/>
    <w:rsid w:val="00F64840"/>
    <w:rsid w:val="00F64862"/>
    <w:rsid w:val="00F64A23"/>
    <w:rsid w:val="00F64B8E"/>
    <w:rsid w:val="00F64BDA"/>
    <w:rsid w:val="00F64CDA"/>
    <w:rsid w:val="00F64DB2"/>
    <w:rsid w:val="00F64DE4"/>
    <w:rsid w:val="00F64E09"/>
    <w:rsid w:val="00F64F1D"/>
    <w:rsid w:val="00F650FF"/>
    <w:rsid w:val="00F654B2"/>
    <w:rsid w:val="00F6550D"/>
    <w:rsid w:val="00F65521"/>
    <w:rsid w:val="00F656FC"/>
    <w:rsid w:val="00F657C2"/>
    <w:rsid w:val="00F658A6"/>
    <w:rsid w:val="00F658BE"/>
    <w:rsid w:val="00F65A94"/>
    <w:rsid w:val="00F65B24"/>
    <w:rsid w:val="00F65D21"/>
    <w:rsid w:val="00F65D70"/>
    <w:rsid w:val="00F65F49"/>
    <w:rsid w:val="00F65F69"/>
    <w:rsid w:val="00F65F9C"/>
    <w:rsid w:val="00F6602D"/>
    <w:rsid w:val="00F660EF"/>
    <w:rsid w:val="00F66262"/>
    <w:rsid w:val="00F662BF"/>
    <w:rsid w:val="00F663B5"/>
    <w:rsid w:val="00F666A3"/>
    <w:rsid w:val="00F66A36"/>
    <w:rsid w:val="00F66C9F"/>
    <w:rsid w:val="00F670D9"/>
    <w:rsid w:val="00F670E7"/>
    <w:rsid w:val="00F67194"/>
    <w:rsid w:val="00F67339"/>
    <w:rsid w:val="00F67491"/>
    <w:rsid w:val="00F67553"/>
    <w:rsid w:val="00F678DA"/>
    <w:rsid w:val="00F678FF"/>
    <w:rsid w:val="00F67958"/>
    <w:rsid w:val="00F67AF0"/>
    <w:rsid w:val="00F67B06"/>
    <w:rsid w:val="00F67BDC"/>
    <w:rsid w:val="00F67D02"/>
    <w:rsid w:val="00F70051"/>
    <w:rsid w:val="00F70111"/>
    <w:rsid w:val="00F702D0"/>
    <w:rsid w:val="00F702F8"/>
    <w:rsid w:val="00F703AB"/>
    <w:rsid w:val="00F704F9"/>
    <w:rsid w:val="00F70551"/>
    <w:rsid w:val="00F7094A"/>
    <w:rsid w:val="00F709A4"/>
    <w:rsid w:val="00F70B3E"/>
    <w:rsid w:val="00F70BE6"/>
    <w:rsid w:val="00F70F45"/>
    <w:rsid w:val="00F70FE3"/>
    <w:rsid w:val="00F70FE9"/>
    <w:rsid w:val="00F7118D"/>
    <w:rsid w:val="00F71269"/>
    <w:rsid w:val="00F7126C"/>
    <w:rsid w:val="00F713E6"/>
    <w:rsid w:val="00F7156C"/>
    <w:rsid w:val="00F71583"/>
    <w:rsid w:val="00F71624"/>
    <w:rsid w:val="00F71661"/>
    <w:rsid w:val="00F7167F"/>
    <w:rsid w:val="00F717CE"/>
    <w:rsid w:val="00F71AD2"/>
    <w:rsid w:val="00F71B95"/>
    <w:rsid w:val="00F71BD5"/>
    <w:rsid w:val="00F71F1B"/>
    <w:rsid w:val="00F71F26"/>
    <w:rsid w:val="00F71F7B"/>
    <w:rsid w:val="00F72035"/>
    <w:rsid w:val="00F72042"/>
    <w:rsid w:val="00F720AC"/>
    <w:rsid w:val="00F720F3"/>
    <w:rsid w:val="00F720FF"/>
    <w:rsid w:val="00F72258"/>
    <w:rsid w:val="00F722C0"/>
    <w:rsid w:val="00F722DD"/>
    <w:rsid w:val="00F7265F"/>
    <w:rsid w:val="00F72669"/>
    <w:rsid w:val="00F726ED"/>
    <w:rsid w:val="00F72765"/>
    <w:rsid w:val="00F727A1"/>
    <w:rsid w:val="00F727E7"/>
    <w:rsid w:val="00F7299B"/>
    <w:rsid w:val="00F72C96"/>
    <w:rsid w:val="00F72CD6"/>
    <w:rsid w:val="00F72CFE"/>
    <w:rsid w:val="00F72DA9"/>
    <w:rsid w:val="00F72F4A"/>
    <w:rsid w:val="00F72FC5"/>
    <w:rsid w:val="00F73052"/>
    <w:rsid w:val="00F73095"/>
    <w:rsid w:val="00F730B3"/>
    <w:rsid w:val="00F7316F"/>
    <w:rsid w:val="00F7343E"/>
    <w:rsid w:val="00F73467"/>
    <w:rsid w:val="00F735DB"/>
    <w:rsid w:val="00F73608"/>
    <w:rsid w:val="00F73717"/>
    <w:rsid w:val="00F738F9"/>
    <w:rsid w:val="00F73929"/>
    <w:rsid w:val="00F73A5A"/>
    <w:rsid w:val="00F73A9E"/>
    <w:rsid w:val="00F73E17"/>
    <w:rsid w:val="00F73E6A"/>
    <w:rsid w:val="00F73E73"/>
    <w:rsid w:val="00F73E8C"/>
    <w:rsid w:val="00F73F02"/>
    <w:rsid w:val="00F73F98"/>
    <w:rsid w:val="00F73FA2"/>
    <w:rsid w:val="00F740FD"/>
    <w:rsid w:val="00F74245"/>
    <w:rsid w:val="00F74436"/>
    <w:rsid w:val="00F74444"/>
    <w:rsid w:val="00F7464E"/>
    <w:rsid w:val="00F7481A"/>
    <w:rsid w:val="00F74875"/>
    <w:rsid w:val="00F74BF1"/>
    <w:rsid w:val="00F74C7E"/>
    <w:rsid w:val="00F74CB3"/>
    <w:rsid w:val="00F74CC9"/>
    <w:rsid w:val="00F74CD4"/>
    <w:rsid w:val="00F74D7E"/>
    <w:rsid w:val="00F74FC7"/>
    <w:rsid w:val="00F750E5"/>
    <w:rsid w:val="00F7542E"/>
    <w:rsid w:val="00F755D0"/>
    <w:rsid w:val="00F75804"/>
    <w:rsid w:val="00F75814"/>
    <w:rsid w:val="00F75869"/>
    <w:rsid w:val="00F75932"/>
    <w:rsid w:val="00F7596D"/>
    <w:rsid w:val="00F75A83"/>
    <w:rsid w:val="00F75B95"/>
    <w:rsid w:val="00F75BF4"/>
    <w:rsid w:val="00F75C2F"/>
    <w:rsid w:val="00F7606B"/>
    <w:rsid w:val="00F76137"/>
    <w:rsid w:val="00F761AA"/>
    <w:rsid w:val="00F761F5"/>
    <w:rsid w:val="00F7625A"/>
    <w:rsid w:val="00F76449"/>
    <w:rsid w:val="00F76474"/>
    <w:rsid w:val="00F764D1"/>
    <w:rsid w:val="00F76544"/>
    <w:rsid w:val="00F7655B"/>
    <w:rsid w:val="00F76663"/>
    <w:rsid w:val="00F76670"/>
    <w:rsid w:val="00F769F6"/>
    <w:rsid w:val="00F76A5A"/>
    <w:rsid w:val="00F76B32"/>
    <w:rsid w:val="00F76B62"/>
    <w:rsid w:val="00F76CFE"/>
    <w:rsid w:val="00F76D44"/>
    <w:rsid w:val="00F76F84"/>
    <w:rsid w:val="00F77009"/>
    <w:rsid w:val="00F77051"/>
    <w:rsid w:val="00F770A4"/>
    <w:rsid w:val="00F77149"/>
    <w:rsid w:val="00F771A1"/>
    <w:rsid w:val="00F771D6"/>
    <w:rsid w:val="00F77312"/>
    <w:rsid w:val="00F77371"/>
    <w:rsid w:val="00F773D4"/>
    <w:rsid w:val="00F773F3"/>
    <w:rsid w:val="00F7753E"/>
    <w:rsid w:val="00F77630"/>
    <w:rsid w:val="00F77643"/>
    <w:rsid w:val="00F77766"/>
    <w:rsid w:val="00F778F5"/>
    <w:rsid w:val="00F77955"/>
    <w:rsid w:val="00F7798F"/>
    <w:rsid w:val="00F779BD"/>
    <w:rsid w:val="00F77C88"/>
    <w:rsid w:val="00F77CA0"/>
    <w:rsid w:val="00F77D68"/>
    <w:rsid w:val="00F77F54"/>
    <w:rsid w:val="00F77F6F"/>
    <w:rsid w:val="00F77F7C"/>
    <w:rsid w:val="00F77FF6"/>
    <w:rsid w:val="00F801DE"/>
    <w:rsid w:val="00F803A3"/>
    <w:rsid w:val="00F804C2"/>
    <w:rsid w:val="00F8055F"/>
    <w:rsid w:val="00F80730"/>
    <w:rsid w:val="00F808F0"/>
    <w:rsid w:val="00F80951"/>
    <w:rsid w:val="00F80B19"/>
    <w:rsid w:val="00F80BC9"/>
    <w:rsid w:val="00F8115C"/>
    <w:rsid w:val="00F81311"/>
    <w:rsid w:val="00F8138D"/>
    <w:rsid w:val="00F8152D"/>
    <w:rsid w:val="00F81532"/>
    <w:rsid w:val="00F81614"/>
    <w:rsid w:val="00F81904"/>
    <w:rsid w:val="00F81A8D"/>
    <w:rsid w:val="00F81BAA"/>
    <w:rsid w:val="00F81D76"/>
    <w:rsid w:val="00F81EA5"/>
    <w:rsid w:val="00F81F51"/>
    <w:rsid w:val="00F82136"/>
    <w:rsid w:val="00F82159"/>
    <w:rsid w:val="00F82196"/>
    <w:rsid w:val="00F8253B"/>
    <w:rsid w:val="00F8278F"/>
    <w:rsid w:val="00F8285F"/>
    <w:rsid w:val="00F828B6"/>
    <w:rsid w:val="00F82926"/>
    <w:rsid w:val="00F82931"/>
    <w:rsid w:val="00F82A20"/>
    <w:rsid w:val="00F82B2C"/>
    <w:rsid w:val="00F82C2C"/>
    <w:rsid w:val="00F82CB0"/>
    <w:rsid w:val="00F82CCD"/>
    <w:rsid w:val="00F82D1F"/>
    <w:rsid w:val="00F8310B"/>
    <w:rsid w:val="00F83150"/>
    <w:rsid w:val="00F83250"/>
    <w:rsid w:val="00F832AD"/>
    <w:rsid w:val="00F837FB"/>
    <w:rsid w:val="00F83861"/>
    <w:rsid w:val="00F839E5"/>
    <w:rsid w:val="00F83AB1"/>
    <w:rsid w:val="00F83ACE"/>
    <w:rsid w:val="00F83BC0"/>
    <w:rsid w:val="00F83C66"/>
    <w:rsid w:val="00F83EC3"/>
    <w:rsid w:val="00F83F60"/>
    <w:rsid w:val="00F83F64"/>
    <w:rsid w:val="00F840C1"/>
    <w:rsid w:val="00F8415A"/>
    <w:rsid w:val="00F8422B"/>
    <w:rsid w:val="00F8435B"/>
    <w:rsid w:val="00F843AB"/>
    <w:rsid w:val="00F84503"/>
    <w:rsid w:val="00F8461F"/>
    <w:rsid w:val="00F84782"/>
    <w:rsid w:val="00F847B9"/>
    <w:rsid w:val="00F84822"/>
    <w:rsid w:val="00F8492B"/>
    <w:rsid w:val="00F84B75"/>
    <w:rsid w:val="00F84CE2"/>
    <w:rsid w:val="00F84CEE"/>
    <w:rsid w:val="00F84D6C"/>
    <w:rsid w:val="00F84D79"/>
    <w:rsid w:val="00F84E17"/>
    <w:rsid w:val="00F84F22"/>
    <w:rsid w:val="00F84F2B"/>
    <w:rsid w:val="00F84F73"/>
    <w:rsid w:val="00F85218"/>
    <w:rsid w:val="00F852C3"/>
    <w:rsid w:val="00F852F2"/>
    <w:rsid w:val="00F8574C"/>
    <w:rsid w:val="00F858E2"/>
    <w:rsid w:val="00F85913"/>
    <w:rsid w:val="00F85F70"/>
    <w:rsid w:val="00F8646C"/>
    <w:rsid w:val="00F8657A"/>
    <w:rsid w:val="00F86596"/>
    <w:rsid w:val="00F866EC"/>
    <w:rsid w:val="00F86789"/>
    <w:rsid w:val="00F86ACF"/>
    <w:rsid w:val="00F87094"/>
    <w:rsid w:val="00F870F1"/>
    <w:rsid w:val="00F87237"/>
    <w:rsid w:val="00F87324"/>
    <w:rsid w:val="00F873DB"/>
    <w:rsid w:val="00F87427"/>
    <w:rsid w:val="00F87521"/>
    <w:rsid w:val="00F875D5"/>
    <w:rsid w:val="00F876D6"/>
    <w:rsid w:val="00F877B6"/>
    <w:rsid w:val="00F877C5"/>
    <w:rsid w:val="00F8782E"/>
    <w:rsid w:val="00F87835"/>
    <w:rsid w:val="00F87913"/>
    <w:rsid w:val="00F87937"/>
    <w:rsid w:val="00F87938"/>
    <w:rsid w:val="00F87960"/>
    <w:rsid w:val="00F87966"/>
    <w:rsid w:val="00F87AC6"/>
    <w:rsid w:val="00F87ADE"/>
    <w:rsid w:val="00F87D3B"/>
    <w:rsid w:val="00F87D66"/>
    <w:rsid w:val="00F90019"/>
    <w:rsid w:val="00F90390"/>
    <w:rsid w:val="00F904AA"/>
    <w:rsid w:val="00F90720"/>
    <w:rsid w:val="00F90723"/>
    <w:rsid w:val="00F90777"/>
    <w:rsid w:val="00F9079F"/>
    <w:rsid w:val="00F908EB"/>
    <w:rsid w:val="00F90A83"/>
    <w:rsid w:val="00F90A94"/>
    <w:rsid w:val="00F90BB3"/>
    <w:rsid w:val="00F90CA8"/>
    <w:rsid w:val="00F90EC0"/>
    <w:rsid w:val="00F90ECF"/>
    <w:rsid w:val="00F910A1"/>
    <w:rsid w:val="00F910C1"/>
    <w:rsid w:val="00F911A9"/>
    <w:rsid w:val="00F9131B"/>
    <w:rsid w:val="00F9138E"/>
    <w:rsid w:val="00F914E1"/>
    <w:rsid w:val="00F91581"/>
    <w:rsid w:val="00F9159A"/>
    <w:rsid w:val="00F916E1"/>
    <w:rsid w:val="00F91799"/>
    <w:rsid w:val="00F91AF5"/>
    <w:rsid w:val="00F91B94"/>
    <w:rsid w:val="00F91BEC"/>
    <w:rsid w:val="00F91C56"/>
    <w:rsid w:val="00F91FDB"/>
    <w:rsid w:val="00F920CC"/>
    <w:rsid w:val="00F92186"/>
    <w:rsid w:val="00F92214"/>
    <w:rsid w:val="00F9223E"/>
    <w:rsid w:val="00F92277"/>
    <w:rsid w:val="00F922CF"/>
    <w:rsid w:val="00F924C9"/>
    <w:rsid w:val="00F92665"/>
    <w:rsid w:val="00F9276E"/>
    <w:rsid w:val="00F92842"/>
    <w:rsid w:val="00F92885"/>
    <w:rsid w:val="00F92B35"/>
    <w:rsid w:val="00F92B40"/>
    <w:rsid w:val="00F92BAE"/>
    <w:rsid w:val="00F92C38"/>
    <w:rsid w:val="00F92D85"/>
    <w:rsid w:val="00F92DBF"/>
    <w:rsid w:val="00F92DC4"/>
    <w:rsid w:val="00F92EC5"/>
    <w:rsid w:val="00F9305C"/>
    <w:rsid w:val="00F9308E"/>
    <w:rsid w:val="00F932F1"/>
    <w:rsid w:val="00F93326"/>
    <w:rsid w:val="00F93376"/>
    <w:rsid w:val="00F93565"/>
    <w:rsid w:val="00F93761"/>
    <w:rsid w:val="00F939C9"/>
    <w:rsid w:val="00F939DE"/>
    <w:rsid w:val="00F939E0"/>
    <w:rsid w:val="00F93AB2"/>
    <w:rsid w:val="00F93C37"/>
    <w:rsid w:val="00F93C51"/>
    <w:rsid w:val="00F93D58"/>
    <w:rsid w:val="00F93D5A"/>
    <w:rsid w:val="00F93E93"/>
    <w:rsid w:val="00F940E1"/>
    <w:rsid w:val="00F9418D"/>
    <w:rsid w:val="00F94320"/>
    <w:rsid w:val="00F94992"/>
    <w:rsid w:val="00F949E0"/>
    <w:rsid w:val="00F94B9D"/>
    <w:rsid w:val="00F94D1C"/>
    <w:rsid w:val="00F9528F"/>
    <w:rsid w:val="00F95302"/>
    <w:rsid w:val="00F9532D"/>
    <w:rsid w:val="00F95468"/>
    <w:rsid w:val="00F95567"/>
    <w:rsid w:val="00F95599"/>
    <w:rsid w:val="00F956A9"/>
    <w:rsid w:val="00F95BCF"/>
    <w:rsid w:val="00F95DEE"/>
    <w:rsid w:val="00F95E06"/>
    <w:rsid w:val="00F95E1B"/>
    <w:rsid w:val="00F95E7B"/>
    <w:rsid w:val="00F95ED1"/>
    <w:rsid w:val="00F95F47"/>
    <w:rsid w:val="00F95F6C"/>
    <w:rsid w:val="00F961F5"/>
    <w:rsid w:val="00F96277"/>
    <w:rsid w:val="00F965F1"/>
    <w:rsid w:val="00F96602"/>
    <w:rsid w:val="00F9677E"/>
    <w:rsid w:val="00F96866"/>
    <w:rsid w:val="00F96B20"/>
    <w:rsid w:val="00F96BDF"/>
    <w:rsid w:val="00F96C12"/>
    <w:rsid w:val="00F96C3D"/>
    <w:rsid w:val="00F96D37"/>
    <w:rsid w:val="00F96DDA"/>
    <w:rsid w:val="00F96E88"/>
    <w:rsid w:val="00F97187"/>
    <w:rsid w:val="00F971D2"/>
    <w:rsid w:val="00F97268"/>
    <w:rsid w:val="00F972C0"/>
    <w:rsid w:val="00F97323"/>
    <w:rsid w:val="00F97410"/>
    <w:rsid w:val="00F9753E"/>
    <w:rsid w:val="00F97727"/>
    <w:rsid w:val="00F97814"/>
    <w:rsid w:val="00F9786D"/>
    <w:rsid w:val="00F97942"/>
    <w:rsid w:val="00F97A11"/>
    <w:rsid w:val="00F97B0F"/>
    <w:rsid w:val="00F97B38"/>
    <w:rsid w:val="00F97D50"/>
    <w:rsid w:val="00F97E41"/>
    <w:rsid w:val="00F97EE2"/>
    <w:rsid w:val="00F97F9D"/>
    <w:rsid w:val="00FA01B9"/>
    <w:rsid w:val="00FA0257"/>
    <w:rsid w:val="00FA0290"/>
    <w:rsid w:val="00FA0412"/>
    <w:rsid w:val="00FA04F8"/>
    <w:rsid w:val="00FA0565"/>
    <w:rsid w:val="00FA05EC"/>
    <w:rsid w:val="00FA06C2"/>
    <w:rsid w:val="00FA06D4"/>
    <w:rsid w:val="00FA0724"/>
    <w:rsid w:val="00FA072D"/>
    <w:rsid w:val="00FA087C"/>
    <w:rsid w:val="00FA08B5"/>
    <w:rsid w:val="00FA0909"/>
    <w:rsid w:val="00FA09AE"/>
    <w:rsid w:val="00FA0A14"/>
    <w:rsid w:val="00FA0CFF"/>
    <w:rsid w:val="00FA0D18"/>
    <w:rsid w:val="00FA0D3A"/>
    <w:rsid w:val="00FA0D3E"/>
    <w:rsid w:val="00FA0DD3"/>
    <w:rsid w:val="00FA0E8B"/>
    <w:rsid w:val="00FA0EC2"/>
    <w:rsid w:val="00FA0FB3"/>
    <w:rsid w:val="00FA129B"/>
    <w:rsid w:val="00FA12CA"/>
    <w:rsid w:val="00FA1303"/>
    <w:rsid w:val="00FA1384"/>
    <w:rsid w:val="00FA14CA"/>
    <w:rsid w:val="00FA1650"/>
    <w:rsid w:val="00FA16CF"/>
    <w:rsid w:val="00FA1BFE"/>
    <w:rsid w:val="00FA1D4D"/>
    <w:rsid w:val="00FA1D93"/>
    <w:rsid w:val="00FA1E4E"/>
    <w:rsid w:val="00FA1F25"/>
    <w:rsid w:val="00FA208C"/>
    <w:rsid w:val="00FA20C6"/>
    <w:rsid w:val="00FA21C7"/>
    <w:rsid w:val="00FA21E1"/>
    <w:rsid w:val="00FA225A"/>
    <w:rsid w:val="00FA236A"/>
    <w:rsid w:val="00FA2450"/>
    <w:rsid w:val="00FA24D1"/>
    <w:rsid w:val="00FA2736"/>
    <w:rsid w:val="00FA2751"/>
    <w:rsid w:val="00FA27BF"/>
    <w:rsid w:val="00FA28B0"/>
    <w:rsid w:val="00FA2AE1"/>
    <w:rsid w:val="00FA2C77"/>
    <w:rsid w:val="00FA2E7C"/>
    <w:rsid w:val="00FA2FBB"/>
    <w:rsid w:val="00FA3047"/>
    <w:rsid w:val="00FA3208"/>
    <w:rsid w:val="00FA3422"/>
    <w:rsid w:val="00FA34B9"/>
    <w:rsid w:val="00FA35F0"/>
    <w:rsid w:val="00FA37C3"/>
    <w:rsid w:val="00FA3868"/>
    <w:rsid w:val="00FA3ADB"/>
    <w:rsid w:val="00FA3B14"/>
    <w:rsid w:val="00FA3D18"/>
    <w:rsid w:val="00FA3DB5"/>
    <w:rsid w:val="00FA3E82"/>
    <w:rsid w:val="00FA3ECB"/>
    <w:rsid w:val="00FA3F16"/>
    <w:rsid w:val="00FA3F2C"/>
    <w:rsid w:val="00FA4070"/>
    <w:rsid w:val="00FA407B"/>
    <w:rsid w:val="00FA4205"/>
    <w:rsid w:val="00FA4472"/>
    <w:rsid w:val="00FA47B0"/>
    <w:rsid w:val="00FA485B"/>
    <w:rsid w:val="00FA48E8"/>
    <w:rsid w:val="00FA49E7"/>
    <w:rsid w:val="00FA4AC0"/>
    <w:rsid w:val="00FA4ACD"/>
    <w:rsid w:val="00FA4BD9"/>
    <w:rsid w:val="00FA4EB6"/>
    <w:rsid w:val="00FA4F35"/>
    <w:rsid w:val="00FA4FC2"/>
    <w:rsid w:val="00FA4FE8"/>
    <w:rsid w:val="00FA5168"/>
    <w:rsid w:val="00FA51A2"/>
    <w:rsid w:val="00FA51BD"/>
    <w:rsid w:val="00FA533F"/>
    <w:rsid w:val="00FA54CA"/>
    <w:rsid w:val="00FA5538"/>
    <w:rsid w:val="00FA561E"/>
    <w:rsid w:val="00FA5630"/>
    <w:rsid w:val="00FA58EC"/>
    <w:rsid w:val="00FA5A16"/>
    <w:rsid w:val="00FA5A33"/>
    <w:rsid w:val="00FA5D06"/>
    <w:rsid w:val="00FA5E13"/>
    <w:rsid w:val="00FA5E1F"/>
    <w:rsid w:val="00FA5F90"/>
    <w:rsid w:val="00FA612E"/>
    <w:rsid w:val="00FA613B"/>
    <w:rsid w:val="00FA61F1"/>
    <w:rsid w:val="00FA6388"/>
    <w:rsid w:val="00FA6592"/>
    <w:rsid w:val="00FA665C"/>
    <w:rsid w:val="00FA674B"/>
    <w:rsid w:val="00FA6AA4"/>
    <w:rsid w:val="00FA6B55"/>
    <w:rsid w:val="00FA6C6D"/>
    <w:rsid w:val="00FA6D33"/>
    <w:rsid w:val="00FA6F1E"/>
    <w:rsid w:val="00FA6F56"/>
    <w:rsid w:val="00FA6F61"/>
    <w:rsid w:val="00FA73F2"/>
    <w:rsid w:val="00FA7431"/>
    <w:rsid w:val="00FA7692"/>
    <w:rsid w:val="00FA76C6"/>
    <w:rsid w:val="00FA76CB"/>
    <w:rsid w:val="00FA77CA"/>
    <w:rsid w:val="00FA7915"/>
    <w:rsid w:val="00FA7A80"/>
    <w:rsid w:val="00FA7ADC"/>
    <w:rsid w:val="00FA7B56"/>
    <w:rsid w:val="00FA7C42"/>
    <w:rsid w:val="00FA7CE3"/>
    <w:rsid w:val="00FA7D4A"/>
    <w:rsid w:val="00FA7D7C"/>
    <w:rsid w:val="00FA7F5C"/>
    <w:rsid w:val="00FA7FE3"/>
    <w:rsid w:val="00FB0022"/>
    <w:rsid w:val="00FB011E"/>
    <w:rsid w:val="00FB01A4"/>
    <w:rsid w:val="00FB01E2"/>
    <w:rsid w:val="00FB0605"/>
    <w:rsid w:val="00FB0688"/>
    <w:rsid w:val="00FB06BC"/>
    <w:rsid w:val="00FB0A44"/>
    <w:rsid w:val="00FB0AE2"/>
    <w:rsid w:val="00FB0B53"/>
    <w:rsid w:val="00FB0C8D"/>
    <w:rsid w:val="00FB0E82"/>
    <w:rsid w:val="00FB115E"/>
    <w:rsid w:val="00FB12CC"/>
    <w:rsid w:val="00FB14CC"/>
    <w:rsid w:val="00FB1737"/>
    <w:rsid w:val="00FB18AB"/>
    <w:rsid w:val="00FB1A2E"/>
    <w:rsid w:val="00FB1A99"/>
    <w:rsid w:val="00FB1D8B"/>
    <w:rsid w:val="00FB1F8D"/>
    <w:rsid w:val="00FB221D"/>
    <w:rsid w:val="00FB2541"/>
    <w:rsid w:val="00FB274E"/>
    <w:rsid w:val="00FB27A8"/>
    <w:rsid w:val="00FB28C4"/>
    <w:rsid w:val="00FB28D3"/>
    <w:rsid w:val="00FB2A15"/>
    <w:rsid w:val="00FB2A9B"/>
    <w:rsid w:val="00FB2C15"/>
    <w:rsid w:val="00FB2C9C"/>
    <w:rsid w:val="00FB2E58"/>
    <w:rsid w:val="00FB2EB7"/>
    <w:rsid w:val="00FB2F4E"/>
    <w:rsid w:val="00FB2F91"/>
    <w:rsid w:val="00FB30E1"/>
    <w:rsid w:val="00FB323D"/>
    <w:rsid w:val="00FB324E"/>
    <w:rsid w:val="00FB3271"/>
    <w:rsid w:val="00FB32D9"/>
    <w:rsid w:val="00FB3331"/>
    <w:rsid w:val="00FB36C2"/>
    <w:rsid w:val="00FB36F9"/>
    <w:rsid w:val="00FB3782"/>
    <w:rsid w:val="00FB3882"/>
    <w:rsid w:val="00FB3A12"/>
    <w:rsid w:val="00FB3A76"/>
    <w:rsid w:val="00FB3B03"/>
    <w:rsid w:val="00FB3BBE"/>
    <w:rsid w:val="00FB3C97"/>
    <w:rsid w:val="00FB3D5C"/>
    <w:rsid w:val="00FB3D6F"/>
    <w:rsid w:val="00FB3E59"/>
    <w:rsid w:val="00FB4036"/>
    <w:rsid w:val="00FB44AB"/>
    <w:rsid w:val="00FB454E"/>
    <w:rsid w:val="00FB4669"/>
    <w:rsid w:val="00FB46B2"/>
    <w:rsid w:val="00FB4719"/>
    <w:rsid w:val="00FB48DD"/>
    <w:rsid w:val="00FB48EC"/>
    <w:rsid w:val="00FB4A29"/>
    <w:rsid w:val="00FB4A8E"/>
    <w:rsid w:val="00FB4C89"/>
    <w:rsid w:val="00FB5026"/>
    <w:rsid w:val="00FB5053"/>
    <w:rsid w:val="00FB5312"/>
    <w:rsid w:val="00FB5324"/>
    <w:rsid w:val="00FB549A"/>
    <w:rsid w:val="00FB55BA"/>
    <w:rsid w:val="00FB5638"/>
    <w:rsid w:val="00FB56AD"/>
    <w:rsid w:val="00FB56CD"/>
    <w:rsid w:val="00FB5938"/>
    <w:rsid w:val="00FB59D5"/>
    <w:rsid w:val="00FB5AB5"/>
    <w:rsid w:val="00FB5B57"/>
    <w:rsid w:val="00FB5C88"/>
    <w:rsid w:val="00FB63A1"/>
    <w:rsid w:val="00FB64A8"/>
    <w:rsid w:val="00FB66ED"/>
    <w:rsid w:val="00FB672E"/>
    <w:rsid w:val="00FB6988"/>
    <w:rsid w:val="00FB69D3"/>
    <w:rsid w:val="00FB6F0B"/>
    <w:rsid w:val="00FB6F38"/>
    <w:rsid w:val="00FB713A"/>
    <w:rsid w:val="00FB72C7"/>
    <w:rsid w:val="00FB7337"/>
    <w:rsid w:val="00FB7351"/>
    <w:rsid w:val="00FB73A0"/>
    <w:rsid w:val="00FB7540"/>
    <w:rsid w:val="00FB75A6"/>
    <w:rsid w:val="00FB7698"/>
    <w:rsid w:val="00FB7892"/>
    <w:rsid w:val="00FB793B"/>
    <w:rsid w:val="00FB7944"/>
    <w:rsid w:val="00FB799F"/>
    <w:rsid w:val="00FB7A11"/>
    <w:rsid w:val="00FB7BA1"/>
    <w:rsid w:val="00FB7C26"/>
    <w:rsid w:val="00FB7EBB"/>
    <w:rsid w:val="00FB7F1A"/>
    <w:rsid w:val="00FB7FA8"/>
    <w:rsid w:val="00FBB9E2"/>
    <w:rsid w:val="00FC0003"/>
    <w:rsid w:val="00FC00A8"/>
    <w:rsid w:val="00FC01A5"/>
    <w:rsid w:val="00FC01F8"/>
    <w:rsid w:val="00FC0255"/>
    <w:rsid w:val="00FC02E7"/>
    <w:rsid w:val="00FC038C"/>
    <w:rsid w:val="00FC07B4"/>
    <w:rsid w:val="00FC07F8"/>
    <w:rsid w:val="00FC0A79"/>
    <w:rsid w:val="00FC0BFB"/>
    <w:rsid w:val="00FC0CA7"/>
    <w:rsid w:val="00FC0F95"/>
    <w:rsid w:val="00FC11A8"/>
    <w:rsid w:val="00FC11BC"/>
    <w:rsid w:val="00FC12A4"/>
    <w:rsid w:val="00FC156C"/>
    <w:rsid w:val="00FC175A"/>
    <w:rsid w:val="00FC1765"/>
    <w:rsid w:val="00FC17F5"/>
    <w:rsid w:val="00FC187B"/>
    <w:rsid w:val="00FC1B42"/>
    <w:rsid w:val="00FC1B54"/>
    <w:rsid w:val="00FC1D90"/>
    <w:rsid w:val="00FC1E6D"/>
    <w:rsid w:val="00FC1F78"/>
    <w:rsid w:val="00FC1FDC"/>
    <w:rsid w:val="00FC2039"/>
    <w:rsid w:val="00FC2150"/>
    <w:rsid w:val="00FC224D"/>
    <w:rsid w:val="00FC22C4"/>
    <w:rsid w:val="00FC248D"/>
    <w:rsid w:val="00FC2618"/>
    <w:rsid w:val="00FC26F0"/>
    <w:rsid w:val="00FC2767"/>
    <w:rsid w:val="00FC2773"/>
    <w:rsid w:val="00FC28CD"/>
    <w:rsid w:val="00FC29D1"/>
    <w:rsid w:val="00FC2A9D"/>
    <w:rsid w:val="00FC2BCD"/>
    <w:rsid w:val="00FC2C3A"/>
    <w:rsid w:val="00FC2C6B"/>
    <w:rsid w:val="00FC2CE1"/>
    <w:rsid w:val="00FC2CF4"/>
    <w:rsid w:val="00FC2E97"/>
    <w:rsid w:val="00FC2EDD"/>
    <w:rsid w:val="00FC3014"/>
    <w:rsid w:val="00FC3061"/>
    <w:rsid w:val="00FC3075"/>
    <w:rsid w:val="00FC313F"/>
    <w:rsid w:val="00FC3266"/>
    <w:rsid w:val="00FC3309"/>
    <w:rsid w:val="00FC33A1"/>
    <w:rsid w:val="00FC33FF"/>
    <w:rsid w:val="00FC3712"/>
    <w:rsid w:val="00FC3814"/>
    <w:rsid w:val="00FC381C"/>
    <w:rsid w:val="00FC3A93"/>
    <w:rsid w:val="00FC3B04"/>
    <w:rsid w:val="00FC3CDF"/>
    <w:rsid w:val="00FC3D2F"/>
    <w:rsid w:val="00FC3DD3"/>
    <w:rsid w:val="00FC3F65"/>
    <w:rsid w:val="00FC3FCD"/>
    <w:rsid w:val="00FC4023"/>
    <w:rsid w:val="00FC410F"/>
    <w:rsid w:val="00FC449E"/>
    <w:rsid w:val="00FC45A5"/>
    <w:rsid w:val="00FC4715"/>
    <w:rsid w:val="00FC472D"/>
    <w:rsid w:val="00FC47CD"/>
    <w:rsid w:val="00FC48E8"/>
    <w:rsid w:val="00FC49A7"/>
    <w:rsid w:val="00FC4C45"/>
    <w:rsid w:val="00FC4D77"/>
    <w:rsid w:val="00FC4DE8"/>
    <w:rsid w:val="00FC4E81"/>
    <w:rsid w:val="00FC4EBE"/>
    <w:rsid w:val="00FC4F44"/>
    <w:rsid w:val="00FC4F83"/>
    <w:rsid w:val="00FC50BA"/>
    <w:rsid w:val="00FC5111"/>
    <w:rsid w:val="00FC51F8"/>
    <w:rsid w:val="00FC52E8"/>
    <w:rsid w:val="00FC5533"/>
    <w:rsid w:val="00FC55A8"/>
    <w:rsid w:val="00FC55B3"/>
    <w:rsid w:val="00FC564B"/>
    <w:rsid w:val="00FC57E5"/>
    <w:rsid w:val="00FC58B7"/>
    <w:rsid w:val="00FC58E1"/>
    <w:rsid w:val="00FC5922"/>
    <w:rsid w:val="00FC5CAE"/>
    <w:rsid w:val="00FC5D9C"/>
    <w:rsid w:val="00FC5EFD"/>
    <w:rsid w:val="00FC5F13"/>
    <w:rsid w:val="00FC5F70"/>
    <w:rsid w:val="00FC6097"/>
    <w:rsid w:val="00FC6162"/>
    <w:rsid w:val="00FC61E7"/>
    <w:rsid w:val="00FC624B"/>
    <w:rsid w:val="00FC628A"/>
    <w:rsid w:val="00FC62B8"/>
    <w:rsid w:val="00FC62E5"/>
    <w:rsid w:val="00FC670F"/>
    <w:rsid w:val="00FC68A5"/>
    <w:rsid w:val="00FC6AC7"/>
    <w:rsid w:val="00FC6D55"/>
    <w:rsid w:val="00FC6F2D"/>
    <w:rsid w:val="00FC7013"/>
    <w:rsid w:val="00FC7539"/>
    <w:rsid w:val="00FC75BA"/>
    <w:rsid w:val="00FC7756"/>
    <w:rsid w:val="00FC7A01"/>
    <w:rsid w:val="00FC7AC4"/>
    <w:rsid w:val="00FC7C2A"/>
    <w:rsid w:val="00FC7C6C"/>
    <w:rsid w:val="00FC7E65"/>
    <w:rsid w:val="00FC7F0A"/>
    <w:rsid w:val="00FC7FCC"/>
    <w:rsid w:val="00FC8138"/>
    <w:rsid w:val="00FD0077"/>
    <w:rsid w:val="00FD02B1"/>
    <w:rsid w:val="00FD03EC"/>
    <w:rsid w:val="00FD0722"/>
    <w:rsid w:val="00FD0790"/>
    <w:rsid w:val="00FD07A4"/>
    <w:rsid w:val="00FD08E0"/>
    <w:rsid w:val="00FD0937"/>
    <w:rsid w:val="00FD097E"/>
    <w:rsid w:val="00FD0B84"/>
    <w:rsid w:val="00FD0CA7"/>
    <w:rsid w:val="00FD0D60"/>
    <w:rsid w:val="00FD0EEC"/>
    <w:rsid w:val="00FD1132"/>
    <w:rsid w:val="00FD116F"/>
    <w:rsid w:val="00FD13E3"/>
    <w:rsid w:val="00FD143C"/>
    <w:rsid w:val="00FD1481"/>
    <w:rsid w:val="00FD1585"/>
    <w:rsid w:val="00FD1703"/>
    <w:rsid w:val="00FD1874"/>
    <w:rsid w:val="00FD18B5"/>
    <w:rsid w:val="00FD18D4"/>
    <w:rsid w:val="00FD1B8A"/>
    <w:rsid w:val="00FD1BF8"/>
    <w:rsid w:val="00FD1F38"/>
    <w:rsid w:val="00FD2066"/>
    <w:rsid w:val="00FD20DB"/>
    <w:rsid w:val="00FD20F0"/>
    <w:rsid w:val="00FD23E8"/>
    <w:rsid w:val="00FD23E9"/>
    <w:rsid w:val="00FD24ED"/>
    <w:rsid w:val="00FD25E1"/>
    <w:rsid w:val="00FD2A7E"/>
    <w:rsid w:val="00FD2AF0"/>
    <w:rsid w:val="00FD2C70"/>
    <w:rsid w:val="00FD2DCC"/>
    <w:rsid w:val="00FD3031"/>
    <w:rsid w:val="00FD323A"/>
    <w:rsid w:val="00FD330A"/>
    <w:rsid w:val="00FD33EE"/>
    <w:rsid w:val="00FD3473"/>
    <w:rsid w:val="00FD3546"/>
    <w:rsid w:val="00FD35F4"/>
    <w:rsid w:val="00FD3682"/>
    <w:rsid w:val="00FD3797"/>
    <w:rsid w:val="00FD387D"/>
    <w:rsid w:val="00FD389C"/>
    <w:rsid w:val="00FD397E"/>
    <w:rsid w:val="00FD3A69"/>
    <w:rsid w:val="00FD3B4B"/>
    <w:rsid w:val="00FD3CDF"/>
    <w:rsid w:val="00FD3D10"/>
    <w:rsid w:val="00FD416C"/>
    <w:rsid w:val="00FD4267"/>
    <w:rsid w:val="00FD4287"/>
    <w:rsid w:val="00FD42E0"/>
    <w:rsid w:val="00FD4308"/>
    <w:rsid w:val="00FD4333"/>
    <w:rsid w:val="00FD456D"/>
    <w:rsid w:val="00FD456E"/>
    <w:rsid w:val="00FD46B1"/>
    <w:rsid w:val="00FD482C"/>
    <w:rsid w:val="00FD4B8E"/>
    <w:rsid w:val="00FD4C2D"/>
    <w:rsid w:val="00FD4CA2"/>
    <w:rsid w:val="00FD4CFE"/>
    <w:rsid w:val="00FD4D35"/>
    <w:rsid w:val="00FD4D6E"/>
    <w:rsid w:val="00FD4EAA"/>
    <w:rsid w:val="00FD4FF7"/>
    <w:rsid w:val="00FD50AB"/>
    <w:rsid w:val="00FD510A"/>
    <w:rsid w:val="00FD5175"/>
    <w:rsid w:val="00FD5218"/>
    <w:rsid w:val="00FD5293"/>
    <w:rsid w:val="00FD5305"/>
    <w:rsid w:val="00FD5374"/>
    <w:rsid w:val="00FD53FF"/>
    <w:rsid w:val="00FD5452"/>
    <w:rsid w:val="00FD55B6"/>
    <w:rsid w:val="00FD56E9"/>
    <w:rsid w:val="00FD575B"/>
    <w:rsid w:val="00FD5839"/>
    <w:rsid w:val="00FD5FE8"/>
    <w:rsid w:val="00FD60C4"/>
    <w:rsid w:val="00FD6123"/>
    <w:rsid w:val="00FD623B"/>
    <w:rsid w:val="00FD6383"/>
    <w:rsid w:val="00FD63AC"/>
    <w:rsid w:val="00FD646D"/>
    <w:rsid w:val="00FD667D"/>
    <w:rsid w:val="00FD68B6"/>
    <w:rsid w:val="00FD68BA"/>
    <w:rsid w:val="00FD693D"/>
    <w:rsid w:val="00FD6992"/>
    <w:rsid w:val="00FD6AD8"/>
    <w:rsid w:val="00FD6B0D"/>
    <w:rsid w:val="00FD6B40"/>
    <w:rsid w:val="00FD6C7D"/>
    <w:rsid w:val="00FD6F2C"/>
    <w:rsid w:val="00FD6F6F"/>
    <w:rsid w:val="00FD6FC0"/>
    <w:rsid w:val="00FD6FD7"/>
    <w:rsid w:val="00FD6FE7"/>
    <w:rsid w:val="00FD7029"/>
    <w:rsid w:val="00FD7034"/>
    <w:rsid w:val="00FD704A"/>
    <w:rsid w:val="00FD716F"/>
    <w:rsid w:val="00FD7220"/>
    <w:rsid w:val="00FD7265"/>
    <w:rsid w:val="00FD7377"/>
    <w:rsid w:val="00FD75D9"/>
    <w:rsid w:val="00FD76F7"/>
    <w:rsid w:val="00FD7721"/>
    <w:rsid w:val="00FD7860"/>
    <w:rsid w:val="00FD7B95"/>
    <w:rsid w:val="00FD7BCF"/>
    <w:rsid w:val="00FD7CBA"/>
    <w:rsid w:val="00FD7DF2"/>
    <w:rsid w:val="00FD7E21"/>
    <w:rsid w:val="00FE00C0"/>
    <w:rsid w:val="00FE0132"/>
    <w:rsid w:val="00FE04DA"/>
    <w:rsid w:val="00FE06D2"/>
    <w:rsid w:val="00FE073F"/>
    <w:rsid w:val="00FE0884"/>
    <w:rsid w:val="00FE0C55"/>
    <w:rsid w:val="00FE0CBD"/>
    <w:rsid w:val="00FE0EAE"/>
    <w:rsid w:val="00FE0F0D"/>
    <w:rsid w:val="00FE1042"/>
    <w:rsid w:val="00FE1120"/>
    <w:rsid w:val="00FE12BE"/>
    <w:rsid w:val="00FE13A5"/>
    <w:rsid w:val="00FE13B8"/>
    <w:rsid w:val="00FE1436"/>
    <w:rsid w:val="00FE1553"/>
    <w:rsid w:val="00FE15EE"/>
    <w:rsid w:val="00FE1719"/>
    <w:rsid w:val="00FE1744"/>
    <w:rsid w:val="00FE1759"/>
    <w:rsid w:val="00FE175D"/>
    <w:rsid w:val="00FE177B"/>
    <w:rsid w:val="00FE195A"/>
    <w:rsid w:val="00FE1A13"/>
    <w:rsid w:val="00FE1A67"/>
    <w:rsid w:val="00FE1BD4"/>
    <w:rsid w:val="00FE1C68"/>
    <w:rsid w:val="00FE1C90"/>
    <w:rsid w:val="00FE1D58"/>
    <w:rsid w:val="00FE1DA2"/>
    <w:rsid w:val="00FE1E1D"/>
    <w:rsid w:val="00FE20B4"/>
    <w:rsid w:val="00FE2220"/>
    <w:rsid w:val="00FE23EC"/>
    <w:rsid w:val="00FE23F8"/>
    <w:rsid w:val="00FE2405"/>
    <w:rsid w:val="00FE246B"/>
    <w:rsid w:val="00FE2569"/>
    <w:rsid w:val="00FE2667"/>
    <w:rsid w:val="00FE2710"/>
    <w:rsid w:val="00FE2768"/>
    <w:rsid w:val="00FE28DA"/>
    <w:rsid w:val="00FE29B0"/>
    <w:rsid w:val="00FE2B08"/>
    <w:rsid w:val="00FE2B6F"/>
    <w:rsid w:val="00FE2D38"/>
    <w:rsid w:val="00FE2DC1"/>
    <w:rsid w:val="00FE2DC2"/>
    <w:rsid w:val="00FE2E93"/>
    <w:rsid w:val="00FE3017"/>
    <w:rsid w:val="00FE3048"/>
    <w:rsid w:val="00FE3076"/>
    <w:rsid w:val="00FE3084"/>
    <w:rsid w:val="00FE3112"/>
    <w:rsid w:val="00FE318E"/>
    <w:rsid w:val="00FE325E"/>
    <w:rsid w:val="00FE32F5"/>
    <w:rsid w:val="00FE33CF"/>
    <w:rsid w:val="00FE34E7"/>
    <w:rsid w:val="00FE3772"/>
    <w:rsid w:val="00FE3824"/>
    <w:rsid w:val="00FE3974"/>
    <w:rsid w:val="00FE3A25"/>
    <w:rsid w:val="00FE3AD2"/>
    <w:rsid w:val="00FE3B01"/>
    <w:rsid w:val="00FE3B04"/>
    <w:rsid w:val="00FE3B12"/>
    <w:rsid w:val="00FE3DE3"/>
    <w:rsid w:val="00FE3E02"/>
    <w:rsid w:val="00FE3EE4"/>
    <w:rsid w:val="00FE40F5"/>
    <w:rsid w:val="00FE415F"/>
    <w:rsid w:val="00FE418F"/>
    <w:rsid w:val="00FE41A3"/>
    <w:rsid w:val="00FE42AD"/>
    <w:rsid w:val="00FE43B0"/>
    <w:rsid w:val="00FE4464"/>
    <w:rsid w:val="00FE465A"/>
    <w:rsid w:val="00FE47BA"/>
    <w:rsid w:val="00FE481D"/>
    <w:rsid w:val="00FE4A3E"/>
    <w:rsid w:val="00FE4BB8"/>
    <w:rsid w:val="00FE4C48"/>
    <w:rsid w:val="00FE4C67"/>
    <w:rsid w:val="00FE4D31"/>
    <w:rsid w:val="00FE4D82"/>
    <w:rsid w:val="00FE4EB8"/>
    <w:rsid w:val="00FE4F35"/>
    <w:rsid w:val="00FE5082"/>
    <w:rsid w:val="00FE50F2"/>
    <w:rsid w:val="00FE52D7"/>
    <w:rsid w:val="00FE542C"/>
    <w:rsid w:val="00FE55BD"/>
    <w:rsid w:val="00FE55E5"/>
    <w:rsid w:val="00FE5941"/>
    <w:rsid w:val="00FE5E8A"/>
    <w:rsid w:val="00FE6077"/>
    <w:rsid w:val="00FE61EE"/>
    <w:rsid w:val="00FE6394"/>
    <w:rsid w:val="00FE64CB"/>
    <w:rsid w:val="00FE6534"/>
    <w:rsid w:val="00FE66AC"/>
    <w:rsid w:val="00FE6783"/>
    <w:rsid w:val="00FE6849"/>
    <w:rsid w:val="00FE6885"/>
    <w:rsid w:val="00FE693C"/>
    <w:rsid w:val="00FE6AF3"/>
    <w:rsid w:val="00FE6BB3"/>
    <w:rsid w:val="00FE6BC3"/>
    <w:rsid w:val="00FE6BD1"/>
    <w:rsid w:val="00FE6BE9"/>
    <w:rsid w:val="00FE6C0B"/>
    <w:rsid w:val="00FE7063"/>
    <w:rsid w:val="00FE70CC"/>
    <w:rsid w:val="00FE7349"/>
    <w:rsid w:val="00FE7529"/>
    <w:rsid w:val="00FE7553"/>
    <w:rsid w:val="00FE75A0"/>
    <w:rsid w:val="00FE75FC"/>
    <w:rsid w:val="00FE7D4E"/>
    <w:rsid w:val="00FE7E07"/>
    <w:rsid w:val="00FE7FE0"/>
    <w:rsid w:val="00FF0109"/>
    <w:rsid w:val="00FF0274"/>
    <w:rsid w:val="00FF0380"/>
    <w:rsid w:val="00FF03A3"/>
    <w:rsid w:val="00FF0674"/>
    <w:rsid w:val="00FF06F7"/>
    <w:rsid w:val="00FF096E"/>
    <w:rsid w:val="00FF0AFC"/>
    <w:rsid w:val="00FF0C90"/>
    <w:rsid w:val="00FF0D23"/>
    <w:rsid w:val="00FF0D4D"/>
    <w:rsid w:val="00FF0ECA"/>
    <w:rsid w:val="00FF0FD2"/>
    <w:rsid w:val="00FF11F0"/>
    <w:rsid w:val="00FF135E"/>
    <w:rsid w:val="00FF1626"/>
    <w:rsid w:val="00FF1654"/>
    <w:rsid w:val="00FF170D"/>
    <w:rsid w:val="00FF174F"/>
    <w:rsid w:val="00FF176F"/>
    <w:rsid w:val="00FF1849"/>
    <w:rsid w:val="00FF184C"/>
    <w:rsid w:val="00FF1999"/>
    <w:rsid w:val="00FF1A70"/>
    <w:rsid w:val="00FF1B30"/>
    <w:rsid w:val="00FF1CB0"/>
    <w:rsid w:val="00FF1D7E"/>
    <w:rsid w:val="00FF1EB3"/>
    <w:rsid w:val="00FF1F3A"/>
    <w:rsid w:val="00FF1F8B"/>
    <w:rsid w:val="00FF20FD"/>
    <w:rsid w:val="00FF21DF"/>
    <w:rsid w:val="00FF22A9"/>
    <w:rsid w:val="00FF2334"/>
    <w:rsid w:val="00FF234E"/>
    <w:rsid w:val="00FF23A9"/>
    <w:rsid w:val="00FF23FC"/>
    <w:rsid w:val="00FF254A"/>
    <w:rsid w:val="00FF25BD"/>
    <w:rsid w:val="00FF26B7"/>
    <w:rsid w:val="00FF286E"/>
    <w:rsid w:val="00FF298D"/>
    <w:rsid w:val="00FF2BF7"/>
    <w:rsid w:val="00FF2BFC"/>
    <w:rsid w:val="00FF2CD4"/>
    <w:rsid w:val="00FF2D92"/>
    <w:rsid w:val="00FF2E22"/>
    <w:rsid w:val="00FF2E91"/>
    <w:rsid w:val="00FF2EC4"/>
    <w:rsid w:val="00FF2EF5"/>
    <w:rsid w:val="00FF2F66"/>
    <w:rsid w:val="00FF2F77"/>
    <w:rsid w:val="00FF2FAA"/>
    <w:rsid w:val="00FF3158"/>
    <w:rsid w:val="00FF3216"/>
    <w:rsid w:val="00FF3271"/>
    <w:rsid w:val="00FF3287"/>
    <w:rsid w:val="00FF3314"/>
    <w:rsid w:val="00FF33F6"/>
    <w:rsid w:val="00FF33FA"/>
    <w:rsid w:val="00FF3562"/>
    <w:rsid w:val="00FF358A"/>
    <w:rsid w:val="00FF36FB"/>
    <w:rsid w:val="00FF37D9"/>
    <w:rsid w:val="00FF3A42"/>
    <w:rsid w:val="00FF3A6B"/>
    <w:rsid w:val="00FF3B65"/>
    <w:rsid w:val="00FF3C9A"/>
    <w:rsid w:val="00FF3E16"/>
    <w:rsid w:val="00FF425F"/>
    <w:rsid w:val="00FF44B9"/>
    <w:rsid w:val="00FF450F"/>
    <w:rsid w:val="00FF453D"/>
    <w:rsid w:val="00FF457C"/>
    <w:rsid w:val="00FF45AB"/>
    <w:rsid w:val="00FF47FE"/>
    <w:rsid w:val="00FF485D"/>
    <w:rsid w:val="00FF48B0"/>
    <w:rsid w:val="00FF4900"/>
    <w:rsid w:val="00FF4938"/>
    <w:rsid w:val="00FF4A31"/>
    <w:rsid w:val="00FF4C17"/>
    <w:rsid w:val="00FF4CDF"/>
    <w:rsid w:val="00FF4CF9"/>
    <w:rsid w:val="00FF4F2E"/>
    <w:rsid w:val="00FF5031"/>
    <w:rsid w:val="00FF5111"/>
    <w:rsid w:val="00FF520D"/>
    <w:rsid w:val="00FF52CA"/>
    <w:rsid w:val="00FF52E6"/>
    <w:rsid w:val="00FF53A5"/>
    <w:rsid w:val="00FF53D8"/>
    <w:rsid w:val="00FF5405"/>
    <w:rsid w:val="00FF5433"/>
    <w:rsid w:val="00FF5444"/>
    <w:rsid w:val="00FF54F5"/>
    <w:rsid w:val="00FF57D3"/>
    <w:rsid w:val="00FF58C4"/>
    <w:rsid w:val="00FF593F"/>
    <w:rsid w:val="00FF59BF"/>
    <w:rsid w:val="00FF5A3A"/>
    <w:rsid w:val="00FF5A3F"/>
    <w:rsid w:val="00FF5BC8"/>
    <w:rsid w:val="00FF5D9B"/>
    <w:rsid w:val="00FF5E1C"/>
    <w:rsid w:val="00FF5F34"/>
    <w:rsid w:val="00FF60A5"/>
    <w:rsid w:val="00FF60BC"/>
    <w:rsid w:val="00FF615C"/>
    <w:rsid w:val="00FF64C0"/>
    <w:rsid w:val="00FF65D1"/>
    <w:rsid w:val="00FF6930"/>
    <w:rsid w:val="00FF6AF8"/>
    <w:rsid w:val="00FF6B4D"/>
    <w:rsid w:val="00FF6B6B"/>
    <w:rsid w:val="00FF6D53"/>
    <w:rsid w:val="00FF6D7D"/>
    <w:rsid w:val="00FF70A2"/>
    <w:rsid w:val="00FF7195"/>
    <w:rsid w:val="00FF7247"/>
    <w:rsid w:val="00FF737F"/>
    <w:rsid w:val="00FF739A"/>
    <w:rsid w:val="00FF74EF"/>
    <w:rsid w:val="00FF7512"/>
    <w:rsid w:val="00FF7600"/>
    <w:rsid w:val="00FF782D"/>
    <w:rsid w:val="00FF7A55"/>
    <w:rsid w:val="00FF7B9B"/>
    <w:rsid w:val="00FF7C6C"/>
    <w:rsid w:val="00FF7E06"/>
    <w:rsid w:val="0100A72D"/>
    <w:rsid w:val="01012A6F"/>
    <w:rsid w:val="0104EB24"/>
    <w:rsid w:val="010967BA"/>
    <w:rsid w:val="0109D032"/>
    <w:rsid w:val="0109D9C4"/>
    <w:rsid w:val="010EC862"/>
    <w:rsid w:val="01101704"/>
    <w:rsid w:val="011300E5"/>
    <w:rsid w:val="0114BDF7"/>
    <w:rsid w:val="0116FABA"/>
    <w:rsid w:val="011B4C64"/>
    <w:rsid w:val="011C2924"/>
    <w:rsid w:val="011CA6FE"/>
    <w:rsid w:val="011DB099"/>
    <w:rsid w:val="011E7526"/>
    <w:rsid w:val="011F562E"/>
    <w:rsid w:val="0122EE32"/>
    <w:rsid w:val="0129D2CF"/>
    <w:rsid w:val="012A897E"/>
    <w:rsid w:val="012AFE7A"/>
    <w:rsid w:val="012C98B5"/>
    <w:rsid w:val="012CC1FA"/>
    <w:rsid w:val="012EB8F2"/>
    <w:rsid w:val="012EC71B"/>
    <w:rsid w:val="013051B2"/>
    <w:rsid w:val="0130C384"/>
    <w:rsid w:val="0130D883"/>
    <w:rsid w:val="01313C4B"/>
    <w:rsid w:val="01338793"/>
    <w:rsid w:val="01338986"/>
    <w:rsid w:val="0135835E"/>
    <w:rsid w:val="01375043"/>
    <w:rsid w:val="0137E149"/>
    <w:rsid w:val="013A4181"/>
    <w:rsid w:val="013AA1A3"/>
    <w:rsid w:val="013B6403"/>
    <w:rsid w:val="013D5D98"/>
    <w:rsid w:val="013E76B6"/>
    <w:rsid w:val="013E92F4"/>
    <w:rsid w:val="013F3470"/>
    <w:rsid w:val="013FA975"/>
    <w:rsid w:val="0143E22A"/>
    <w:rsid w:val="01449CA6"/>
    <w:rsid w:val="0144C799"/>
    <w:rsid w:val="014605C8"/>
    <w:rsid w:val="01469594"/>
    <w:rsid w:val="0147449D"/>
    <w:rsid w:val="01492016"/>
    <w:rsid w:val="014B8E75"/>
    <w:rsid w:val="014BB5E2"/>
    <w:rsid w:val="014CB144"/>
    <w:rsid w:val="014E7B7F"/>
    <w:rsid w:val="014EA072"/>
    <w:rsid w:val="0150030F"/>
    <w:rsid w:val="015063EA"/>
    <w:rsid w:val="015979C3"/>
    <w:rsid w:val="015AC7DA"/>
    <w:rsid w:val="015CE960"/>
    <w:rsid w:val="015ED783"/>
    <w:rsid w:val="01604283"/>
    <w:rsid w:val="01609A0F"/>
    <w:rsid w:val="0161FAE3"/>
    <w:rsid w:val="0162D0D8"/>
    <w:rsid w:val="0162E449"/>
    <w:rsid w:val="01630492"/>
    <w:rsid w:val="01640851"/>
    <w:rsid w:val="0164344F"/>
    <w:rsid w:val="01656378"/>
    <w:rsid w:val="0165899E"/>
    <w:rsid w:val="0165C766"/>
    <w:rsid w:val="0165FB25"/>
    <w:rsid w:val="0166285D"/>
    <w:rsid w:val="0167BBB1"/>
    <w:rsid w:val="0168079F"/>
    <w:rsid w:val="0168E2DA"/>
    <w:rsid w:val="01696747"/>
    <w:rsid w:val="01697435"/>
    <w:rsid w:val="016C1CC4"/>
    <w:rsid w:val="016D54A0"/>
    <w:rsid w:val="016FA699"/>
    <w:rsid w:val="01710A74"/>
    <w:rsid w:val="017501F7"/>
    <w:rsid w:val="0176546B"/>
    <w:rsid w:val="017BB40B"/>
    <w:rsid w:val="017D60E7"/>
    <w:rsid w:val="018164AB"/>
    <w:rsid w:val="0181E61C"/>
    <w:rsid w:val="0182EEFF"/>
    <w:rsid w:val="0187B2F7"/>
    <w:rsid w:val="018988D7"/>
    <w:rsid w:val="018A6F6A"/>
    <w:rsid w:val="018C6411"/>
    <w:rsid w:val="018CB7C9"/>
    <w:rsid w:val="018CDA73"/>
    <w:rsid w:val="018D34E6"/>
    <w:rsid w:val="018E121D"/>
    <w:rsid w:val="01911DD1"/>
    <w:rsid w:val="01933117"/>
    <w:rsid w:val="01987976"/>
    <w:rsid w:val="0199559B"/>
    <w:rsid w:val="019B23C5"/>
    <w:rsid w:val="019BF110"/>
    <w:rsid w:val="019C63B7"/>
    <w:rsid w:val="019CB2D2"/>
    <w:rsid w:val="019CD9DA"/>
    <w:rsid w:val="019E0761"/>
    <w:rsid w:val="019F7E80"/>
    <w:rsid w:val="019F82EC"/>
    <w:rsid w:val="01A17B29"/>
    <w:rsid w:val="01A4B429"/>
    <w:rsid w:val="01A8B332"/>
    <w:rsid w:val="01A98B38"/>
    <w:rsid w:val="01A99C67"/>
    <w:rsid w:val="01A9AFB3"/>
    <w:rsid w:val="01AA2E01"/>
    <w:rsid w:val="01AC4CB8"/>
    <w:rsid w:val="01ACC440"/>
    <w:rsid w:val="01B3E88E"/>
    <w:rsid w:val="01B66C9E"/>
    <w:rsid w:val="01B8E34F"/>
    <w:rsid w:val="01B96842"/>
    <w:rsid w:val="01BA3C0B"/>
    <w:rsid w:val="01BB6340"/>
    <w:rsid w:val="01BF5116"/>
    <w:rsid w:val="01C24A98"/>
    <w:rsid w:val="01C2B328"/>
    <w:rsid w:val="01CC0AB1"/>
    <w:rsid w:val="01CE1318"/>
    <w:rsid w:val="01D13310"/>
    <w:rsid w:val="01D3CDC9"/>
    <w:rsid w:val="01D5BD5B"/>
    <w:rsid w:val="01DAB227"/>
    <w:rsid w:val="01DE5300"/>
    <w:rsid w:val="01DE6881"/>
    <w:rsid w:val="01DFDA77"/>
    <w:rsid w:val="01E2D52E"/>
    <w:rsid w:val="01E549D0"/>
    <w:rsid w:val="01E7737D"/>
    <w:rsid w:val="01E7DF75"/>
    <w:rsid w:val="01E9B1C7"/>
    <w:rsid w:val="01EA99B7"/>
    <w:rsid w:val="01F199E4"/>
    <w:rsid w:val="01F5BFE0"/>
    <w:rsid w:val="01F7A7EF"/>
    <w:rsid w:val="01FA78F4"/>
    <w:rsid w:val="01FAA9EF"/>
    <w:rsid w:val="01FB32BC"/>
    <w:rsid w:val="01FC9984"/>
    <w:rsid w:val="01FF2B71"/>
    <w:rsid w:val="01FF9F69"/>
    <w:rsid w:val="02006AC3"/>
    <w:rsid w:val="02017F35"/>
    <w:rsid w:val="02022B53"/>
    <w:rsid w:val="02029078"/>
    <w:rsid w:val="02032767"/>
    <w:rsid w:val="0205DC24"/>
    <w:rsid w:val="0208193F"/>
    <w:rsid w:val="020D93EA"/>
    <w:rsid w:val="020F1EA5"/>
    <w:rsid w:val="021AC50B"/>
    <w:rsid w:val="021AF4BC"/>
    <w:rsid w:val="021CAE7A"/>
    <w:rsid w:val="021EF1B5"/>
    <w:rsid w:val="021F5AE6"/>
    <w:rsid w:val="0222B3E8"/>
    <w:rsid w:val="02230995"/>
    <w:rsid w:val="0223676A"/>
    <w:rsid w:val="02287BDC"/>
    <w:rsid w:val="0229B7EE"/>
    <w:rsid w:val="022B687F"/>
    <w:rsid w:val="022DD267"/>
    <w:rsid w:val="022DF240"/>
    <w:rsid w:val="0232BA54"/>
    <w:rsid w:val="0232DEA7"/>
    <w:rsid w:val="0232DF91"/>
    <w:rsid w:val="0233CE5D"/>
    <w:rsid w:val="023501F0"/>
    <w:rsid w:val="0237B901"/>
    <w:rsid w:val="023BB2C1"/>
    <w:rsid w:val="0242DC1F"/>
    <w:rsid w:val="0243B622"/>
    <w:rsid w:val="0247ED52"/>
    <w:rsid w:val="024AC5C5"/>
    <w:rsid w:val="024BD99B"/>
    <w:rsid w:val="024CA1FA"/>
    <w:rsid w:val="024D83DC"/>
    <w:rsid w:val="024ED97A"/>
    <w:rsid w:val="024EEAEA"/>
    <w:rsid w:val="024FBBCF"/>
    <w:rsid w:val="025014CF"/>
    <w:rsid w:val="025391EE"/>
    <w:rsid w:val="02552CBA"/>
    <w:rsid w:val="0258557C"/>
    <w:rsid w:val="025A431D"/>
    <w:rsid w:val="025AA956"/>
    <w:rsid w:val="025AB041"/>
    <w:rsid w:val="025CEFA4"/>
    <w:rsid w:val="025EC698"/>
    <w:rsid w:val="025EF91C"/>
    <w:rsid w:val="025FAD87"/>
    <w:rsid w:val="026030F7"/>
    <w:rsid w:val="0260C84D"/>
    <w:rsid w:val="026485C9"/>
    <w:rsid w:val="0265B3DF"/>
    <w:rsid w:val="02660435"/>
    <w:rsid w:val="02666F90"/>
    <w:rsid w:val="0268FF51"/>
    <w:rsid w:val="0269FB80"/>
    <w:rsid w:val="026EDBAB"/>
    <w:rsid w:val="02703937"/>
    <w:rsid w:val="02723A4E"/>
    <w:rsid w:val="027379A2"/>
    <w:rsid w:val="02745D44"/>
    <w:rsid w:val="0274A6A8"/>
    <w:rsid w:val="0276F833"/>
    <w:rsid w:val="02785EFE"/>
    <w:rsid w:val="0279943E"/>
    <w:rsid w:val="0279A241"/>
    <w:rsid w:val="027ACF13"/>
    <w:rsid w:val="027D56DC"/>
    <w:rsid w:val="027D6294"/>
    <w:rsid w:val="027FA338"/>
    <w:rsid w:val="02809E26"/>
    <w:rsid w:val="0286113C"/>
    <w:rsid w:val="02879A88"/>
    <w:rsid w:val="0287AD5F"/>
    <w:rsid w:val="028B1F5A"/>
    <w:rsid w:val="028C3595"/>
    <w:rsid w:val="028DCE63"/>
    <w:rsid w:val="028FD57E"/>
    <w:rsid w:val="028FE549"/>
    <w:rsid w:val="0291000D"/>
    <w:rsid w:val="0291E5A9"/>
    <w:rsid w:val="0293FE73"/>
    <w:rsid w:val="0296C892"/>
    <w:rsid w:val="0298C81D"/>
    <w:rsid w:val="0298E8F8"/>
    <w:rsid w:val="029970A7"/>
    <w:rsid w:val="02A07EE8"/>
    <w:rsid w:val="02A15430"/>
    <w:rsid w:val="02A208D1"/>
    <w:rsid w:val="02A4A170"/>
    <w:rsid w:val="02A53421"/>
    <w:rsid w:val="02A5A413"/>
    <w:rsid w:val="02A73383"/>
    <w:rsid w:val="02AA0138"/>
    <w:rsid w:val="02AA9F4F"/>
    <w:rsid w:val="02AB074E"/>
    <w:rsid w:val="02AD415C"/>
    <w:rsid w:val="02B25D93"/>
    <w:rsid w:val="02B7BD2A"/>
    <w:rsid w:val="02B8AD31"/>
    <w:rsid w:val="02B961CC"/>
    <w:rsid w:val="02BA7A2D"/>
    <w:rsid w:val="02BBD4BB"/>
    <w:rsid w:val="02BC46C9"/>
    <w:rsid w:val="02BEB80D"/>
    <w:rsid w:val="02C15760"/>
    <w:rsid w:val="02C1FFB3"/>
    <w:rsid w:val="02C30367"/>
    <w:rsid w:val="02C331A2"/>
    <w:rsid w:val="02C33876"/>
    <w:rsid w:val="02C3C3D5"/>
    <w:rsid w:val="02C3F936"/>
    <w:rsid w:val="02C40EB3"/>
    <w:rsid w:val="02C56B97"/>
    <w:rsid w:val="02C851A7"/>
    <w:rsid w:val="02CAE7B0"/>
    <w:rsid w:val="02CB1BAF"/>
    <w:rsid w:val="02CCD148"/>
    <w:rsid w:val="02CDC749"/>
    <w:rsid w:val="02CE59A5"/>
    <w:rsid w:val="02CEA1D0"/>
    <w:rsid w:val="02D20115"/>
    <w:rsid w:val="02D5D0D6"/>
    <w:rsid w:val="02D5E935"/>
    <w:rsid w:val="02DCCD65"/>
    <w:rsid w:val="02DDAF99"/>
    <w:rsid w:val="02DE14CC"/>
    <w:rsid w:val="02DE1F04"/>
    <w:rsid w:val="02E165E8"/>
    <w:rsid w:val="02E1B0A0"/>
    <w:rsid w:val="02E2D954"/>
    <w:rsid w:val="02E32738"/>
    <w:rsid w:val="02E462F7"/>
    <w:rsid w:val="02E5A37A"/>
    <w:rsid w:val="02E86BC6"/>
    <w:rsid w:val="02E8BA2D"/>
    <w:rsid w:val="02ED0114"/>
    <w:rsid w:val="02EF6C5F"/>
    <w:rsid w:val="02F2ADEE"/>
    <w:rsid w:val="02F37B5B"/>
    <w:rsid w:val="02F41D37"/>
    <w:rsid w:val="02F7B8E9"/>
    <w:rsid w:val="02F98F23"/>
    <w:rsid w:val="02FD8C0E"/>
    <w:rsid w:val="02FE9186"/>
    <w:rsid w:val="02FECA8F"/>
    <w:rsid w:val="03009050"/>
    <w:rsid w:val="0302EE8A"/>
    <w:rsid w:val="03036C1F"/>
    <w:rsid w:val="0303DFCA"/>
    <w:rsid w:val="03047007"/>
    <w:rsid w:val="03067B1C"/>
    <w:rsid w:val="03079350"/>
    <w:rsid w:val="030B6909"/>
    <w:rsid w:val="030D3F2B"/>
    <w:rsid w:val="0310270E"/>
    <w:rsid w:val="0311844A"/>
    <w:rsid w:val="03145E32"/>
    <w:rsid w:val="0316CCC6"/>
    <w:rsid w:val="0317B5DD"/>
    <w:rsid w:val="0317BBE8"/>
    <w:rsid w:val="0317CBC2"/>
    <w:rsid w:val="0319D414"/>
    <w:rsid w:val="031A7AF6"/>
    <w:rsid w:val="031A9A78"/>
    <w:rsid w:val="031EAF53"/>
    <w:rsid w:val="031F50A8"/>
    <w:rsid w:val="031FCE91"/>
    <w:rsid w:val="0321A04C"/>
    <w:rsid w:val="0324E160"/>
    <w:rsid w:val="0326DDD4"/>
    <w:rsid w:val="032834E3"/>
    <w:rsid w:val="032BB4E9"/>
    <w:rsid w:val="032CC288"/>
    <w:rsid w:val="032D5B22"/>
    <w:rsid w:val="03324FFC"/>
    <w:rsid w:val="0333D9FA"/>
    <w:rsid w:val="03424166"/>
    <w:rsid w:val="0346B74D"/>
    <w:rsid w:val="03474A34"/>
    <w:rsid w:val="03477BF1"/>
    <w:rsid w:val="034C4EFC"/>
    <w:rsid w:val="034F2D0F"/>
    <w:rsid w:val="034FE181"/>
    <w:rsid w:val="034FF232"/>
    <w:rsid w:val="0352B542"/>
    <w:rsid w:val="03588BE5"/>
    <w:rsid w:val="0359757B"/>
    <w:rsid w:val="035AF721"/>
    <w:rsid w:val="035BA510"/>
    <w:rsid w:val="035EDE3F"/>
    <w:rsid w:val="035F5DA0"/>
    <w:rsid w:val="03615D4D"/>
    <w:rsid w:val="0362AAF0"/>
    <w:rsid w:val="03646C9F"/>
    <w:rsid w:val="0364C47B"/>
    <w:rsid w:val="036592FC"/>
    <w:rsid w:val="036822BA"/>
    <w:rsid w:val="036850CF"/>
    <w:rsid w:val="03685280"/>
    <w:rsid w:val="03689C07"/>
    <w:rsid w:val="036928F2"/>
    <w:rsid w:val="036AF84B"/>
    <w:rsid w:val="036D071B"/>
    <w:rsid w:val="036DBA57"/>
    <w:rsid w:val="036DC68E"/>
    <w:rsid w:val="036E8526"/>
    <w:rsid w:val="0370C057"/>
    <w:rsid w:val="0370CFE9"/>
    <w:rsid w:val="037400AC"/>
    <w:rsid w:val="037696FB"/>
    <w:rsid w:val="0376EE19"/>
    <w:rsid w:val="0379512E"/>
    <w:rsid w:val="0379D8AF"/>
    <w:rsid w:val="037BD686"/>
    <w:rsid w:val="037C2DF6"/>
    <w:rsid w:val="037D6DB1"/>
    <w:rsid w:val="037E2010"/>
    <w:rsid w:val="037EA58F"/>
    <w:rsid w:val="03804447"/>
    <w:rsid w:val="0382B47C"/>
    <w:rsid w:val="0385689C"/>
    <w:rsid w:val="038634D0"/>
    <w:rsid w:val="038656B3"/>
    <w:rsid w:val="0387221E"/>
    <w:rsid w:val="0388079C"/>
    <w:rsid w:val="03885FF9"/>
    <w:rsid w:val="0388D5E1"/>
    <w:rsid w:val="038AB567"/>
    <w:rsid w:val="038C5D42"/>
    <w:rsid w:val="038CE31A"/>
    <w:rsid w:val="038D0AB1"/>
    <w:rsid w:val="038D3352"/>
    <w:rsid w:val="038F1747"/>
    <w:rsid w:val="038FFFED"/>
    <w:rsid w:val="03914721"/>
    <w:rsid w:val="03995619"/>
    <w:rsid w:val="039996D2"/>
    <w:rsid w:val="039A61E3"/>
    <w:rsid w:val="039BC766"/>
    <w:rsid w:val="039CF2A4"/>
    <w:rsid w:val="039D9C5E"/>
    <w:rsid w:val="039E1411"/>
    <w:rsid w:val="039F4917"/>
    <w:rsid w:val="03A13E6A"/>
    <w:rsid w:val="03A58C12"/>
    <w:rsid w:val="03A71CAC"/>
    <w:rsid w:val="03A75903"/>
    <w:rsid w:val="03A81B18"/>
    <w:rsid w:val="03A83E55"/>
    <w:rsid w:val="03A91382"/>
    <w:rsid w:val="03AC8210"/>
    <w:rsid w:val="03AE14B5"/>
    <w:rsid w:val="03B0EE4C"/>
    <w:rsid w:val="03B4B48E"/>
    <w:rsid w:val="03B64282"/>
    <w:rsid w:val="03B701CB"/>
    <w:rsid w:val="03B80462"/>
    <w:rsid w:val="03B8464B"/>
    <w:rsid w:val="03B9FCA0"/>
    <w:rsid w:val="03BE5D89"/>
    <w:rsid w:val="03BEA036"/>
    <w:rsid w:val="03BEEFEC"/>
    <w:rsid w:val="03C1D361"/>
    <w:rsid w:val="03C27CDE"/>
    <w:rsid w:val="03C28F11"/>
    <w:rsid w:val="03C2D30D"/>
    <w:rsid w:val="03C30A01"/>
    <w:rsid w:val="03C60B26"/>
    <w:rsid w:val="03C636D4"/>
    <w:rsid w:val="03C7ABA2"/>
    <w:rsid w:val="03CAE23D"/>
    <w:rsid w:val="03CFB5E2"/>
    <w:rsid w:val="03D37E8D"/>
    <w:rsid w:val="03D3A5ED"/>
    <w:rsid w:val="03D72050"/>
    <w:rsid w:val="03DAB900"/>
    <w:rsid w:val="03DBE14A"/>
    <w:rsid w:val="03E1B808"/>
    <w:rsid w:val="03E21E36"/>
    <w:rsid w:val="03E3DE87"/>
    <w:rsid w:val="03E406C5"/>
    <w:rsid w:val="03E650A5"/>
    <w:rsid w:val="03E7BD51"/>
    <w:rsid w:val="03E7C70F"/>
    <w:rsid w:val="03E964F3"/>
    <w:rsid w:val="03EA3050"/>
    <w:rsid w:val="03EA8AD1"/>
    <w:rsid w:val="03EB2761"/>
    <w:rsid w:val="03EF5852"/>
    <w:rsid w:val="03F641D9"/>
    <w:rsid w:val="03F6E4B7"/>
    <w:rsid w:val="03F9793D"/>
    <w:rsid w:val="03F9AFBF"/>
    <w:rsid w:val="03FCF325"/>
    <w:rsid w:val="03FE88D1"/>
    <w:rsid w:val="04011E77"/>
    <w:rsid w:val="04018834"/>
    <w:rsid w:val="0402127F"/>
    <w:rsid w:val="040F89CE"/>
    <w:rsid w:val="0411C733"/>
    <w:rsid w:val="041500BC"/>
    <w:rsid w:val="041C4442"/>
    <w:rsid w:val="041CAD71"/>
    <w:rsid w:val="041CD2DF"/>
    <w:rsid w:val="041D73F6"/>
    <w:rsid w:val="041EDBD2"/>
    <w:rsid w:val="041FA631"/>
    <w:rsid w:val="042045A4"/>
    <w:rsid w:val="0420BCE9"/>
    <w:rsid w:val="04223F4F"/>
    <w:rsid w:val="0422525A"/>
    <w:rsid w:val="042319F5"/>
    <w:rsid w:val="04244D0D"/>
    <w:rsid w:val="042AEFC9"/>
    <w:rsid w:val="042B54ED"/>
    <w:rsid w:val="0430F81F"/>
    <w:rsid w:val="0431E9CE"/>
    <w:rsid w:val="043530F4"/>
    <w:rsid w:val="0435FEA5"/>
    <w:rsid w:val="04391EAE"/>
    <w:rsid w:val="04398898"/>
    <w:rsid w:val="0439C46D"/>
    <w:rsid w:val="043ADC3F"/>
    <w:rsid w:val="043C2BA0"/>
    <w:rsid w:val="043CF639"/>
    <w:rsid w:val="043F13E0"/>
    <w:rsid w:val="043F1825"/>
    <w:rsid w:val="04402808"/>
    <w:rsid w:val="044111A9"/>
    <w:rsid w:val="04485260"/>
    <w:rsid w:val="044BC89C"/>
    <w:rsid w:val="044E734A"/>
    <w:rsid w:val="0450D07D"/>
    <w:rsid w:val="045160FC"/>
    <w:rsid w:val="04538240"/>
    <w:rsid w:val="0455DC18"/>
    <w:rsid w:val="045656DB"/>
    <w:rsid w:val="0459B8DC"/>
    <w:rsid w:val="045B66A2"/>
    <w:rsid w:val="045D0BAE"/>
    <w:rsid w:val="046252B1"/>
    <w:rsid w:val="04652C03"/>
    <w:rsid w:val="0467F274"/>
    <w:rsid w:val="04684F65"/>
    <w:rsid w:val="0468DA29"/>
    <w:rsid w:val="0469A8BF"/>
    <w:rsid w:val="04709C2D"/>
    <w:rsid w:val="047237B6"/>
    <w:rsid w:val="0472D3DC"/>
    <w:rsid w:val="04740D33"/>
    <w:rsid w:val="04747592"/>
    <w:rsid w:val="0478890A"/>
    <w:rsid w:val="047ABF7D"/>
    <w:rsid w:val="047AE3CD"/>
    <w:rsid w:val="047AFA25"/>
    <w:rsid w:val="047B22BB"/>
    <w:rsid w:val="047B2801"/>
    <w:rsid w:val="047BEE23"/>
    <w:rsid w:val="047D023E"/>
    <w:rsid w:val="0480027C"/>
    <w:rsid w:val="048058E2"/>
    <w:rsid w:val="0480612E"/>
    <w:rsid w:val="04823DC6"/>
    <w:rsid w:val="04840FE0"/>
    <w:rsid w:val="048720DC"/>
    <w:rsid w:val="04878AA9"/>
    <w:rsid w:val="0487F09D"/>
    <w:rsid w:val="04888C25"/>
    <w:rsid w:val="0489A907"/>
    <w:rsid w:val="048A53FE"/>
    <w:rsid w:val="048B5CE6"/>
    <w:rsid w:val="048BB5D3"/>
    <w:rsid w:val="048DB39E"/>
    <w:rsid w:val="048E38F1"/>
    <w:rsid w:val="048EFC59"/>
    <w:rsid w:val="0490B53F"/>
    <w:rsid w:val="04919F6D"/>
    <w:rsid w:val="0491EB61"/>
    <w:rsid w:val="04931AEE"/>
    <w:rsid w:val="0493DE44"/>
    <w:rsid w:val="0494A442"/>
    <w:rsid w:val="049EC2F9"/>
    <w:rsid w:val="049F93C0"/>
    <w:rsid w:val="04A31676"/>
    <w:rsid w:val="04A482B6"/>
    <w:rsid w:val="04A4A77B"/>
    <w:rsid w:val="04A6F40A"/>
    <w:rsid w:val="04AA055B"/>
    <w:rsid w:val="04AA0C2E"/>
    <w:rsid w:val="04AB3ADF"/>
    <w:rsid w:val="04AC0236"/>
    <w:rsid w:val="04ADBF93"/>
    <w:rsid w:val="04AE12F3"/>
    <w:rsid w:val="04BA4A99"/>
    <w:rsid w:val="04BCB8A9"/>
    <w:rsid w:val="04BF176C"/>
    <w:rsid w:val="04C05535"/>
    <w:rsid w:val="04C083B9"/>
    <w:rsid w:val="04C14B4A"/>
    <w:rsid w:val="04C19193"/>
    <w:rsid w:val="04C206E5"/>
    <w:rsid w:val="04C2A984"/>
    <w:rsid w:val="04CC0CA2"/>
    <w:rsid w:val="04CD6BC8"/>
    <w:rsid w:val="04D0BA54"/>
    <w:rsid w:val="04D12210"/>
    <w:rsid w:val="04D17B7E"/>
    <w:rsid w:val="04D28ACD"/>
    <w:rsid w:val="04D7675D"/>
    <w:rsid w:val="04D81441"/>
    <w:rsid w:val="04DC7EC8"/>
    <w:rsid w:val="04DD76FF"/>
    <w:rsid w:val="04DDC83F"/>
    <w:rsid w:val="04E21A6B"/>
    <w:rsid w:val="04E5F788"/>
    <w:rsid w:val="04E6929C"/>
    <w:rsid w:val="04E88CB5"/>
    <w:rsid w:val="04E982DD"/>
    <w:rsid w:val="04EAC7CC"/>
    <w:rsid w:val="04EB5D1B"/>
    <w:rsid w:val="04EDC4F2"/>
    <w:rsid w:val="04EEE610"/>
    <w:rsid w:val="04F05F2E"/>
    <w:rsid w:val="04F2089A"/>
    <w:rsid w:val="04F30CE1"/>
    <w:rsid w:val="04F70E49"/>
    <w:rsid w:val="04F7CA18"/>
    <w:rsid w:val="04F8B92B"/>
    <w:rsid w:val="04FAA790"/>
    <w:rsid w:val="04FAEFD6"/>
    <w:rsid w:val="04FE533D"/>
    <w:rsid w:val="0502D46C"/>
    <w:rsid w:val="0502EED8"/>
    <w:rsid w:val="05049E1A"/>
    <w:rsid w:val="05059626"/>
    <w:rsid w:val="050754F5"/>
    <w:rsid w:val="05094CCE"/>
    <w:rsid w:val="050A4761"/>
    <w:rsid w:val="050C005E"/>
    <w:rsid w:val="050F168C"/>
    <w:rsid w:val="05114630"/>
    <w:rsid w:val="0511E3FC"/>
    <w:rsid w:val="0513324B"/>
    <w:rsid w:val="0514D503"/>
    <w:rsid w:val="0514D796"/>
    <w:rsid w:val="051524CB"/>
    <w:rsid w:val="05156E30"/>
    <w:rsid w:val="0516477F"/>
    <w:rsid w:val="051DF8D6"/>
    <w:rsid w:val="051F2197"/>
    <w:rsid w:val="05200A9B"/>
    <w:rsid w:val="0520ABF2"/>
    <w:rsid w:val="05221811"/>
    <w:rsid w:val="05276D73"/>
    <w:rsid w:val="0528B933"/>
    <w:rsid w:val="052A1122"/>
    <w:rsid w:val="052C7B4F"/>
    <w:rsid w:val="052D6D1C"/>
    <w:rsid w:val="052FBB98"/>
    <w:rsid w:val="053076D7"/>
    <w:rsid w:val="0530B39A"/>
    <w:rsid w:val="05369304"/>
    <w:rsid w:val="05372DCD"/>
    <w:rsid w:val="0537DC5C"/>
    <w:rsid w:val="0538F33D"/>
    <w:rsid w:val="05397ED9"/>
    <w:rsid w:val="0539C09E"/>
    <w:rsid w:val="053B683C"/>
    <w:rsid w:val="053BF4C4"/>
    <w:rsid w:val="053EE71E"/>
    <w:rsid w:val="05421C1F"/>
    <w:rsid w:val="05429D87"/>
    <w:rsid w:val="0544270B"/>
    <w:rsid w:val="054434EE"/>
    <w:rsid w:val="05446025"/>
    <w:rsid w:val="05446114"/>
    <w:rsid w:val="054496EB"/>
    <w:rsid w:val="0545C299"/>
    <w:rsid w:val="05467D59"/>
    <w:rsid w:val="0549169E"/>
    <w:rsid w:val="0549CA93"/>
    <w:rsid w:val="054AEEA5"/>
    <w:rsid w:val="054B67AF"/>
    <w:rsid w:val="054CAD69"/>
    <w:rsid w:val="054FB052"/>
    <w:rsid w:val="055024A8"/>
    <w:rsid w:val="05502DDD"/>
    <w:rsid w:val="05509586"/>
    <w:rsid w:val="055228B0"/>
    <w:rsid w:val="05532443"/>
    <w:rsid w:val="0554738E"/>
    <w:rsid w:val="05548B79"/>
    <w:rsid w:val="05596B69"/>
    <w:rsid w:val="055ADDD8"/>
    <w:rsid w:val="055B0660"/>
    <w:rsid w:val="055DBC3D"/>
    <w:rsid w:val="055EB366"/>
    <w:rsid w:val="05612774"/>
    <w:rsid w:val="05626B0C"/>
    <w:rsid w:val="0565A30F"/>
    <w:rsid w:val="0565E262"/>
    <w:rsid w:val="056630F2"/>
    <w:rsid w:val="0566CB4E"/>
    <w:rsid w:val="0566D7A3"/>
    <w:rsid w:val="056B66D0"/>
    <w:rsid w:val="056C30BB"/>
    <w:rsid w:val="056D90D2"/>
    <w:rsid w:val="056F0E57"/>
    <w:rsid w:val="056F7C5D"/>
    <w:rsid w:val="056F8A60"/>
    <w:rsid w:val="056FC61F"/>
    <w:rsid w:val="0572AC6E"/>
    <w:rsid w:val="0573A348"/>
    <w:rsid w:val="05762F89"/>
    <w:rsid w:val="057657D5"/>
    <w:rsid w:val="05775A88"/>
    <w:rsid w:val="057A274A"/>
    <w:rsid w:val="057ABD6D"/>
    <w:rsid w:val="057BC1ED"/>
    <w:rsid w:val="057D7668"/>
    <w:rsid w:val="057EF32D"/>
    <w:rsid w:val="057EFC79"/>
    <w:rsid w:val="0580B5C2"/>
    <w:rsid w:val="0582C5EC"/>
    <w:rsid w:val="05851F02"/>
    <w:rsid w:val="058565AB"/>
    <w:rsid w:val="058931A6"/>
    <w:rsid w:val="058D41D0"/>
    <w:rsid w:val="058F3034"/>
    <w:rsid w:val="0590DD5B"/>
    <w:rsid w:val="0590EA75"/>
    <w:rsid w:val="05941B85"/>
    <w:rsid w:val="05982DF1"/>
    <w:rsid w:val="059FDFD9"/>
    <w:rsid w:val="05A0CA8E"/>
    <w:rsid w:val="05A3BDA2"/>
    <w:rsid w:val="05A68470"/>
    <w:rsid w:val="05A7068E"/>
    <w:rsid w:val="05A78FF6"/>
    <w:rsid w:val="05A86937"/>
    <w:rsid w:val="05A8C669"/>
    <w:rsid w:val="05A9FFFE"/>
    <w:rsid w:val="05AB4706"/>
    <w:rsid w:val="05AB80F6"/>
    <w:rsid w:val="05AE75FD"/>
    <w:rsid w:val="05B0076A"/>
    <w:rsid w:val="05B0227F"/>
    <w:rsid w:val="05B1EB20"/>
    <w:rsid w:val="05B4DBEA"/>
    <w:rsid w:val="05B526B3"/>
    <w:rsid w:val="05B6EA25"/>
    <w:rsid w:val="05B91B53"/>
    <w:rsid w:val="05B95F18"/>
    <w:rsid w:val="05BAD3EB"/>
    <w:rsid w:val="05BF2EF3"/>
    <w:rsid w:val="05C070A0"/>
    <w:rsid w:val="05C0D934"/>
    <w:rsid w:val="05C10478"/>
    <w:rsid w:val="05C2F3D6"/>
    <w:rsid w:val="05C438A8"/>
    <w:rsid w:val="05C58B00"/>
    <w:rsid w:val="05C5E48B"/>
    <w:rsid w:val="05C65D30"/>
    <w:rsid w:val="05C8C7FC"/>
    <w:rsid w:val="05C96408"/>
    <w:rsid w:val="05CA54F1"/>
    <w:rsid w:val="05CAEADC"/>
    <w:rsid w:val="05CCB51C"/>
    <w:rsid w:val="05CCEB1E"/>
    <w:rsid w:val="05CD5483"/>
    <w:rsid w:val="05CF9DFE"/>
    <w:rsid w:val="05D1752E"/>
    <w:rsid w:val="05D2682A"/>
    <w:rsid w:val="05D3F591"/>
    <w:rsid w:val="05D49608"/>
    <w:rsid w:val="05D56078"/>
    <w:rsid w:val="05D56C07"/>
    <w:rsid w:val="05D833B2"/>
    <w:rsid w:val="05D8FA42"/>
    <w:rsid w:val="05DA9DA1"/>
    <w:rsid w:val="05DB8F28"/>
    <w:rsid w:val="05DD35B4"/>
    <w:rsid w:val="05E29468"/>
    <w:rsid w:val="05E30B71"/>
    <w:rsid w:val="05E3B8B0"/>
    <w:rsid w:val="05E43A98"/>
    <w:rsid w:val="05E45C19"/>
    <w:rsid w:val="05E4F867"/>
    <w:rsid w:val="05E658C2"/>
    <w:rsid w:val="05E7576B"/>
    <w:rsid w:val="05EE1C6D"/>
    <w:rsid w:val="05EE4DEC"/>
    <w:rsid w:val="05F24685"/>
    <w:rsid w:val="05F4011A"/>
    <w:rsid w:val="05F4B807"/>
    <w:rsid w:val="05F54BC7"/>
    <w:rsid w:val="05F718F3"/>
    <w:rsid w:val="05F75A3D"/>
    <w:rsid w:val="05F77EF3"/>
    <w:rsid w:val="05FA9DF5"/>
    <w:rsid w:val="05FB5A52"/>
    <w:rsid w:val="05FC4731"/>
    <w:rsid w:val="05FC7E31"/>
    <w:rsid w:val="06014737"/>
    <w:rsid w:val="0601D3F6"/>
    <w:rsid w:val="0603E2B7"/>
    <w:rsid w:val="0605708A"/>
    <w:rsid w:val="0606EEF6"/>
    <w:rsid w:val="0607D244"/>
    <w:rsid w:val="06086C50"/>
    <w:rsid w:val="060B82AF"/>
    <w:rsid w:val="060D27C0"/>
    <w:rsid w:val="060DB490"/>
    <w:rsid w:val="060F9F90"/>
    <w:rsid w:val="0610068A"/>
    <w:rsid w:val="06112117"/>
    <w:rsid w:val="06165E21"/>
    <w:rsid w:val="0618F9E7"/>
    <w:rsid w:val="062094B9"/>
    <w:rsid w:val="0624ED7A"/>
    <w:rsid w:val="0626E817"/>
    <w:rsid w:val="0627ECCB"/>
    <w:rsid w:val="0628D081"/>
    <w:rsid w:val="062D21C1"/>
    <w:rsid w:val="062F0449"/>
    <w:rsid w:val="062F73B6"/>
    <w:rsid w:val="06315C5E"/>
    <w:rsid w:val="06331568"/>
    <w:rsid w:val="063380DA"/>
    <w:rsid w:val="0634DDD4"/>
    <w:rsid w:val="06353482"/>
    <w:rsid w:val="0635D3D9"/>
    <w:rsid w:val="0637BAA2"/>
    <w:rsid w:val="063A4118"/>
    <w:rsid w:val="063A6A06"/>
    <w:rsid w:val="063C034A"/>
    <w:rsid w:val="063C7D68"/>
    <w:rsid w:val="063D17F2"/>
    <w:rsid w:val="063D6FD2"/>
    <w:rsid w:val="063E32FC"/>
    <w:rsid w:val="063EA722"/>
    <w:rsid w:val="0642134A"/>
    <w:rsid w:val="06427D16"/>
    <w:rsid w:val="06469F71"/>
    <w:rsid w:val="0646BB23"/>
    <w:rsid w:val="064A1CFE"/>
    <w:rsid w:val="064DA378"/>
    <w:rsid w:val="064E0D0D"/>
    <w:rsid w:val="06506528"/>
    <w:rsid w:val="0656BF9E"/>
    <w:rsid w:val="0658622A"/>
    <w:rsid w:val="06612CCA"/>
    <w:rsid w:val="0662A7BB"/>
    <w:rsid w:val="0662F1E6"/>
    <w:rsid w:val="0663BB2E"/>
    <w:rsid w:val="06674FE9"/>
    <w:rsid w:val="06680363"/>
    <w:rsid w:val="06691F50"/>
    <w:rsid w:val="0669666F"/>
    <w:rsid w:val="066969AD"/>
    <w:rsid w:val="066DF8BD"/>
    <w:rsid w:val="0673C623"/>
    <w:rsid w:val="0678F294"/>
    <w:rsid w:val="067CD185"/>
    <w:rsid w:val="067E2197"/>
    <w:rsid w:val="0681A359"/>
    <w:rsid w:val="0683239B"/>
    <w:rsid w:val="0685FD4A"/>
    <w:rsid w:val="0686B02A"/>
    <w:rsid w:val="068D4E8E"/>
    <w:rsid w:val="069076CB"/>
    <w:rsid w:val="0694639F"/>
    <w:rsid w:val="0694EEC9"/>
    <w:rsid w:val="06964C30"/>
    <w:rsid w:val="06985F22"/>
    <w:rsid w:val="06994E49"/>
    <w:rsid w:val="069A3DFE"/>
    <w:rsid w:val="069A9BB6"/>
    <w:rsid w:val="069CB230"/>
    <w:rsid w:val="069CB851"/>
    <w:rsid w:val="069D5E93"/>
    <w:rsid w:val="069DE75C"/>
    <w:rsid w:val="069E8B55"/>
    <w:rsid w:val="069EF15C"/>
    <w:rsid w:val="06A0A1D5"/>
    <w:rsid w:val="06A177CB"/>
    <w:rsid w:val="06A1E987"/>
    <w:rsid w:val="06A30F7F"/>
    <w:rsid w:val="06A3A056"/>
    <w:rsid w:val="06A49DE4"/>
    <w:rsid w:val="06A5214B"/>
    <w:rsid w:val="06A69C99"/>
    <w:rsid w:val="06AE11EF"/>
    <w:rsid w:val="06B04BE3"/>
    <w:rsid w:val="06B09122"/>
    <w:rsid w:val="06B599E8"/>
    <w:rsid w:val="06B7A1CA"/>
    <w:rsid w:val="06B7ED14"/>
    <w:rsid w:val="06BCF877"/>
    <w:rsid w:val="06BD2A1A"/>
    <w:rsid w:val="06BFD9D6"/>
    <w:rsid w:val="06C23315"/>
    <w:rsid w:val="06C58245"/>
    <w:rsid w:val="06C5DDA4"/>
    <w:rsid w:val="06C851B3"/>
    <w:rsid w:val="06C95230"/>
    <w:rsid w:val="06C959B3"/>
    <w:rsid w:val="06C995F6"/>
    <w:rsid w:val="06CBC494"/>
    <w:rsid w:val="06CCA649"/>
    <w:rsid w:val="06CD51CA"/>
    <w:rsid w:val="06CEC945"/>
    <w:rsid w:val="06CECE89"/>
    <w:rsid w:val="06CF4E87"/>
    <w:rsid w:val="06D08556"/>
    <w:rsid w:val="06D14D73"/>
    <w:rsid w:val="06D3FF0D"/>
    <w:rsid w:val="06D44AB8"/>
    <w:rsid w:val="06D49AC2"/>
    <w:rsid w:val="06D5D13A"/>
    <w:rsid w:val="06D81AD5"/>
    <w:rsid w:val="06D8ED93"/>
    <w:rsid w:val="06DE8849"/>
    <w:rsid w:val="06E200C5"/>
    <w:rsid w:val="06E2699D"/>
    <w:rsid w:val="06E34EF4"/>
    <w:rsid w:val="06E72F93"/>
    <w:rsid w:val="06E8D438"/>
    <w:rsid w:val="06E9503B"/>
    <w:rsid w:val="06ED3BBD"/>
    <w:rsid w:val="06EF564C"/>
    <w:rsid w:val="06F2E27D"/>
    <w:rsid w:val="06F6358D"/>
    <w:rsid w:val="06F6A1F5"/>
    <w:rsid w:val="06F87114"/>
    <w:rsid w:val="06F9F5AD"/>
    <w:rsid w:val="06FC953D"/>
    <w:rsid w:val="06FE2AA6"/>
    <w:rsid w:val="06FF5628"/>
    <w:rsid w:val="06FF8E78"/>
    <w:rsid w:val="0700274B"/>
    <w:rsid w:val="07005DBC"/>
    <w:rsid w:val="07006E87"/>
    <w:rsid w:val="07034E09"/>
    <w:rsid w:val="07037442"/>
    <w:rsid w:val="070894D1"/>
    <w:rsid w:val="070A96D3"/>
    <w:rsid w:val="070BA707"/>
    <w:rsid w:val="070E2F8D"/>
    <w:rsid w:val="070E4402"/>
    <w:rsid w:val="070E80D1"/>
    <w:rsid w:val="07111DE4"/>
    <w:rsid w:val="07139710"/>
    <w:rsid w:val="0713B033"/>
    <w:rsid w:val="0714A47B"/>
    <w:rsid w:val="0714DF86"/>
    <w:rsid w:val="07191B31"/>
    <w:rsid w:val="071FCCFA"/>
    <w:rsid w:val="07208770"/>
    <w:rsid w:val="07225914"/>
    <w:rsid w:val="0723C9C7"/>
    <w:rsid w:val="0725A83B"/>
    <w:rsid w:val="07264AE5"/>
    <w:rsid w:val="0726B918"/>
    <w:rsid w:val="0726EA18"/>
    <w:rsid w:val="07270DAF"/>
    <w:rsid w:val="07282635"/>
    <w:rsid w:val="072A25AE"/>
    <w:rsid w:val="072C8A19"/>
    <w:rsid w:val="072DDD3B"/>
    <w:rsid w:val="072E2D93"/>
    <w:rsid w:val="07311AD6"/>
    <w:rsid w:val="0733B541"/>
    <w:rsid w:val="07341D52"/>
    <w:rsid w:val="07359AA3"/>
    <w:rsid w:val="0736548D"/>
    <w:rsid w:val="07372A9E"/>
    <w:rsid w:val="0737707B"/>
    <w:rsid w:val="07383008"/>
    <w:rsid w:val="073A53E2"/>
    <w:rsid w:val="073E7DFE"/>
    <w:rsid w:val="073F7328"/>
    <w:rsid w:val="0740953C"/>
    <w:rsid w:val="0742278A"/>
    <w:rsid w:val="07429A07"/>
    <w:rsid w:val="0742C07C"/>
    <w:rsid w:val="07440362"/>
    <w:rsid w:val="07458C03"/>
    <w:rsid w:val="07482E70"/>
    <w:rsid w:val="07497FCD"/>
    <w:rsid w:val="074C421A"/>
    <w:rsid w:val="074CC756"/>
    <w:rsid w:val="07507F43"/>
    <w:rsid w:val="0751246F"/>
    <w:rsid w:val="0752A750"/>
    <w:rsid w:val="07547624"/>
    <w:rsid w:val="075613E7"/>
    <w:rsid w:val="075653CB"/>
    <w:rsid w:val="075E3C89"/>
    <w:rsid w:val="075EFAE0"/>
    <w:rsid w:val="0763BFFC"/>
    <w:rsid w:val="0763EFDA"/>
    <w:rsid w:val="0764C034"/>
    <w:rsid w:val="07657CFF"/>
    <w:rsid w:val="076914B6"/>
    <w:rsid w:val="07693454"/>
    <w:rsid w:val="076A7EE6"/>
    <w:rsid w:val="076AF31B"/>
    <w:rsid w:val="076BCCF7"/>
    <w:rsid w:val="07703E3E"/>
    <w:rsid w:val="0771BCED"/>
    <w:rsid w:val="0774E31E"/>
    <w:rsid w:val="07750BA0"/>
    <w:rsid w:val="07785706"/>
    <w:rsid w:val="07792551"/>
    <w:rsid w:val="077AF142"/>
    <w:rsid w:val="077CFD2B"/>
    <w:rsid w:val="07819EAA"/>
    <w:rsid w:val="07825FBE"/>
    <w:rsid w:val="0782B990"/>
    <w:rsid w:val="07883463"/>
    <w:rsid w:val="078B2881"/>
    <w:rsid w:val="078B8FAC"/>
    <w:rsid w:val="078EE583"/>
    <w:rsid w:val="07903070"/>
    <w:rsid w:val="07919489"/>
    <w:rsid w:val="0799711C"/>
    <w:rsid w:val="0799E6ED"/>
    <w:rsid w:val="0799F0B9"/>
    <w:rsid w:val="079AF18B"/>
    <w:rsid w:val="079C90AD"/>
    <w:rsid w:val="079D0E51"/>
    <w:rsid w:val="079E0CB4"/>
    <w:rsid w:val="079EEBFC"/>
    <w:rsid w:val="079F3B7C"/>
    <w:rsid w:val="07A0EF8A"/>
    <w:rsid w:val="07A348E1"/>
    <w:rsid w:val="07A4194D"/>
    <w:rsid w:val="07A4BA33"/>
    <w:rsid w:val="07A4CB8B"/>
    <w:rsid w:val="07A62119"/>
    <w:rsid w:val="07A6F177"/>
    <w:rsid w:val="07A86665"/>
    <w:rsid w:val="07A8F774"/>
    <w:rsid w:val="07A99DD6"/>
    <w:rsid w:val="07AAB2ED"/>
    <w:rsid w:val="07AEB86F"/>
    <w:rsid w:val="07AFBC56"/>
    <w:rsid w:val="07B2B164"/>
    <w:rsid w:val="07B41382"/>
    <w:rsid w:val="07B5522D"/>
    <w:rsid w:val="07B6DC78"/>
    <w:rsid w:val="07B83B3C"/>
    <w:rsid w:val="07B8FA08"/>
    <w:rsid w:val="07B96240"/>
    <w:rsid w:val="07BB0081"/>
    <w:rsid w:val="07BB0C88"/>
    <w:rsid w:val="07BEC5BB"/>
    <w:rsid w:val="07BF77F9"/>
    <w:rsid w:val="07C65ED3"/>
    <w:rsid w:val="07C6A06E"/>
    <w:rsid w:val="07C6A168"/>
    <w:rsid w:val="07C79F34"/>
    <w:rsid w:val="07C8DB44"/>
    <w:rsid w:val="07CBE923"/>
    <w:rsid w:val="07CC324A"/>
    <w:rsid w:val="07CD290C"/>
    <w:rsid w:val="07CF9476"/>
    <w:rsid w:val="07D0C8E8"/>
    <w:rsid w:val="07D0CE6F"/>
    <w:rsid w:val="07D130C8"/>
    <w:rsid w:val="07D20290"/>
    <w:rsid w:val="07D297CC"/>
    <w:rsid w:val="07D36906"/>
    <w:rsid w:val="07D6F0EA"/>
    <w:rsid w:val="07DC014B"/>
    <w:rsid w:val="07DC30EE"/>
    <w:rsid w:val="07E022CC"/>
    <w:rsid w:val="07E2DB7A"/>
    <w:rsid w:val="07E4D7D9"/>
    <w:rsid w:val="07E52B27"/>
    <w:rsid w:val="07E6A517"/>
    <w:rsid w:val="07E6C487"/>
    <w:rsid w:val="07EB5370"/>
    <w:rsid w:val="07ED2E7B"/>
    <w:rsid w:val="07ED7E4F"/>
    <w:rsid w:val="07F0B54B"/>
    <w:rsid w:val="07F0C3A6"/>
    <w:rsid w:val="07F3815B"/>
    <w:rsid w:val="07F64ADE"/>
    <w:rsid w:val="07FAEB64"/>
    <w:rsid w:val="07FCD876"/>
    <w:rsid w:val="07FEA96B"/>
    <w:rsid w:val="07FEB5EB"/>
    <w:rsid w:val="080026A6"/>
    <w:rsid w:val="08007F65"/>
    <w:rsid w:val="0801623C"/>
    <w:rsid w:val="08023B3E"/>
    <w:rsid w:val="0802AC0E"/>
    <w:rsid w:val="080665F2"/>
    <w:rsid w:val="0808EBA9"/>
    <w:rsid w:val="0809C1C2"/>
    <w:rsid w:val="080AF967"/>
    <w:rsid w:val="080B28B5"/>
    <w:rsid w:val="080C0BE5"/>
    <w:rsid w:val="080C25EF"/>
    <w:rsid w:val="080C9961"/>
    <w:rsid w:val="080DED8D"/>
    <w:rsid w:val="080E84A1"/>
    <w:rsid w:val="080E9D2F"/>
    <w:rsid w:val="08125DD7"/>
    <w:rsid w:val="08170779"/>
    <w:rsid w:val="081891DF"/>
    <w:rsid w:val="08195A7B"/>
    <w:rsid w:val="081B6B6E"/>
    <w:rsid w:val="081EC9D6"/>
    <w:rsid w:val="081FCEA8"/>
    <w:rsid w:val="0823A50C"/>
    <w:rsid w:val="0824384F"/>
    <w:rsid w:val="08267160"/>
    <w:rsid w:val="0826D64A"/>
    <w:rsid w:val="0829338E"/>
    <w:rsid w:val="082976DD"/>
    <w:rsid w:val="0829A441"/>
    <w:rsid w:val="082F42E3"/>
    <w:rsid w:val="08343B4D"/>
    <w:rsid w:val="0836E15B"/>
    <w:rsid w:val="0837ACF3"/>
    <w:rsid w:val="0837EF04"/>
    <w:rsid w:val="083A6005"/>
    <w:rsid w:val="083B675A"/>
    <w:rsid w:val="084125FA"/>
    <w:rsid w:val="08429298"/>
    <w:rsid w:val="0843F9DC"/>
    <w:rsid w:val="08458E9D"/>
    <w:rsid w:val="0845CEFE"/>
    <w:rsid w:val="08476731"/>
    <w:rsid w:val="0847EAEF"/>
    <w:rsid w:val="084871E6"/>
    <w:rsid w:val="084CF6D4"/>
    <w:rsid w:val="08501988"/>
    <w:rsid w:val="08524D55"/>
    <w:rsid w:val="08537751"/>
    <w:rsid w:val="08551CF4"/>
    <w:rsid w:val="08567FB8"/>
    <w:rsid w:val="0858D93E"/>
    <w:rsid w:val="08595623"/>
    <w:rsid w:val="085C532C"/>
    <w:rsid w:val="085CDAC5"/>
    <w:rsid w:val="085E3DE6"/>
    <w:rsid w:val="085EB896"/>
    <w:rsid w:val="085F0C81"/>
    <w:rsid w:val="085F4CE4"/>
    <w:rsid w:val="08600D86"/>
    <w:rsid w:val="0861F8EC"/>
    <w:rsid w:val="0862F0F3"/>
    <w:rsid w:val="08633073"/>
    <w:rsid w:val="08640BFE"/>
    <w:rsid w:val="08656222"/>
    <w:rsid w:val="0866A70F"/>
    <w:rsid w:val="0866F6F8"/>
    <w:rsid w:val="0867EF98"/>
    <w:rsid w:val="086A3542"/>
    <w:rsid w:val="086D5DA9"/>
    <w:rsid w:val="086E15B7"/>
    <w:rsid w:val="086FE3B7"/>
    <w:rsid w:val="08705E11"/>
    <w:rsid w:val="08710D92"/>
    <w:rsid w:val="0874CDD1"/>
    <w:rsid w:val="0876FFD4"/>
    <w:rsid w:val="08788EBC"/>
    <w:rsid w:val="087BC44D"/>
    <w:rsid w:val="087CCE13"/>
    <w:rsid w:val="087F3EED"/>
    <w:rsid w:val="08814F2B"/>
    <w:rsid w:val="08825D65"/>
    <w:rsid w:val="0883A3A0"/>
    <w:rsid w:val="0886F724"/>
    <w:rsid w:val="08892FCD"/>
    <w:rsid w:val="08894DC8"/>
    <w:rsid w:val="088B69C0"/>
    <w:rsid w:val="088E272B"/>
    <w:rsid w:val="0890FA45"/>
    <w:rsid w:val="08910A04"/>
    <w:rsid w:val="0893B945"/>
    <w:rsid w:val="08953F98"/>
    <w:rsid w:val="08962BE6"/>
    <w:rsid w:val="089662AF"/>
    <w:rsid w:val="0899AF76"/>
    <w:rsid w:val="0899C4B9"/>
    <w:rsid w:val="089B13A4"/>
    <w:rsid w:val="089D8D66"/>
    <w:rsid w:val="089DBBE8"/>
    <w:rsid w:val="089F4C71"/>
    <w:rsid w:val="08A02829"/>
    <w:rsid w:val="08A1D4E3"/>
    <w:rsid w:val="08A42283"/>
    <w:rsid w:val="08A47CD2"/>
    <w:rsid w:val="08A4E774"/>
    <w:rsid w:val="08AC0838"/>
    <w:rsid w:val="08AD6096"/>
    <w:rsid w:val="08AE2499"/>
    <w:rsid w:val="08AEC23A"/>
    <w:rsid w:val="08B1DA4F"/>
    <w:rsid w:val="08B23715"/>
    <w:rsid w:val="08B2531C"/>
    <w:rsid w:val="08B32E06"/>
    <w:rsid w:val="08B33B15"/>
    <w:rsid w:val="08B3C5E9"/>
    <w:rsid w:val="08B45369"/>
    <w:rsid w:val="08B94675"/>
    <w:rsid w:val="08BAD4AB"/>
    <w:rsid w:val="08BD807B"/>
    <w:rsid w:val="08BE4ADE"/>
    <w:rsid w:val="08C44CBC"/>
    <w:rsid w:val="08C55364"/>
    <w:rsid w:val="08C5D54F"/>
    <w:rsid w:val="08CA0A52"/>
    <w:rsid w:val="08CB6A13"/>
    <w:rsid w:val="08CB8A94"/>
    <w:rsid w:val="08CBAEB5"/>
    <w:rsid w:val="08D47110"/>
    <w:rsid w:val="08D48C21"/>
    <w:rsid w:val="08D65A49"/>
    <w:rsid w:val="08DA6A4C"/>
    <w:rsid w:val="08DB9971"/>
    <w:rsid w:val="08DC193A"/>
    <w:rsid w:val="08E1C811"/>
    <w:rsid w:val="08E3C754"/>
    <w:rsid w:val="08E63ED6"/>
    <w:rsid w:val="08E9C8EE"/>
    <w:rsid w:val="08EC6E22"/>
    <w:rsid w:val="08EC74CE"/>
    <w:rsid w:val="08ECD8F0"/>
    <w:rsid w:val="08ECFC79"/>
    <w:rsid w:val="08EE388E"/>
    <w:rsid w:val="08F47884"/>
    <w:rsid w:val="08F59687"/>
    <w:rsid w:val="08F776CD"/>
    <w:rsid w:val="08F7E15D"/>
    <w:rsid w:val="08F8989A"/>
    <w:rsid w:val="08FA8031"/>
    <w:rsid w:val="08FB8CAF"/>
    <w:rsid w:val="08FC4C7A"/>
    <w:rsid w:val="08FC4FF1"/>
    <w:rsid w:val="08FC9689"/>
    <w:rsid w:val="08FD8414"/>
    <w:rsid w:val="08FE6976"/>
    <w:rsid w:val="08FF5541"/>
    <w:rsid w:val="090091AB"/>
    <w:rsid w:val="090309BC"/>
    <w:rsid w:val="0903C025"/>
    <w:rsid w:val="0903DDC1"/>
    <w:rsid w:val="09041E3B"/>
    <w:rsid w:val="09042F18"/>
    <w:rsid w:val="09044117"/>
    <w:rsid w:val="09057FCD"/>
    <w:rsid w:val="09061E42"/>
    <w:rsid w:val="0906B225"/>
    <w:rsid w:val="0907991D"/>
    <w:rsid w:val="090A87D6"/>
    <w:rsid w:val="090C8203"/>
    <w:rsid w:val="090FFAE7"/>
    <w:rsid w:val="091094DA"/>
    <w:rsid w:val="0910E8EA"/>
    <w:rsid w:val="0911FD1D"/>
    <w:rsid w:val="0914F65E"/>
    <w:rsid w:val="09155E61"/>
    <w:rsid w:val="09158E56"/>
    <w:rsid w:val="091FBF07"/>
    <w:rsid w:val="0920372B"/>
    <w:rsid w:val="0921C4FE"/>
    <w:rsid w:val="0923DBB3"/>
    <w:rsid w:val="092611FC"/>
    <w:rsid w:val="09291850"/>
    <w:rsid w:val="09296494"/>
    <w:rsid w:val="0929B158"/>
    <w:rsid w:val="092C11E3"/>
    <w:rsid w:val="092CF8C3"/>
    <w:rsid w:val="0930A842"/>
    <w:rsid w:val="09310F96"/>
    <w:rsid w:val="09322D84"/>
    <w:rsid w:val="09360896"/>
    <w:rsid w:val="09368477"/>
    <w:rsid w:val="093883C4"/>
    <w:rsid w:val="0939496E"/>
    <w:rsid w:val="0939E0D4"/>
    <w:rsid w:val="093DC06B"/>
    <w:rsid w:val="09416B65"/>
    <w:rsid w:val="09429EA5"/>
    <w:rsid w:val="0942A242"/>
    <w:rsid w:val="09433464"/>
    <w:rsid w:val="094479E9"/>
    <w:rsid w:val="0944D8F7"/>
    <w:rsid w:val="09469E00"/>
    <w:rsid w:val="09488E3B"/>
    <w:rsid w:val="094C5E5F"/>
    <w:rsid w:val="094C8B33"/>
    <w:rsid w:val="094FC560"/>
    <w:rsid w:val="0951138D"/>
    <w:rsid w:val="095413AE"/>
    <w:rsid w:val="0955656B"/>
    <w:rsid w:val="095807DD"/>
    <w:rsid w:val="095C1F1F"/>
    <w:rsid w:val="095C75AE"/>
    <w:rsid w:val="095D218D"/>
    <w:rsid w:val="095DEA82"/>
    <w:rsid w:val="096189E9"/>
    <w:rsid w:val="0961BE41"/>
    <w:rsid w:val="0964B368"/>
    <w:rsid w:val="09659079"/>
    <w:rsid w:val="0966853E"/>
    <w:rsid w:val="0967BA71"/>
    <w:rsid w:val="0968AE25"/>
    <w:rsid w:val="096A0A19"/>
    <w:rsid w:val="096B1CDE"/>
    <w:rsid w:val="096BB5EF"/>
    <w:rsid w:val="096D8610"/>
    <w:rsid w:val="09723310"/>
    <w:rsid w:val="0972FBAB"/>
    <w:rsid w:val="0974B1C0"/>
    <w:rsid w:val="0977A84D"/>
    <w:rsid w:val="09791A61"/>
    <w:rsid w:val="097A73E1"/>
    <w:rsid w:val="097ABF40"/>
    <w:rsid w:val="097BD0F4"/>
    <w:rsid w:val="097C5D8D"/>
    <w:rsid w:val="097E8ECE"/>
    <w:rsid w:val="097E9DF7"/>
    <w:rsid w:val="097EF37F"/>
    <w:rsid w:val="09825D05"/>
    <w:rsid w:val="0982BC20"/>
    <w:rsid w:val="0983D39E"/>
    <w:rsid w:val="098482DF"/>
    <w:rsid w:val="098562F3"/>
    <w:rsid w:val="09871B3E"/>
    <w:rsid w:val="098786DA"/>
    <w:rsid w:val="0989EF62"/>
    <w:rsid w:val="098A58A7"/>
    <w:rsid w:val="098C0F16"/>
    <w:rsid w:val="098F9DE5"/>
    <w:rsid w:val="09901C84"/>
    <w:rsid w:val="0990653C"/>
    <w:rsid w:val="09927576"/>
    <w:rsid w:val="0992E35C"/>
    <w:rsid w:val="0993FB20"/>
    <w:rsid w:val="0994AC3F"/>
    <w:rsid w:val="0995C1C8"/>
    <w:rsid w:val="0995DF94"/>
    <w:rsid w:val="09960E6F"/>
    <w:rsid w:val="099753CB"/>
    <w:rsid w:val="09982911"/>
    <w:rsid w:val="099854AC"/>
    <w:rsid w:val="09989B1D"/>
    <w:rsid w:val="099D9D0D"/>
    <w:rsid w:val="099F6F9F"/>
    <w:rsid w:val="09A09954"/>
    <w:rsid w:val="09A0B2FB"/>
    <w:rsid w:val="09A1E71B"/>
    <w:rsid w:val="09A1F6E0"/>
    <w:rsid w:val="09A35388"/>
    <w:rsid w:val="09A63C4E"/>
    <w:rsid w:val="09A69839"/>
    <w:rsid w:val="09A71FE2"/>
    <w:rsid w:val="09A7FFF8"/>
    <w:rsid w:val="09ACE9E2"/>
    <w:rsid w:val="09AD44E0"/>
    <w:rsid w:val="09ADC7FA"/>
    <w:rsid w:val="09AF542C"/>
    <w:rsid w:val="09B01566"/>
    <w:rsid w:val="09B02D8D"/>
    <w:rsid w:val="09B1231E"/>
    <w:rsid w:val="09B2B6BE"/>
    <w:rsid w:val="09B4B75C"/>
    <w:rsid w:val="09B78241"/>
    <w:rsid w:val="09B89CDF"/>
    <w:rsid w:val="09BE0311"/>
    <w:rsid w:val="09C13E24"/>
    <w:rsid w:val="09C2679D"/>
    <w:rsid w:val="09C30DB3"/>
    <w:rsid w:val="09C67787"/>
    <w:rsid w:val="09C6A598"/>
    <w:rsid w:val="09C788A7"/>
    <w:rsid w:val="09CB2CD3"/>
    <w:rsid w:val="09D0A32D"/>
    <w:rsid w:val="09D1DA08"/>
    <w:rsid w:val="09D4F598"/>
    <w:rsid w:val="09D5D0DF"/>
    <w:rsid w:val="09D9EEB1"/>
    <w:rsid w:val="09DB67E8"/>
    <w:rsid w:val="09DBBC18"/>
    <w:rsid w:val="09DE5FEE"/>
    <w:rsid w:val="09DE6A6E"/>
    <w:rsid w:val="09E03609"/>
    <w:rsid w:val="09E0E304"/>
    <w:rsid w:val="09E471C2"/>
    <w:rsid w:val="09E6D070"/>
    <w:rsid w:val="09E76295"/>
    <w:rsid w:val="09E8708F"/>
    <w:rsid w:val="09E95DD0"/>
    <w:rsid w:val="09EBF3C9"/>
    <w:rsid w:val="09EBF603"/>
    <w:rsid w:val="09EE4A5F"/>
    <w:rsid w:val="09EE4EA4"/>
    <w:rsid w:val="09F12BED"/>
    <w:rsid w:val="09F2EF56"/>
    <w:rsid w:val="09F418BF"/>
    <w:rsid w:val="09F43FF9"/>
    <w:rsid w:val="09F5EB06"/>
    <w:rsid w:val="09F7AC9C"/>
    <w:rsid w:val="09F938E0"/>
    <w:rsid w:val="09F95B27"/>
    <w:rsid w:val="09FADAD5"/>
    <w:rsid w:val="09FE72DD"/>
    <w:rsid w:val="09FF5A9C"/>
    <w:rsid w:val="0A0241B8"/>
    <w:rsid w:val="0A02FB15"/>
    <w:rsid w:val="0A0371C5"/>
    <w:rsid w:val="0A0396F1"/>
    <w:rsid w:val="0A0465C4"/>
    <w:rsid w:val="0A05DB45"/>
    <w:rsid w:val="0A061D95"/>
    <w:rsid w:val="0A068E3D"/>
    <w:rsid w:val="0A07D0E5"/>
    <w:rsid w:val="0A0ACF1D"/>
    <w:rsid w:val="0A0AE689"/>
    <w:rsid w:val="0A0E3FF0"/>
    <w:rsid w:val="0A1109F2"/>
    <w:rsid w:val="0A114035"/>
    <w:rsid w:val="0A1177A2"/>
    <w:rsid w:val="0A11B4F1"/>
    <w:rsid w:val="0A13EF7D"/>
    <w:rsid w:val="0A16B657"/>
    <w:rsid w:val="0A16D8E3"/>
    <w:rsid w:val="0A174559"/>
    <w:rsid w:val="0A177643"/>
    <w:rsid w:val="0A17B3DE"/>
    <w:rsid w:val="0A1803E9"/>
    <w:rsid w:val="0A18C623"/>
    <w:rsid w:val="0A1DDDB1"/>
    <w:rsid w:val="0A1E967F"/>
    <w:rsid w:val="0A1EE5A5"/>
    <w:rsid w:val="0A1F6639"/>
    <w:rsid w:val="0A21EA8D"/>
    <w:rsid w:val="0A22CDCF"/>
    <w:rsid w:val="0A22F1BA"/>
    <w:rsid w:val="0A2421A6"/>
    <w:rsid w:val="0A2487D8"/>
    <w:rsid w:val="0A265501"/>
    <w:rsid w:val="0A2D559E"/>
    <w:rsid w:val="0A32D9F6"/>
    <w:rsid w:val="0A32FCF7"/>
    <w:rsid w:val="0A340AF9"/>
    <w:rsid w:val="0A359D9E"/>
    <w:rsid w:val="0A382E2A"/>
    <w:rsid w:val="0A392EC4"/>
    <w:rsid w:val="0A396080"/>
    <w:rsid w:val="0A40F418"/>
    <w:rsid w:val="0A44F48B"/>
    <w:rsid w:val="0A45C76B"/>
    <w:rsid w:val="0A468317"/>
    <w:rsid w:val="0A46C5E8"/>
    <w:rsid w:val="0A47A753"/>
    <w:rsid w:val="0A47C34C"/>
    <w:rsid w:val="0A4AA193"/>
    <w:rsid w:val="0A4BF4DA"/>
    <w:rsid w:val="0A541E3B"/>
    <w:rsid w:val="0A5537AA"/>
    <w:rsid w:val="0A557AF1"/>
    <w:rsid w:val="0A560D5E"/>
    <w:rsid w:val="0A59DF80"/>
    <w:rsid w:val="0A5A558E"/>
    <w:rsid w:val="0A5AB2F5"/>
    <w:rsid w:val="0A5FE5D2"/>
    <w:rsid w:val="0A5FEDFA"/>
    <w:rsid w:val="0A61A5B0"/>
    <w:rsid w:val="0A680C6B"/>
    <w:rsid w:val="0A6D19A5"/>
    <w:rsid w:val="0A6DD0CA"/>
    <w:rsid w:val="0A6E3F1C"/>
    <w:rsid w:val="0A70E97F"/>
    <w:rsid w:val="0A7ADF4C"/>
    <w:rsid w:val="0A7AFEC9"/>
    <w:rsid w:val="0A7D2697"/>
    <w:rsid w:val="0A7DDA1B"/>
    <w:rsid w:val="0A7E57C7"/>
    <w:rsid w:val="0A7EBE25"/>
    <w:rsid w:val="0A847F2C"/>
    <w:rsid w:val="0A85396F"/>
    <w:rsid w:val="0A85CACB"/>
    <w:rsid w:val="0A85E78E"/>
    <w:rsid w:val="0A88DA99"/>
    <w:rsid w:val="0A88F857"/>
    <w:rsid w:val="0A89C331"/>
    <w:rsid w:val="0A8E3657"/>
    <w:rsid w:val="0A8E8EE7"/>
    <w:rsid w:val="0A9063CD"/>
    <w:rsid w:val="0A9674A2"/>
    <w:rsid w:val="0A9A7CFB"/>
    <w:rsid w:val="0A9B5B82"/>
    <w:rsid w:val="0A9BF4AE"/>
    <w:rsid w:val="0AA2A619"/>
    <w:rsid w:val="0AA65952"/>
    <w:rsid w:val="0AA6ECD1"/>
    <w:rsid w:val="0AA795C6"/>
    <w:rsid w:val="0AA7D489"/>
    <w:rsid w:val="0AA7F22C"/>
    <w:rsid w:val="0AA88376"/>
    <w:rsid w:val="0AA94B6E"/>
    <w:rsid w:val="0AAB2D7D"/>
    <w:rsid w:val="0AAF4815"/>
    <w:rsid w:val="0AB08F39"/>
    <w:rsid w:val="0AB3C0F2"/>
    <w:rsid w:val="0AB3D9E7"/>
    <w:rsid w:val="0AB8A55C"/>
    <w:rsid w:val="0AB9D5D3"/>
    <w:rsid w:val="0ABA767C"/>
    <w:rsid w:val="0ABD2CB3"/>
    <w:rsid w:val="0ABD5903"/>
    <w:rsid w:val="0ABE5186"/>
    <w:rsid w:val="0AC574A0"/>
    <w:rsid w:val="0AC6B834"/>
    <w:rsid w:val="0AC6C951"/>
    <w:rsid w:val="0AC7E28A"/>
    <w:rsid w:val="0AC88715"/>
    <w:rsid w:val="0AC95713"/>
    <w:rsid w:val="0AC9BF46"/>
    <w:rsid w:val="0ACA2656"/>
    <w:rsid w:val="0ACBB3EA"/>
    <w:rsid w:val="0ACBDD2D"/>
    <w:rsid w:val="0ACD93BE"/>
    <w:rsid w:val="0AD4C25D"/>
    <w:rsid w:val="0AD9A45F"/>
    <w:rsid w:val="0ADA78A0"/>
    <w:rsid w:val="0ADCA0E1"/>
    <w:rsid w:val="0ADD7ADC"/>
    <w:rsid w:val="0ADEB68A"/>
    <w:rsid w:val="0ADF4B58"/>
    <w:rsid w:val="0ADF5E8B"/>
    <w:rsid w:val="0AE05A0B"/>
    <w:rsid w:val="0AE14027"/>
    <w:rsid w:val="0AE163AE"/>
    <w:rsid w:val="0AE1F18E"/>
    <w:rsid w:val="0AE26415"/>
    <w:rsid w:val="0AE35F62"/>
    <w:rsid w:val="0AE5B15F"/>
    <w:rsid w:val="0AE8C5DA"/>
    <w:rsid w:val="0AE8FE16"/>
    <w:rsid w:val="0AEAE394"/>
    <w:rsid w:val="0AEAEC29"/>
    <w:rsid w:val="0AED1833"/>
    <w:rsid w:val="0AED814B"/>
    <w:rsid w:val="0AED9824"/>
    <w:rsid w:val="0AF0F4B5"/>
    <w:rsid w:val="0AF1B9FB"/>
    <w:rsid w:val="0AF41F4D"/>
    <w:rsid w:val="0AF47ED5"/>
    <w:rsid w:val="0AF6BCF3"/>
    <w:rsid w:val="0AF725B8"/>
    <w:rsid w:val="0AF9A699"/>
    <w:rsid w:val="0AFC21E4"/>
    <w:rsid w:val="0AFE9DB8"/>
    <w:rsid w:val="0AFF6F9E"/>
    <w:rsid w:val="0B0131A9"/>
    <w:rsid w:val="0B05F8BE"/>
    <w:rsid w:val="0B065FF4"/>
    <w:rsid w:val="0B099548"/>
    <w:rsid w:val="0B0D0E20"/>
    <w:rsid w:val="0B0DD727"/>
    <w:rsid w:val="0B0ED44B"/>
    <w:rsid w:val="0B0FC2F7"/>
    <w:rsid w:val="0B14DF33"/>
    <w:rsid w:val="0B176583"/>
    <w:rsid w:val="0B1D7AFB"/>
    <w:rsid w:val="0B1F8B95"/>
    <w:rsid w:val="0B202D8F"/>
    <w:rsid w:val="0B204509"/>
    <w:rsid w:val="0B21897C"/>
    <w:rsid w:val="0B26ED21"/>
    <w:rsid w:val="0B2CB3EA"/>
    <w:rsid w:val="0B2E1B3B"/>
    <w:rsid w:val="0B305CEE"/>
    <w:rsid w:val="0B313821"/>
    <w:rsid w:val="0B319C84"/>
    <w:rsid w:val="0B338E5F"/>
    <w:rsid w:val="0B36B2CB"/>
    <w:rsid w:val="0B370E69"/>
    <w:rsid w:val="0B381827"/>
    <w:rsid w:val="0B390C02"/>
    <w:rsid w:val="0B394287"/>
    <w:rsid w:val="0B3A002D"/>
    <w:rsid w:val="0B3B0A8B"/>
    <w:rsid w:val="0B3B4511"/>
    <w:rsid w:val="0B3C0FDC"/>
    <w:rsid w:val="0B3E01D2"/>
    <w:rsid w:val="0B3E0D34"/>
    <w:rsid w:val="0B440DB0"/>
    <w:rsid w:val="0B443FAD"/>
    <w:rsid w:val="0B463B48"/>
    <w:rsid w:val="0B471869"/>
    <w:rsid w:val="0B487C69"/>
    <w:rsid w:val="0B493CAF"/>
    <w:rsid w:val="0B49B5B8"/>
    <w:rsid w:val="0B4C9F84"/>
    <w:rsid w:val="0B509D77"/>
    <w:rsid w:val="0B569EC5"/>
    <w:rsid w:val="0B594F83"/>
    <w:rsid w:val="0B5D2FA6"/>
    <w:rsid w:val="0B5D988C"/>
    <w:rsid w:val="0B5E36D8"/>
    <w:rsid w:val="0B5E6177"/>
    <w:rsid w:val="0B5F16D7"/>
    <w:rsid w:val="0B617F4D"/>
    <w:rsid w:val="0B61BEBD"/>
    <w:rsid w:val="0B62EAA7"/>
    <w:rsid w:val="0B62F19D"/>
    <w:rsid w:val="0B649AED"/>
    <w:rsid w:val="0B66FCFD"/>
    <w:rsid w:val="0B676015"/>
    <w:rsid w:val="0B677293"/>
    <w:rsid w:val="0B67E3E3"/>
    <w:rsid w:val="0B68BF28"/>
    <w:rsid w:val="0B694A7C"/>
    <w:rsid w:val="0B6B868E"/>
    <w:rsid w:val="0B6B94A1"/>
    <w:rsid w:val="0B6EB2C9"/>
    <w:rsid w:val="0B6EF040"/>
    <w:rsid w:val="0B70C3FA"/>
    <w:rsid w:val="0B712214"/>
    <w:rsid w:val="0B724FE1"/>
    <w:rsid w:val="0B741938"/>
    <w:rsid w:val="0B74BBB0"/>
    <w:rsid w:val="0B7632CD"/>
    <w:rsid w:val="0B774DA6"/>
    <w:rsid w:val="0B77C2DD"/>
    <w:rsid w:val="0B7A8600"/>
    <w:rsid w:val="0B7ED14F"/>
    <w:rsid w:val="0B7F6EF9"/>
    <w:rsid w:val="0B7FBF73"/>
    <w:rsid w:val="0B8074E9"/>
    <w:rsid w:val="0B808FE6"/>
    <w:rsid w:val="0B8CB7E3"/>
    <w:rsid w:val="0B93AFCF"/>
    <w:rsid w:val="0B948392"/>
    <w:rsid w:val="0B95078F"/>
    <w:rsid w:val="0B984702"/>
    <w:rsid w:val="0B990B7A"/>
    <w:rsid w:val="0B9A0A66"/>
    <w:rsid w:val="0B9A8979"/>
    <w:rsid w:val="0B9A920A"/>
    <w:rsid w:val="0B9B11B4"/>
    <w:rsid w:val="0BA05515"/>
    <w:rsid w:val="0BA19AEC"/>
    <w:rsid w:val="0BA588A4"/>
    <w:rsid w:val="0BA61FD5"/>
    <w:rsid w:val="0BA6A814"/>
    <w:rsid w:val="0BA86493"/>
    <w:rsid w:val="0BA8ECE4"/>
    <w:rsid w:val="0BA92FD6"/>
    <w:rsid w:val="0BAA02A7"/>
    <w:rsid w:val="0BAB0CD0"/>
    <w:rsid w:val="0BACAC65"/>
    <w:rsid w:val="0BADF195"/>
    <w:rsid w:val="0BAEA2A8"/>
    <w:rsid w:val="0BB100B0"/>
    <w:rsid w:val="0BB18F26"/>
    <w:rsid w:val="0BB36489"/>
    <w:rsid w:val="0BB84797"/>
    <w:rsid w:val="0BB977BB"/>
    <w:rsid w:val="0BB97B2B"/>
    <w:rsid w:val="0BBB7FEE"/>
    <w:rsid w:val="0BBFB363"/>
    <w:rsid w:val="0BC2D5B2"/>
    <w:rsid w:val="0BC63333"/>
    <w:rsid w:val="0BC64669"/>
    <w:rsid w:val="0BC68266"/>
    <w:rsid w:val="0BC7F88F"/>
    <w:rsid w:val="0BC899DA"/>
    <w:rsid w:val="0BC8F204"/>
    <w:rsid w:val="0BCA2F3E"/>
    <w:rsid w:val="0BCD3D4E"/>
    <w:rsid w:val="0BCEE36C"/>
    <w:rsid w:val="0BCFC511"/>
    <w:rsid w:val="0BD08168"/>
    <w:rsid w:val="0BD105B1"/>
    <w:rsid w:val="0BD259D5"/>
    <w:rsid w:val="0BD6665E"/>
    <w:rsid w:val="0BD88F3C"/>
    <w:rsid w:val="0BDA2A70"/>
    <w:rsid w:val="0BDA4F25"/>
    <w:rsid w:val="0BDB1C95"/>
    <w:rsid w:val="0BDB2BE3"/>
    <w:rsid w:val="0BDB5E6E"/>
    <w:rsid w:val="0BDCDB20"/>
    <w:rsid w:val="0BDD7BF6"/>
    <w:rsid w:val="0BDDCA82"/>
    <w:rsid w:val="0BDEEEE4"/>
    <w:rsid w:val="0BDFA6DA"/>
    <w:rsid w:val="0BE18193"/>
    <w:rsid w:val="0BE27F6E"/>
    <w:rsid w:val="0BE48DD7"/>
    <w:rsid w:val="0BE7A434"/>
    <w:rsid w:val="0BE8EE04"/>
    <w:rsid w:val="0BE94FDF"/>
    <w:rsid w:val="0BE953FD"/>
    <w:rsid w:val="0BE9D32A"/>
    <w:rsid w:val="0BEAC750"/>
    <w:rsid w:val="0BF0EFFA"/>
    <w:rsid w:val="0BF215AD"/>
    <w:rsid w:val="0BF3A2F4"/>
    <w:rsid w:val="0BFB4D70"/>
    <w:rsid w:val="0BFBB0B7"/>
    <w:rsid w:val="0BFC9262"/>
    <w:rsid w:val="0BFF6937"/>
    <w:rsid w:val="0C06CEE0"/>
    <w:rsid w:val="0C097738"/>
    <w:rsid w:val="0C0A87DC"/>
    <w:rsid w:val="0C0B3438"/>
    <w:rsid w:val="0C0CB9FB"/>
    <w:rsid w:val="0C0D5FFF"/>
    <w:rsid w:val="0C109844"/>
    <w:rsid w:val="0C118F93"/>
    <w:rsid w:val="0C11CD6A"/>
    <w:rsid w:val="0C1765F8"/>
    <w:rsid w:val="0C1C61A9"/>
    <w:rsid w:val="0C1D44D5"/>
    <w:rsid w:val="0C2198A0"/>
    <w:rsid w:val="0C25FF04"/>
    <w:rsid w:val="0C26E2B5"/>
    <w:rsid w:val="0C289A22"/>
    <w:rsid w:val="0C2A2A0C"/>
    <w:rsid w:val="0C2AF0D3"/>
    <w:rsid w:val="0C2AF4E0"/>
    <w:rsid w:val="0C2CEDF4"/>
    <w:rsid w:val="0C2E3322"/>
    <w:rsid w:val="0C30F9BF"/>
    <w:rsid w:val="0C30FF1C"/>
    <w:rsid w:val="0C3259C2"/>
    <w:rsid w:val="0C3294E9"/>
    <w:rsid w:val="0C3321ED"/>
    <w:rsid w:val="0C3348BB"/>
    <w:rsid w:val="0C36B507"/>
    <w:rsid w:val="0C37A80E"/>
    <w:rsid w:val="0C38524F"/>
    <w:rsid w:val="0C3A442B"/>
    <w:rsid w:val="0C3A4F1F"/>
    <w:rsid w:val="0C3B9895"/>
    <w:rsid w:val="0C3D29A3"/>
    <w:rsid w:val="0C3DEE40"/>
    <w:rsid w:val="0C3E7241"/>
    <w:rsid w:val="0C40D079"/>
    <w:rsid w:val="0C42B658"/>
    <w:rsid w:val="0C458AB5"/>
    <w:rsid w:val="0C465400"/>
    <w:rsid w:val="0C490A43"/>
    <w:rsid w:val="0C49E55C"/>
    <w:rsid w:val="0C4A5BBC"/>
    <w:rsid w:val="0C4ADDD0"/>
    <w:rsid w:val="0C4E238C"/>
    <w:rsid w:val="0C4E79E7"/>
    <w:rsid w:val="0C4F4E25"/>
    <w:rsid w:val="0C525DE6"/>
    <w:rsid w:val="0C56F28D"/>
    <w:rsid w:val="0C5712B7"/>
    <w:rsid w:val="0C57174D"/>
    <w:rsid w:val="0C57C909"/>
    <w:rsid w:val="0C58F784"/>
    <w:rsid w:val="0C5A2C68"/>
    <w:rsid w:val="0C5CC679"/>
    <w:rsid w:val="0C5D4FDE"/>
    <w:rsid w:val="0C5D85B3"/>
    <w:rsid w:val="0C5EE31C"/>
    <w:rsid w:val="0C5F5FEE"/>
    <w:rsid w:val="0C62FB16"/>
    <w:rsid w:val="0C652F5A"/>
    <w:rsid w:val="0C68A71F"/>
    <w:rsid w:val="0C698E71"/>
    <w:rsid w:val="0C6AF1DF"/>
    <w:rsid w:val="0C6D6118"/>
    <w:rsid w:val="0C6EC74B"/>
    <w:rsid w:val="0C70161F"/>
    <w:rsid w:val="0C744C1D"/>
    <w:rsid w:val="0C749286"/>
    <w:rsid w:val="0C7534D7"/>
    <w:rsid w:val="0C756180"/>
    <w:rsid w:val="0C78BA73"/>
    <w:rsid w:val="0C792703"/>
    <w:rsid w:val="0C7F54D8"/>
    <w:rsid w:val="0C80DA6D"/>
    <w:rsid w:val="0C81C8D3"/>
    <w:rsid w:val="0C84B97C"/>
    <w:rsid w:val="0C856520"/>
    <w:rsid w:val="0C868E20"/>
    <w:rsid w:val="0C87FC87"/>
    <w:rsid w:val="0C884920"/>
    <w:rsid w:val="0C8A9CAF"/>
    <w:rsid w:val="0C8B5581"/>
    <w:rsid w:val="0C8D95C9"/>
    <w:rsid w:val="0C8E3CEA"/>
    <w:rsid w:val="0C928D6B"/>
    <w:rsid w:val="0C93FD85"/>
    <w:rsid w:val="0C96B742"/>
    <w:rsid w:val="0C976F35"/>
    <w:rsid w:val="0C9AF8D2"/>
    <w:rsid w:val="0C9CC0C8"/>
    <w:rsid w:val="0CA15274"/>
    <w:rsid w:val="0CA1527E"/>
    <w:rsid w:val="0CA49C0B"/>
    <w:rsid w:val="0CA4F94E"/>
    <w:rsid w:val="0CA60060"/>
    <w:rsid w:val="0CA65CA0"/>
    <w:rsid w:val="0CA6A8F4"/>
    <w:rsid w:val="0CA77EE4"/>
    <w:rsid w:val="0CA960CD"/>
    <w:rsid w:val="0CAAA9EE"/>
    <w:rsid w:val="0CAB2807"/>
    <w:rsid w:val="0CADAC53"/>
    <w:rsid w:val="0CAE587C"/>
    <w:rsid w:val="0CB01021"/>
    <w:rsid w:val="0CB03272"/>
    <w:rsid w:val="0CB10C52"/>
    <w:rsid w:val="0CB19B1A"/>
    <w:rsid w:val="0CB1BE74"/>
    <w:rsid w:val="0CB540EA"/>
    <w:rsid w:val="0CB639B2"/>
    <w:rsid w:val="0CB64945"/>
    <w:rsid w:val="0CB95C51"/>
    <w:rsid w:val="0CBA0E00"/>
    <w:rsid w:val="0CBC8B12"/>
    <w:rsid w:val="0CBCDBF7"/>
    <w:rsid w:val="0CBE5CDB"/>
    <w:rsid w:val="0CBF5FF7"/>
    <w:rsid w:val="0CC090A0"/>
    <w:rsid w:val="0CC3C815"/>
    <w:rsid w:val="0CC3C949"/>
    <w:rsid w:val="0CC42971"/>
    <w:rsid w:val="0CC5555C"/>
    <w:rsid w:val="0CC76CA8"/>
    <w:rsid w:val="0CCA3D66"/>
    <w:rsid w:val="0CCCD4A4"/>
    <w:rsid w:val="0CCD65BE"/>
    <w:rsid w:val="0CCD7C20"/>
    <w:rsid w:val="0CD19853"/>
    <w:rsid w:val="0CD1BCD9"/>
    <w:rsid w:val="0CD52888"/>
    <w:rsid w:val="0CD58DD9"/>
    <w:rsid w:val="0CD5F06D"/>
    <w:rsid w:val="0CD946E0"/>
    <w:rsid w:val="0CDAEDF3"/>
    <w:rsid w:val="0CDCDD3E"/>
    <w:rsid w:val="0CDF4838"/>
    <w:rsid w:val="0CE0AF4E"/>
    <w:rsid w:val="0CE149F3"/>
    <w:rsid w:val="0CE2E652"/>
    <w:rsid w:val="0CE3F428"/>
    <w:rsid w:val="0CE94611"/>
    <w:rsid w:val="0CE9E554"/>
    <w:rsid w:val="0CEC944B"/>
    <w:rsid w:val="0CECCFBC"/>
    <w:rsid w:val="0CF55BC1"/>
    <w:rsid w:val="0CF5B628"/>
    <w:rsid w:val="0CF5E6A3"/>
    <w:rsid w:val="0CF731D0"/>
    <w:rsid w:val="0CF7D6D6"/>
    <w:rsid w:val="0CFA53EA"/>
    <w:rsid w:val="0CFAEE93"/>
    <w:rsid w:val="0CFC7BB4"/>
    <w:rsid w:val="0CFEB530"/>
    <w:rsid w:val="0CFFBE56"/>
    <w:rsid w:val="0D017B9B"/>
    <w:rsid w:val="0D01F773"/>
    <w:rsid w:val="0D02BA1D"/>
    <w:rsid w:val="0D082EB7"/>
    <w:rsid w:val="0D0B01F8"/>
    <w:rsid w:val="0D0BB479"/>
    <w:rsid w:val="0D0CD051"/>
    <w:rsid w:val="0D0E9145"/>
    <w:rsid w:val="0D12C6D7"/>
    <w:rsid w:val="0D189303"/>
    <w:rsid w:val="0D195371"/>
    <w:rsid w:val="0D1B4A97"/>
    <w:rsid w:val="0D1B8A0B"/>
    <w:rsid w:val="0D1FE4AC"/>
    <w:rsid w:val="0D20FD87"/>
    <w:rsid w:val="0D211801"/>
    <w:rsid w:val="0D224EEA"/>
    <w:rsid w:val="0D229720"/>
    <w:rsid w:val="0D25E3A9"/>
    <w:rsid w:val="0D2697AC"/>
    <w:rsid w:val="0D2BE32E"/>
    <w:rsid w:val="0D2C5340"/>
    <w:rsid w:val="0D2D1659"/>
    <w:rsid w:val="0D2E4FBF"/>
    <w:rsid w:val="0D2EDF55"/>
    <w:rsid w:val="0D2F8F36"/>
    <w:rsid w:val="0D31F66F"/>
    <w:rsid w:val="0D32BC37"/>
    <w:rsid w:val="0D3466D1"/>
    <w:rsid w:val="0D34AB19"/>
    <w:rsid w:val="0D367AC3"/>
    <w:rsid w:val="0D382CA7"/>
    <w:rsid w:val="0D383BA3"/>
    <w:rsid w:val="0D3898E0"/>
    <w:rsid w:val="0D399F9C"/>
    <w:rsid w:val="0D3AB360"/>
    <w:rsid w:val="0D3CECB3"/>
    <w:rsid w:val="0D4053EA"/>
    <w:rsid w:val="0D40AADA"/>
    <w:rsid w:val="0D435842"/>
    <w:rsid w:val="0D4373C9"/>
    <w:rsid w:val="0D43B79F"/>
    <w:rsid w:val="0D4A7E9E"/>
    <w:rsid w:val="0D4A90FF"/>
    <w:rsid w:val="0D4C34CA"/>
    <w:rsid w:val="0D4EA78F"/>
    <w:rsid w:val="0D515F00"/>
    <w:rsid w:val="0D51ACF5"/>
    <w:rsid w:val="0D5445B3"/>
    <w:rsid w:val="0D54BEC1"/>
    <w:rsid w:val="0D55BB17"/>
    <w:rsid w:val="0D58C820"/>
    <w:rsid w:val="0D58DE4B"/>
    <w:rsid w:val="0D599C8A"/>
    <w:rsid w:val="0D59B727"/>
    <w:rsid w:val="0D5BBDA3"/>
    <w:rsid w:val="0D5C2DB5"/>
    <w:rsid w:val="0D5D95B2"/>
    <w:rsid w:val="0D5FFA17"/>
    <w:rsid w:val="0D62EB55"/>
    <w:rsid w:val="0D6416C8"/>
    <w:rsid w:val="0D6495CA"/>
    <w:rsid w:val="0D659C4F"/>
    <w:rsid w:val="0D663D2B"/>
    <w:rsid w:val="0D67FB57"/>
    <w:rsid w:val="0D6890C3"/>
    <w:rsid w:val="0D69037A"/>
    <w:rsid w:val="0D6B721F"/>
    <w:rsid w:val="0D6B9B20"/>
    <w:rsid w:val="0D6FB3E9"/>
    <w:rsid w:val="0D72242B"/>
    <w:rsid w:val="0D72D93C"/>
    <w:rsid w:val="0D733818"/>
    <w:rsid w:val="0D73B13D"/>
    <w:rsid w:val="0D73D2C5"/>
    <w:rsid w:val="0D7657EF"/>
    <w:rsid w:val="0D7764A1"/>
    <w:rsid w:val="0D79B5DC"/>
    <w:rsid w:val="0D79C00B"/>
    <w:rsid w:val="0D7A797C"/>
    <w:rsid w:val="0D7B7CFA"/>
    <w:rsid w:val="0D7CA7F2"/>
    <w:rsid w:val="0D7EC9BD"/>
    <w:rsid w:val="0D8046EE"/>
    <w:rsid w:val="0D806CCD"/>
    <w:rsid w:val="0D8255ED"/>
    <w:rsid w:val="0D848C99"/>
    <w:rsid w:val="0D85CACF"/>
    <w:rsid w:val="0D863C8C"/>
    <w:rsid w:val="0D86476B"/>
    <w:rsid w:val="0D87D54C"/>
    <w:rsid w:val="0D8861B6"/>
    <w:rsid w:val="0D887881"/>
    <w:rsid w:val="0D8878E1"/>
    <w:rsid w:val="0D8CD0B6"/>
    <w:rsid w:val="0D8E574C"/>
    <w:rsid w:val="0D8ED017"/>
    <w:rsid w:val="0D8F5A18"/>
    <w:rsid w:val="0D941971"/>
    <w:rsid w:val="0D942A84"/>
    <w:rsid w:val="0D950BA8"/>
    <w:rsid w:val="0D96B519"/>
    <w:rsid w:val="0D9844C8"/>
    <w:rsid w:val="0DA0D751"/>
    <w:rsid w:val="0DA1926D"/>
    <w:rsid w:val="0DA2A4A1"/>
    <w:rsid w:val="0DA2FA9B"/>
    <w:rsid w:val="0DA5D89D"/>
    <w:rsid w:val="0DA6366E"/>
    <w:rsid w:val="0DA74E8F"/>
    <w:rsid w:val="0DA7955E"/>
    <w:rsid w:val="0DA7E6E2"/>
    <w:rsid w:val="0DA99DDB"/>
    <w:rsid w:val="0DAAA447"/>
    <w:rsid w:val="0DAFC2E5"/>
    <w:rsid w:val="0DB24545"/>
    <w:rsid w:val="0DB280D8"/>
    <w:rsid w:val="0DBA2AA4"/>
    <w:rsid w:val="0DBCB307"/>
    <w:rsid w:val="0DBF51B1"/>
    <w:rsid w:val="0DBFAF96"/>
    <w:rsid w:val="0DC02756"/>
    <w:rsid w:val="0DC163F3"/>
    <w:rsid w:val="0DC184C2"/>
    <w:rsid w:val="0DC235F1"/>
    <w:rsid w:val="0DC4D1BF"/>
    <w:rsid w:val="0DC4D452"/>
    <w:rsid w:val="0DC65146"/>
    <w:rsid w:val="0DC6D9C1"/>
    <w:rsid w:val="0DC7F929"/>
    <w:rsid w:val="0DCE0FCB"/>
    <w:rsid w:val="0DCE461F"/>
    <w:rsid w:val="0DD17D29"/>
    <w:rsid w:val="0DD2F692"/>
    <w:rsid w:val="0DD4E6A8"/>
    <w:rsid w:val="0DD5356E"/>
    <w:rsid w:val="0DD76DB9"/>
    <w:rsid w:val="0DDA10E7"/>
    <w:rsid w:val="0DDB0470"/>
    <w:rsid w:val="0DDD82F2"/>
    <w:rsid w:val="0DDE4C20"/>
    <w:rsid w:val="0DE40522"/>
    <w:rsid w:val="0DE4623C"/>
    <w:rsid w:val="0DE52DD7"/>
    <w:rsid w:val="0DE913C9"/>
    <w:rsid w:val="0DEA2E78"/>
    <w:rsid w:val="0DEAE8F1"/>
    <w:rsid w:val="0DEB4E2E"/>
    <w:rsid w:val="0DECDCB6"/>
    <w:rsid w:val="0DEDDD76"/>
    <w:rsid w:val="0DF037CC"/>
    <w:rsid w:val="0DF29D9D"/>
    <w:rsid w:val="0DF3135D"/>
    <w:rsid w:val="0DF3CB39"/>
    <w:rsid w:val="0DF6AC10"/>
    <w:rsid w:val="0DF6C95A"/>
    <w:rsid w:val="0DF7CC24"/>
    <w:rsid w:val="0DF7E160"/>
    <w:rsid w:val="0DF85D6F"/>
    <w:rsid w:val="0DF9038D"/>
    <w:rsid w:val="0DFB9E0B"/>
    <w:rsid w:val="0DFCB889"/>
    <w:rsid w:val="0DFEEED8"/>
    <w:rsid w:val="0DFF6177"/>
    <w:rsid w:val="0DFF776C"/>
    <w:rsid w:val="0E018527"/>
    <w:rsid w:val="0E01FE78"/>
    <w:rsid w:val="0E038E30"/>
    <w:rsid w:val="0E049145"/>
    <w:rsid w:val="0E05C1AC"/>
    <w:rsid w:val="0E065500"/>
    <w:rsid w:val="0E0B500B"/>
    <w:rsid w:val="0E0BD7B4"/>
    <w:rsid w:val="0E0DC42C"/>
    <w:rsid w:val="0E0F1EAC"/>
    <w:rsid w:val="0E0FBC59"/>
    <w:rsid w:val="0E1049DC"/>
    <w:rsid w:val="0E1062E7"/>
    <w:rsid w:val="0E11C12B"/>
    <w:rsid w:val="0E164242"/>
    <w:rsid w:val="0E188674"/>
    <w:rsid w:val="0E1B00F9"/>
    <w:rsid w:val="0E1B69DF"/>
    <w:rsid w:val="0E1BF62B"/>
    <w:rsid w:val="0E1C4FB2"/>
    <w:rsid w:val="0E1D007F"/>
    <w:rsid w:val="0E1D6C20"/>
    <w:rsid w:val="0E20FFC4"/>
    <w:rsid w:val="0E24E467"/>
    <w:rsid w:val="0E25A062"/>
    <w:rsid w:val="0E26EA5A"/>
    <w:rsid w:val="0E270A6D"/>
    <w:rsid w:val="0E28C45F"/>
    <w:rsid w:val="0E2B2C8C"/>
    <w:rsid w:val="0E2BA6CD"/>
    <w:rsid w:val="0E2D35A2"/>
    <w:rsid w:val="0E2E21B5"/>
    <w:rsid w:val="0E31CAEC"/>
    <w:rsid w:val="0E31FE8C"/>
    <w:rsid w:val="0E322F65"/>
    <w:rsid w:val="0E3590C2"/>
    <w:rsid w:val="0E38C005"/>
    <w:rsid w:val="0E3A7B2D"/>
    <w:rsid w:val="0E3C1215"/>
    <w:rsid w:val="0E3C63D5"/>
    <w:rsid w:val="0E3F973E"/>
    <w:rsid w:val="0E3FB4EA"/>
    <w:rsid w:val="0E426FB9"/>
    <w:rsid w:val="0E4C3C37"/>
    <w:rsid w:val="0E4F1048"/>
    <w:rsid w:val="0E4F69E6"/>
    <w:rsid w:val="0E511FBF"/>
    <w:rsid w:val="0E531301"/>
    <w:rsid w:val="0E5316D2"/>
    <w:rsid w:val="0E535E06"/>
    <w:rsid w:val="0E571893"/>
    <w:rsid w:val="0E59D97A"/>
    <w:rsid w:val="0E5DA5E1"/>
    <w:rsid w:val="0E5DD20C"/>
    <w:rsid w:val="0E61587C"/>
    <w:rsid w:val="0E61E77C"/>
    <w:rsid w:val="0E62D427"/>
    <w:rsid w:val="0E65E2F8"/>
    <w:rsid w:val="0E695902"/>
    <w:rsid w:val="0E6AD017"/>
    <w:rsid w:val="0E6B0D9E"/>
    <w:rsid w:val="0E6B652F"/>
    <w:rsid w:val="0E6F345C"/>
    <w:rsid w:val="0E70C498"/>
    <w:rsid w:val="0E71293E"/>
    <w:rsid w:val="0E7232BF"/>
    <w:rsid w:val="0E7502EC"/>
    <w:rsid w:val="0E78D5C7"/>
    <w:rsid w:val="0E79F0C7"/>
    <w:rsid w:val="0E7BAE34"/>
    <w:rsid w:val="0E7DAFD2"/>
    <w:rsid w:val="0E7F4483"/>
    <w:rsid w:val="0E7FC305"/>
    <w:rsid w:val="0E81E473"/>
    <w:rsid w:val="0E83F5C8"/>
    <w:rsid w:val="0E84611D"/>
    <w:rsid w:val="0E86F294"/>
    <w:rsid w:val="0E87C6B3"/>
    <w:rsid w:val="0E87DD50"/>
    <w:rsid w:val="0E8A23EB"/>
    <w:rsid w:val="0E8E2C27"/>
    <w:rsid w:val="0E8EF097"/>
    <w:rsid w:val="0E8F8A4B"/>
    <w:rsid w:val="0E909F8A"/>
    <w:rsid w:val="0E97BE50"/>
    <w:rsid w:val="0E9B6D28"/>
    <w:rsid w:val="0E9DC505"/>
    <w:rsid w:val="0EA11E21"/>
    <w:rsid w:val="0EA44C3D"/>
    <w:rsid w:val="0EA70869"/>
    <w:rsid w:val="0EA75262"/>
    <w:rsid w:val="0EA80204"/>
    <w:rsid w:val="0EA83E6F"/>
    <w:rsid w:val="0EAACD49"/>
    <w:rsid w:val="0EACC191"/>
    <w:rsid w:val="0EAD9182"/>
    <w:rsid w:val="0EAE889B"/>
    <w:rsid w:val="0EB1ADD8"/>
    <w:rsid w:val="0EB266D3"/>
    <w:rsid w:val="0EB33064"/>
    <w:rsid w:val="0EB6E60E"/>
    <w:rsid w:val="0EB76F3D"/>
    <w:rsid w:val="0EB91509"/>
    <w:rsid w:val="0EBC7838"/>
    <w:rsid w:val="0EBC97D3"/>
    <w:rsid w:val="0EBCB3F0"/>
    <w:rsid w:val="0EBDE652"/>
    <w:rsid w:val="0EBEA0D0"/>
    <w:rsid w:val="0EBF7441"/>
    <w:rsid w:val="0EC22BF3"/>
    <w:rsid w:val="0EC30404"/>
    <w:rsid w:val="0EC871E2"/>
    <w:rsid w:val="0EC8A7D6"/>
    <w:rsid w:val="0ED1A0CA"/>
    <w:rsid w:val="0ED2712E"/>
    <w:rsid w:val="0ED40D13"/>
    <w:rsid w:val="0ED53E12"/>
    <w:rsid w:val="0ED70D9E"/>
    <w:rsid w:val="0ED76980"/>
    <w:rsid w:val="0ED97F7D"/>
    <w:rsid w:val="0ED99598"/>
    <w:rsid w:val="0EDBA650"/>
    <w:rsid w:val="0EDE45B8"/>
    <w:rsid w:val="0EE2C4AA"/>
    <w:rsid w:val="0EE370D0"/>
    <w:rsid w:val="0EE4605C"/>
    <w:rsid w:val="0EE5E14B"/>
    <w:rsid w:val="0EE67C85"/>
    <w:rsid w:val="0EE7306B"/>
    <w:rsid w:val="0EE74849"/>
    <w:rsid w:val="0EE945FF"/>
    <w:rsid w:val="0EEA18AE"/>
    <w:rsid w:val="0EEB0E54"/>
    <w:rsid w:val="0EEF4E67"/>
    <w:rsid w:val="0EF0D753"/>
    <w:rsid w:val="0EF1E782"/>
    <w:rsid w:val="0EF4E716"/>
    <w:rsid w:val="0EF55AF7"/>
    <w:rsid w:val="0EF6A67E"/>
    <w:rsid w:val="0EF80E8A"/>
    <w:rsid w:val="0EFA74FF"/>
    <w:rsid w:val="0EFAE92A"/>
    <w:rsid w:val="0EFC64A8"/>
    <w:rsid w:val="0EFD5807"/>
    <w:rsid w:val="0EFEB5B0"/>
    <w:rsid w:val="0F000688"/>
    <w:rsid w:val="0F000F88"/>
    <w:rsid w:val="0F03A8B9"/>
    <w:rsid w:val="0F04C950"/>
    <w:rsid w:val="0F06F28D"/>
    <w:rsid w:val="0F077F7E"/>
    <w:rsid w:val="0F079183"/>
    <w:rsid w:val="0F07E60C"/>
    <w:rsid w:val="0F0C6351"/>
    <w:rsid w:val="0F10B4B5"/>
    <w:rsid w:val="0F132057"/>
    <w:rsid w:val="0F136299"/>
    <w:rsid w:val="0F13773C"/>
    <w:rsid w:val="0F139A92"/>
    <w:rsid w:val="0F16DF50"/>
    <w:rsid w:val="0F18DF85"/>
    <w:rsid w:val="0F1BA4B3"/>
    <w:rsid w:val="0F1BE87D"/>
    <w:rsid w:val="0F1E3F01"/>
    <w:rsid w:val="0F20A8E5"/>
    <w:rsid w:val="0F20AA03"/>
    <w:rsid w:val="0F228FC9"/>
    <w:rsid w:val="0F2315EB"/>
    <w:rsid w:val="0F23E853"/>
    <w:rsid w:val="0F26D08C"/>
    <w:rsid w:val="0F2B0488"/>
    <w:rsid w:val="0F2B6AB3"/>
    <w:rsid w:val="0F2CAD5B"/>
    <w:rsid w:val="0F2D3FB7"/>
    <w:rsid w:val="0F2DF91F"/>
    <w:rsid w:val="0F31F848"/>
    <w:rsid w:val="0F3246F7"/>
    <w:rsid w:val="0F34157F"/>
    <w:rsid w:val="0F36F1BA"/>
    <w:rsid w:val="0F3C2D79"/>
    <w:rsid w:val="0F41ACAA"/>
    <w:rsid w:val="0F41B2F6"/>
    <w:rsid w:val="0F429230"/>
    <w:rsid w:val="0F48CCCF"/>
    <w:rsid w:val="0F4B0ED6"/>
    <w:rsid w:val="0F4CD09D"/>
    <w:rsid w:val="0F4E6B5C"/>
    <w:rsid w:val="0F4EFB29"/>
    <w:rsid w:val="0F501528"/>
    <w:rsid w:val="0F512E12"/>
    <w:rsid w:val="0F53FAA2"/>
    <w:rsid w:val="0F54D4A7"/>
    <w:rsid w:val="0F560481"/>
    <w:rsid w:val="0F5A04AB"/>
    <w:rsid w:val="0F5CE727"/>
    <w:rsid w:val="0F5FA8C0"/>
    <w:rsid w:val="0F603776"/>
    <w:rsid w:val="0F61702A"/>
    <w:rsid w:val="0F65CC4F"/>
    <w:rsid w:val="0F6616C6"/>
    <w:rsid w:val="0F666B90"/>
    <w:rsid w:val="0F66C897"/>
    <w:rsid w:val="0F670C9C"/>
    <w:rsid w:val="0F685842"/>
    <w:rsid w:val="0F695B5C"/>
    <w:rsid w:val="0F6A7BF0"/>
    <w:rsid w:val="0F6AF5D3"/>
    <w:rsid w:val="0F6B511A"/>
    <w:rsid w:val="0F6BF124"/>
    <w:rsid w:val="0F6C2653"/>
    <w:rsid w:val="0F6D1B53"/>
    <w:rsid w:val="0F6D383E"/>
    <w:rsid w:val="0F6D88F1"/>
    <w:rsid w:val="0F6E177A"/>
    <w:rsid w:val="0F6E6CFA"/>
    <w:rsid w:val="0F6EA468"/>
    <w:rsid w:val="0F71C508"/>
    <w:rsid w:val="0F728D5A"/>
    <w:rsid w:val="0F72E50F"/>
    <w:rsid w:val="0F73F7D0"/>
    <w:rsid w:val="0F741C7F"/>
    <w:rsid w:val="0F74A996"/>
    <w:rsid w:val="0F74D2BD"/>
    <w:rsid w:val="0F74E9BE"/>
    <w:rsid w:val="0F761EA9"/>
    <w:rsid w:val="0F7897AA"/>
    <w:rsid w:val="0F7A22DB"/>
    <w:rsid w:val="0F7B7A08"/>
    <w:rsid w:val="0F7D9DDA"/>
    <w:rsid w:val="0F812433"/>
    <w:rsid w:val="0F83E890"/>
    <w:rsid w:val="0F83FC52"/>
    <w:rsid w:val="0F878050"/>
    <w:rsid w:val="0F88A0AB"/>
    <w:rsid w:val="0F8C9B0C"/>
    <w:rsid w:val="0F8FDF9B"/>
    <w:rsid w:val="0F90C869"/>
    <w:rsid w:val="0F92EF71"/>
    <w:rsid w:val="0F932ED6"/>
    <w:rsid w:val="0F97C944"/>
    <w:rsid w:val="0F982CF3"/>
    <w:rsid w:val="0F995D4B"/>
    <w:rsid w:val="0F9A8C57"/>
    <w:rsid w:val="0F9AA43A"/>
    <w:rsid w:val="0F9B5972"/>
    <w:rsid w:val="0F9BC02C"/>
    <w:rsid w:val="0F9CF7F1"/>
    <w:rsid w:val="0F9DAC3F"/>
    <w:rsid w:val="0FA0BE1E"/>
    <w:rsid w:val="0FA3025C"/>
    <w:rsid w:val="0FA662E3"/>
    <w:rsid w:val="0FA6D4A5"/>
    <w:rsid w:val="0FA75F74"/>
    <w:rsid w:val="0FA8861E"/>
    <w:rsid w:val="0FA909D1"/>
    <w:rsid w:val="0FAA7DDA"/>
    <w:rsid w:val="0FABDA36"/>
    <w:rsid w:val="0FAC79D3"/>
    <w:rsid w:val="0FAC84D1"/>
    <w:rsid w:val="0FADF0B7"/>
    <w:rsid w:val="0FAE2919"/>
    <w:rsid w:val="0FB013D3"/>
    <w:rsid w:val="0FB445E7"/>
    <w:rsid w:val="0FB618EC"/>
    <w:rsid w:val="0FB6F7D5"/>
    <w:rsid w:val="0FB81C89"/>
    <w:rsid w:val="0FBA16B9"/>
    <w:rsid w:val="0FBA5DB9"/>
    <w:rsid w:val="0FBBAD2E"/>
    <w:rsid w:val="0FBDE4F8"/>
    <w:rsid w:val="0FBE1F26"/>
    <w:rsid w:val="0FBF50EC"/>
    <w:rsid w:val="0FBFB96B"/>
    <w:rsid w:val="0FC045A4"/>
    <w:rsid w:val="0FC285D5"/>
    <w:rsid w:val="0FC2FBD5"/>
    <w:rsid w:val="0FC38606"/>
    <w:rsid w:val="0FC75018"/>
    <w:rsid w:val="0FC7ADA1"/>
    <w:rsid w:val="0FC93E0D"/>
    <w:rsid w:val="0FC99A82"/>
    <w:rsid w:val="0FCA1E1E"/>
    <w:rsid w:val="0FCB07DF"/>
    <w:rsid w:val="0FCB453F"/>
    <w:rsid w:val="0FCD9072"/>
    <w:rsid w:val="0FCFA7AD"/>
    <w:rsid w:val="0FCFFCCF"/>
    <w:rsid w:val="0FD1BE42"/>
    <w:rsid w:val="0FD1D56C"/>
    <w:rsid w:val="0FD2F41A"/>
    <w:rsid w:val="0FD3FB3F"/>
    <w:rsid w:val="0FD4BFB4"/>
    <w:rsid w:val="0FD7EDFE"/>
    <w:rsid w:val="0FD89A36"/>
    <w:rsid w:val="0FD92A90"/>
    <w:rsid w:val="0FDA1E87"/>
    <w:rsid w:val="0FDB270C"/>
    <w:rsid w:val="0FDF8FB4"/>
    <w:rsid w:val="0FE017E2"/>
    <w:rsid w:val="0FE25076"/>
    <w:rsid w:val="0FE30BDB"/>
    <w:rsid w:val="0FE42526"/>
    <w:rsid w:val="0FE4C558"/>
    <w:rsid w:val="0FE588A9"/>
    <w:rsid w:val="0FE6E34D"/>
    <w:rsid w:val="0FE6F308"/>
    <w:rsid w:val="0FE8EBEB"/>
    <w:rsid w:val="0FEA510C"/>
    <w:rsid w:val="0FEAABE5"/>
    <w:rsid w:val="0FEBD96C"/>
    <w:rsid w:val="0FEDD7C2"/>
    <w:rsid w:val="0FF46008"/>
    <w:rsid w:val="0FF504F1"/>
    <w:rsid w:val="0FF5A898"/>
    <w:rsid w:val="0FFD5946"/>
    <w:rsid w:val="0FFE1AC1"/>
    <w:rsid w:val="1000B38A"/>
    <w:rsid w:val="10024CB0"/>
    <w:rsid w:val="1004EC2B"/>
    <w:rsid w:val="10085D6F"/>
    <w:rsid w:val="10096FD6"/>
    <w:rsid w:val="100A3971"/>
    <w:rsid w:val="100B0AE1"/>
    <w:rsid w:val="100B133E"/>
    <w:rsid w:val="100BF4C3"/>
    <w:rsid w:val="100CE609"/>
    <w:rsid w:val="10107D15"/>
    <w:rsid w:val="1011235C"/>
    <w:rsid w:val="1014A19D"/>
    <w:rsid w:val="1014BDDC"/>
    <w:rsid w:val="1014CEE0"/>
    <w:rsid w:val="10158FAF"/>
    <w:rsid w:val="10160732"/>
    <w:rsid w:val="10181DC8"/>
    <w:rsid w:val="10193940"/>
    <w:rsid w:val="1022E4A3"/>
    <w:rsid w:val="102520FB"/>
    <w:rsid w:val="10260A71"/>
    <w:rsid w:val="102BC5F7"/>
    <w:rsid w:val="102C3DB6"/>
    <w:rsid w:val="102C5652"/>
    <w:rsid w:val="102C7CDA"/>
    <w:rsid w:val="1031B3A0"/>
    <w:rsid w:val="103257A4"/>
    <w:rsid w:val="10334B88"/>
    <w:rsid w:val="1039A701"/>
    <w:rsid w:val="103C8897"/>
    <w:rsid w:val="103E00DD"/>
    <w:rsid w:val="104006FF"/>
    <w:rsid w:val="10402E0D"/>
    <w:rsid w:val="10404A85"/>
    <w:rsid w:val="1040BA9F"/>
    <w:rsid w:val="104334E5"/>
    <w:rsid w:val="104388CE"/>
    <w:rsid w:val="1043D87D"/>
    <w:rsid w:val="1045618D"/>
    <w:rsid w:val="1046C642"/>
    <w:rsid w:val="1046DABC"/>
    <w:rsid w:val="104729F4"/>
    <w:rsid w:val="1047F93C"/>
    <w:rsid w:val="1048F2F8"/>
    <w:rsid w:val="104997E9"/>
    <w:rsid w:val="104A9052"/>
    <w:rsid w:val="104A9D7A"/>
    <w:rsid w:val="104CF38E"/>
    <w:rsid w:val="104D80B0"/>
    <w:rsid w:val="104EDF29"/>
    <w:rsid w:val="10510D17"/>
    <w:rsid w:val="105144F7"/>
    <w:rsid w:val="1052005C"/>
    <w:rsid w:val="1053589F"/>
    <w:rsid w:val="1054BDF4"/>
    <w:rsid w:val="105719A9"/>
    <w:rsid w:val="10592E99"/>
    <w:rsid w:val="105BA3A7"/>
    <w:rsid w:val="105FE8E7"/>
    <w:rsid w:val="10609466"/>
    <w:rsid w:val="106175C6"/>
    <w:rsid w:val="106281B6"/>
    <w:rsid w:val="1066C8F6"/>
    <w:rsid w:val="106766AD"/>
    <w:rsid w:val="1068444A"/>
    <w:rsid w:val="106AF623"/>
    <w:rsid w:val="106B5AE8"/>
    <w:rsid w:val="106B5C99"/>
    <w:rsid w:val="106D0808"/>
    <w:rsid w:val="106DA25F"/>
    <w:rsid w:val="106F3679"/>
    <w:rsid w:val="1071AEDB"/>
    <w:rsid w:val="10760881"/>
    <w:rsid w:val="107965A2"/>
    <w:rsid w:val="107985FB"/>
    <w:rsid w:val="107C08B0"/>
    <w:rsid w:val="1081236E"/>
    <w:rsid w:val="108184D7"/>
    <w:rsid w:val="10826733"/>
    <w:rsid w:val="1083967D"/>
    <w:rsid w:val="10842B4C"/>
    <w:rsid w:val="1085F531"/>
    <w:rsid w:val="1086AD59"/>
    <w:rsid w:val="10876490"/>
    <w:rsid w:val="1088C7DF"/>
    <w:rsid w:val="108980D4"/>
    <w:rsid w:val="108B008F"/>
    <w:rsid w:val="108E9CF9"/>
    <w:rsid w:val="108EBE69"/>
    <w:rsid w:val="108FF52C"/>
    <w:rsid w:val="1091CAA6"/>
    <w:rsid w:val="10927C70"/>
    <w:rsid w:val="1092EE03"/>
    <w:rsid w:val="10938FA1"/>
    <w:rsid w:val="10939A6A"/>
    <w:rsid w:val="1093E980"/>
    <w:rsid w:val="109556B4"/>
    <w:rsid w:val="1095A12C"/>
    <w:rsid w:val="1096982E"/>
    <w:rsid w:val="1096AC60"/>
    <w:rsid w:val="109871D9"/>
    <w:rsid w:val="10987BC8"/>
    <w:rsid w:val="109A3603"/>
    <w:rsid w:val="109A4EAB"/>
    <w:rsid w:val="109BD284"/>
    <w:rsid w:val="109CE533"/>
    <w:rsid w:val="109E3617"/>
    <w:rsid w:val="109FA13B"/>
    <w:rsid w:val="10A083A3"/>
    <w:rsid w:val="10A27DB2"/>
    <w:rsid w:val="10A3B585"/>
    <w:rsid w:val="10A8DDC2"/>
    <w:rsid w:val="10A8F424"/>
    <w:rsid w:val="10A93932"/>
    <w:rsid w:val="10AAD917"/>
    <w:rsid w:val="10AC49F0"/>
    <w:rsid w:val="10AC874F"/>
    <w:rsid w:val="10ACD842"/>
    <w:rsid w:val="10AD98BC"/>
    <w:rsid w:val="10B15D4D"/>
    <w:rsid w:val="10B56417"/>
    <w:rsid w:val="10B6EE25"/>
    <w:rsid w:val="10B830B4"/>
    <w:rsid w:val="10B8AE53"/>
    <w:rsid w:val="10B8B3F3"/>
    <w:rsid w:val="10BF5F30"/>
    <w:rsid w:val="10C02974"/>
    <w:rsid w:val="10C09FCB"/>
    <w:rsid w:val="10C67370"/>
    <w:rsid w:val="10C7D492"/>
    <w:rsid w:val="10CA2074"/>
    <w:rsid w:val="10CB63A8"/>
    <w:rsid w:val="10CC5C68"/>
    <w:rsid w:val="10CCB209"/>
    <w:rsid w:val="10CCE5B5"/>
    <w:rsid w:val="10CEDB48"/>
    <w:rsid w:val="10CF1B8E"/>
    <w:rsid w:val="10D08B66"/>
    <w:rsid w:val="10D3B666"/>
    <w:rsid w:val="10D85A63"/>
    <w:rsid w:val="10D88BDF"/>
    <w:rsid w:val="10DB1CF9"/>
    <w:rsid w:val="10DD32B6"/>
    <w:rsid w:val="10DE8394"/>
    <w:rsid w:val="10DF225A"/>
    <w:rsid w:val="10DFB6A6"/>
    <w:rsid w:val="10DFD101"/>
    <w:rsid w:val="10E3AB08"/>
    <w:rsid w:val="10E4E1D0"/>
    <w:rsid w:val="10E4FED9"/>
    <w:rsid w:val="10E5133E"/>
    <w:rsid w:val="10E56E6D"/>
    <w:rsid w:val="10E63476"/>
    <w:rsid w:val="10E8AEC4"/>
    <w:rsid w:val="10EB0CDA"/>
    <w:rsid w:val="10EBBB89"/>
    <w:rsid w:val="10EBC51D"/>
    <w:rsid w:val="10EEEF73"/>
    <w:rsid w:val="10F0161E"/>
    <w:rsid w:val="10F4DA80"/>
    <w:rsid w:val="10F60A08"/>
    <w:rsid w:val="10FA5842"/>
    <w:rsid w:val="10FAC969"/>
    <w:rsid w:val="10FB1EC2"/>
    <w:rsid w:val="10FB8C37"/>
    <w:rsid w:val="10FBAA48"/>
    <w:rsid w:val="10FD4AEF"/>
    <w:rsid w:val="10FD6CE1"/>
    <w:rsid w:val="11022EA5"/>
    <w:rsid w:val="110370C1"/>
    <w:rsid w:val="1104DACB"/>
    <w:rsid w:val="11056E41"/>
    <w:rsid w:val="1106350D"/>
    <w:rsid w:val="1107D4EE"/>
    <w:rsid w:val="11093F66"/>
    <w:rsid w:val="110CC3DE"/>
    <w:rsid w:val="110E208A"/>
    <w:rsid w:val="11104416"/>
    <w:rsid w:val="11120B2E"/>
    <w:rsid w:val="1112E2EE"/>
    <w:rsid w:val="1114DAE3"/>
    <w:rsid w:val="11169F9C"/>
    <w:rsid w:val="11178508"/>
    <w:rsid w:val="111A28E7"/>
    <w:rsid w:val="111BD1B5"/>
    <w:rsid w:val="111D1D7D"/>
    <w:rsid w:val="111D530F"/>
    <w:rsid w:val="111F2F26"/>
    <w:rsid w:val="111F8E00"/>
    <w:rsid w:val="1121AF6B"/>
    <w:rsid w:val="11221201"/>
    <w:rsid w:val="11232969"/>
    <w:rsid w:val="1125496C"/>
    <w:rsid w:val="11292A2C"/>
    <w:rsid w:val="112D5084"/>
    <w:rsid w:val="112ED0AD"/>
    <w:rsid w:val="11311A71"/>
    <w:rsid w:val="113168FA"/>
    <w:rsid w:val="113171D5"/>
    <w:rsid w:val="1132CEDA"/>
    <w:rsid w:val="113680B6"/>
    <w:rsid w:val="1138FC38"/>
    <w:rsid w:val="113B02DC"/>
    <w:rsid w:val="113DBD9C"/>
    <w:rsid w:val="11419D2A"/>
    <w:rsid w:val="1142CB59"/>
    <w:rsid w:val="114321BD"/>
    <w:rsid w:val="11434C97"/>
    <w:rsid w:val="11434D09"/>
    <w:rsid w:val="11454064"/>
    <w:rsid w:val="1148D3C8"/>
    <w:rsid w:val="114A800A"/>
    <w:rsid w:val="114E3DAD"/>
    <w:rsid w:val="114FBFC1"/>
    <w:rsid w:val="1150110F"/>
    <w:rsid w:val="11520FFF"/>
    <w:rsid w:val="11533E9D"/>
    <w:rsid w:val="1153930B"/>
    <w:rsid w:val="115699ED"/>
    <w:rsid w:val="1156A033"/>
    <w:rsid w:val="11570D0A"/>
    <w:rsid w:val="115BB4F6"/>
    <w:rsid w:val="115D2977"/>
    <w:rsid w:val="115D5FAB"/>
    <w:rsid w:val="115F24A3"/>
    <w:rsid w:val="115FCD68"/>
    <w:rsid w:val="1165ECC5"/>
    <w:rsid w:val="1166B286"/>
    <w:rsid w:val="1168CD4B"/>
    <w:rsid w:val="116BB21C"/>
    <w:rsid w:val="116DA587"/>
    <w:rsid w:val="116FDB93"/>
    <w:rsid w:val="1171F5FC"/>
    <w:rsid w:val="117300A1"/>
    <w:rsid w:val="1173810E"/>
    <w:rsid w:val="11754532"/>
    <w:rsid w:val="1176021E"/>
    <w:rsid w:val="1176BEEA"/>
    <w:rsid w:val="1176EAA5"/>
    <w:rsid w:val="1177E83B"/>
    <w:rsid w:val="1177F537"/>
    <w:rsid w:val="11795D91"/>
    <w:rsid w:val="117BE6E5"/>
    <w:rsid w:val="117C19E9"/>
    <w:rsid w:val="117D0A65"/>
    <w:rsid w:val="118197B6"/>
    <w:rsid w:val="1182B2E9"/>
    <w:rsid w:val="118681CE"/>
    <w:rsid w:val="118728C8"/>
    <w:rsid w:val="118921A5"/>
    <w:rsid w:val="118A7C33"/>
    <w:rsid w:val="118AF3A0"/>
    <w:rsid w:val="118EC141"/>
    <w:rsid w:val="1191E0E2"/>
    <w:rsid w:val="11921B2A"/>
    <w:rsid w:val="1192F62A"/>
    <w:rsid w:val="11946F1B"/>
    <w:rsid w:val="119477D9"/>
    <w:rsid w:val="1196C2A5"/>
    <w:rsid w:val="11978750"/>
    <w:rsid w:val="119A3092"/>
    <w:rsid w:val="119A8E1E"/>
    <w:rsid w:val="119C977E"/>
    <w:rsid w:val="119DEA32"/>
    <w:rsid w:val="119EDB74"/>
    <w:rsid w:val="11A21474"/>
    <w:rsid w:val="11A2C178"/>
    <w:rsid w:val="11A3BA26"/>
    <w:rsid w:val="11A54661"/>
    <w:rsid w:val="11A5BFAE"/>
    <w:rsid w:val="11A5D540"/>
    <w:rsid w:val="11A68D0F"/>
    <w:rsid w:val="11A93ECE"/>
    <w:rsid w:val="11AA3E26"/>
    <w:rsid w:val="11AAB3BD"/>
    <w:rsid w:val="11AE3B59"/>
    <w:rsid w:val="11AF5704"/>
    <w:rsid w:val="11B04981"/>
    <w:rsid w:val="11B0C17D"/>
    <w:rsid w:val="11B16EA6"/>
    <w:rsid w:val="11B25F02"/>
    <w:rsid w:val="11B7E26B"/>
    <w:rsid w:val="11BD1BC5"/>
    <w:rsid w:val="11BD5B91"/>
    <w:rsid w:val="11BF58E1"/>
    <w:rsid w:val="11C1A2E9"/>
    <w:rsid w:val="11C1C023"/>
    <w:rsid w:val="11C5CF0F"/>
    <w:rsid w:val="11C6AC9C"/>
    <w:rsid w:val="11C9602B"/>
    <w:rsid w:val="11CB20B1"/>
    <w:rsid w:val="11CD2388"/>
    <w:rsid w:val="11CD9392"/>
    <w:rsid w:val="11CF19F2"/>
    <w:rsid w:val="11D13F33"/>
    <w:rsid w:val="11D2681A"/>
    <w:rsid w:val="11D2704F"/>
    <w:rsid w:val="11D6A42C"/>
    <w:rsid w:val="11D6AC8D"/>
    <w:rsid w:val="11D8C017"/>
    <w:rsid w:val="11D8C780"/>
    <w:rsid w:val="11D967A4"/>
    <w:rsid w:val="11DDF6AC"/>
    <w:rsid w:val="11DEE702"/>
    <w:rsid w:val="11E030C0"/>
    <w:rsid w:val="11E0EA48"/>
    <w:rsid w:val="11E20A88"/>
    <w:rsid w:val="11E2BC89"/>
    <w:rsid w:val="11E38A09"/>
    <w:rsid w:val="11E44AFB"/>
    <w:rsid w:val="11E4CEBE"/>
    <w:rsid w:val="11E74668"/>
    <w:rsid w:val="11E8DB2D"/>
    <w:rsid w:val="11E915A7"/>
    <w:rsid w:val="11E93083"/>
    <w:rsid w:val="11E9960A"/>
    <w:rsid w:val="11EBB51B"/>
    <w:rsid w:val="11EC21B9"/>
    <w:rsid w:val="11EEEE2E"/>
    <w:rsid w:val="11EF5E5F"/>
    <w:rsid w:val="11F0A0FB"/>
    <w:rsid w:val="11F0B22F"/>
    <w:rsid w:val="11F27D48"/>
    <w:rsid w:val="11FAF6EB"/>
    <w:rsid w:val="11FB1100"/>
    <w:rsid w:val="11FE1A7C"/>
    <w:rsid w:val="1207EEFF"/>
    <w:rsid w:val="12096323"/>
    <w:rsid w:val="120ADB32"/>
    <w:rsid w:val="120C60B4"/>
    <w:rsid w:val="120C7D86"/>
    <w:rsid w:val="120CAD5B"/>
    <w:rsid w:val="120DD3ED"/>
    <w:rsid w:val="120E04FA"/>
    <w:rsid w:val="121404BE"/>
    <w:rsid w:val="1214500F"/>
    <w:rsid w:val="1217BA53"/>
    <w:rsid w:val="12185C11"/>
    <w:rsid w:val="121CFDF2"/>
    <w:rsid w:val="1224E48B"/>
    <w:rsid w:val="122767EF"/>
    <w:rsid w:val="12283216"/>
    <w:rsid w:val="122890C4"/>
    <w:rsid w:val="122ABAF3"/>
    <w:rsid w:val="1231295F"/>
    <w:rsid w:val="1231E739"/>
    <w:rsid w:val="12327930"/>
    <w:rsid w:val="1233EFCC"/>
    <w:rsid w:val="1235D977"/>
    <w:rsid w:val="1236D62B"/>
    <w:rsid w:val="1239C3AB"/>
    <w:rsid w:val="123AF863"/>
    <w:rsid w:val="123BC9BD"/>
    <w:rsid w:val="123C4A66"/>
    <w:rsid w:val="123CAFD5"/>
    <w:rsid w:val="123E6123"/>
    <w:rsid w:val="123EEAEB"/>
    <w:rsid w:val="123F0E88"/>
    <w:rsid w:val="123FD1C7"/>
    <w:rsid w:val="12419175"/>
    <w:rsid w:val="12448B24"/>
    <w:rsid w:val="12456A1A"/>
    <w:rsid w:val="12470F53"/>
    <w:rsid w:val="124719DD"/>
    <w:rsid w:val="124D1576"/>
    <w:rsid w:val="124EDA6F"/>
    <w:rsid w:val="1250C09C"/>
    <w:rsid w:val="125227A0"/>
    <w:rsid w:val="12525304"/>
    <w:rsid w:val="12536362"/>
    <w:rsid w:val="12546D12"/>
    <w:rsid w:val="1255C2F8"/>
    <w:rsid w:val="125ACCAA"/>
    <w:rsid w:val="125C18C4"/>
    <w:rsid w:val="125E7757"/>
    <w:rsid w:val="125E907D"/>
    <w:rsid w:val="12603650"/>
    <w:rsid w:val="12615B0A"/>
    <w:rsid w:val="12615F80"/>
    <w:rsid w:val="1261FAD5"/>
    <w:rsid w:val="12627FA4"/>
    <w:rsid w:val="12655838"/>
    <w:rsid w:val="1265F90A"/>
    <w:rsid w:val="1267B7C9"/>
    <w:rsid w:val="126810A1"/>
    <w:rsid w:val="12691CAC"/>
    <w:rsid w:val="126B8901"/>
    <w:rsid w:val="126D581D"/>
    <w:rsid w:val="126E734C"/>
    <w:rsid w:val="126F5EF4"/>
    <w:rsid w:val="126FF0B8"/>
    <w:rsid w:val="1271AE9D"/>
    <w:rsid w:val="1272EEA4"/>
    <w:rsid w:val="1274DF63"/>
    <w:rsid w:val="12776C15"/>
    <w:rsid w:val="12784F9D"/>
    <w:rsid w:val="127B4DB1"/>
    <w:rsid w:val="127C0A08"/>
    <w:rsid w:val="127E4925"/>
    <w:rsid w:val="127FE56D"/>
    <w:rsid w:val="127FE9D8"/>
    <w:rsid w:val="1283FBD8"/>
    <w:rsid w:val="1284B2DB"/>
    <w:rsid w:val="1284E5CA"/>
    <w:rsid w:val="128607DE"/>
    <w:rsid w:val="12863EB9"/>
    <w:rsid w:val="1286760A"/>
    <w:rsid w:val="12891DD9"/>
    <w:rsid w:val="129250FC"/>
    <w:rsid w:val="1292A7E7"/>
    <w:rsid w:val="12936F03"/>
    <w:rsid w:val="12945D5E"/>
    <w:rsid w:val="1297E470"/>
    <w:rsid w:val="1298CE00"/>
    <w:rsid w:val="129A0D64"/>
    <w:rsid w:val="129C485F"/>
    <w:rsid w:val="129F1BC1"/>
    <w:rsid w:val="12A0AFE3"/>
    <w:rsid w:val="12A2DD05"/>
    <w:rsid w:val="12A52945"/>
    <w:rsid w:val="12A73A27"/>
    <w:rsid w:val="12A90B82"/>
    <w:rsid w:val="12A99926"/>
    <w:rsid w:val="12A9B093"/>
    <w:rsid w:val="12AD7C60"/>
    <w:rsid w:val="12B02EFF"/>
    <w:rsid w:val="12B0F744"/>
    <w:rsid w:val="12B21FCB"/>
    <w:rsid w:val="12B28ADA"/>
    <w:rsid w:val="12B2E8AC"/>
    <w:rsid w:val="12B38FCC"/>
    <w:rsid w:val="12B5F455"/>
    <w:rsid w:val="12B607E5"/>
    <w:rsid w:val="12B811A3"/>
    <w:rsid w:val="12B8241E"/>
    <w:rsid w:val="12BBCD5D"/>
    <w:rsid w:val="12BBF6D4"/>
    <w:rsid w:val="12BC5203"/>
    <w:rsid w:val="12BD3C35"/>
    <w:rsid w:val="12BD89C9"/>
    <w:rsid w:val="12BF4F1A"/>
    <w:rsid w:val="12C0A91A"/>
    <w:rsid w:val="12C4BE9E"/>
    <w:rsid w:val="12C50843"/>
    <w:rsid w:val="12C6BA08"/>
    <w:rsid w:val="12C76F38"/>
    <w:rsid w:val="12C7976D"/>
    <w:rsid w:val="12CAE051"/>
    <w:rsid w:val="12CB1025"/>
    <w:rsid w:val="12CB7E14"/>
    <w:rsid w:val="12CC1C9B"/>
    <w:rsid w:val="12CD58C5"/>
    <w:rsid w:val="12D1ABE7"/>
    <w:rsid w:val="12D2A815"/>
    <w:rsid w:val="12D5292A"/>
    <w:rsid w:val="12D95F26"/>
    <w:rsid w:val="12D9D4F4"/>
    <w:rsid w:val="12DB2FC5"/>
    <w:rsid w:val="12DB5952"/>
    <w:rsid w:val="12DD9B36"/>
    <w:rsid w:val="12E0A6C2"/>
    <w:rsid w:val="12E18B97"/>
    <w:rsid w:val="12E5CE5B"/>
    <w:rsid w:val="12E7C428"/>
    <w:rsid w:val="12E8410A"/>
    <w:rsid w:val="12E9308D"/>
    <w:rsid w:val="12EA7F57"/>
    <w:rsid w:val="12EA9CEA"/>
    <w:rsid w:val="12EC943B"/>
    <w:rsid w:val="12EC9624"/>
    <w:rsid w:val="12ED32A0"/>
    <w:rsid w:val="12ED72B3"/>
    <w:rsid w:val="12EE78B5"/>
    <w:rsid w:val="12F0DBF4"/>
    <w:rsid w:val="12F285DF"/>
    <w:rsid w:val="12F4AAFA"/>
    <w:rsid w:val="12F763BD"/>
    <w:rsid w:val="12F79953"/>
    <w:rsid w:val="12F94692"/>
    <w:rsid w:val="12FC0E60"/>
    <w:rsid w:val="12FD26AA"/>
    <w:rsid w:val="12FDFAE2"/>
    <w:rsid w:val="12FF20EE"/>
    <w:rsid w:val="12FF23DD"/>
    <w:rsid w:val="12FF6CE7"/>
    <w:rsid w:val="13020F98"/>
    <w:rsid w:val="130482EB"/>
    <w:rsid w:val="1307F0F3"/>
    <w:rsid w:val="130AF4F7"/>
    <w:rsid w:val="130BE6EA"/>
    <w:rsid w:val="130C8F7B"/>
    <w:rsid w:val="130DBEAD"/>
    <w:rsid w:val="130E6FC5"/>
    <w:rsid w:val="130FA3AF"/>
    <w:rsid w:val="13122355"/>
    <w:rsid w:val="13123DA2"/>
    <w:rsid w:val="1313E5E7"/>
    <w:rsid w:val="1313ED0B"/>
    <w:rsid w:val="13143C85"/>
    <w:rsid w:val="1314D82F"/>
    <w:rsid w:val="1318AB1E"/>
    <w:rsid w:val="131C7137"/>
    <w:rsid w:val="13205C25"/>
    <w:rsid w:val="1321EF61"/>
    <w:rsid w:val="1322B32F"/>
    <w:rsid w:val="1325949F"/>
    <w:rsid w:val="1326F416"/>
    <w:rsid w:val="132752A4"/>
    <w:rsid w:val="13285FDA"/>
    <w:rsid w:val="132AEE7E"/>
    <w:rsid w:val="132B4B99"/>
    <w:rsid w:val="132EA1EA"/>
    <w:rsid w:val="132F1B19"/>
    <w:rsid w:val="1331F2D6"/>
    <w:rsid w:val="13330CC6"/>
    <w:rsid w:val="13356D42"/>
    <w:rsid w:val="13371EDD"/>
    <w:rsid w:val="133A2F12"/>
    <w:rsid w:val="133C1577"/>
    <w:rsid w:val="133C3D68"/>
    <w:rsid w:val="133F9BA4"/>
    <w:rsid w:val="1340B8B0"/>
    <w:rsid w:val="1342D346"/>
    <w:rsid w:val="13459E81"/>
    <w:rsid w:val="1345D0D5"/>
    <w:rsid w:val="13470114"/>
    <w:rsid w:val="1347663B"/>
    <w:rsid w:val="13484ABF"/>
    <w:rsid w:val="1348ECC6"/>
    <w:rsid w:val="134971A9"/>
    <w:rsid w:val="1349B5E4"/>
    <w:rsid w:val="1349CB20"/>
    <w:rsid w:val="1349FFA8"/>
    <w:rsid w:val="134A2005"/>
    <w:rsid w:val="134AD40B"/>
    <w:rsid w:val="134AFCB9"/>
    <w:rsid w:val="1351A2EC"/>
    <w:rsid w:val="1351B39A"/>
    <w:rsid w:val="1351B88D"/>
    <w:rsid w:val="13525AD4"/>
    <w:rsid w:val="135326AB"/>
    <w:rsid w:val="13554ED9"/>
    <w:rsid w:val="1355EFFA"/>
    <w:rsid w:val="1356C0E7"/>
    <w:rsid w:val="13574A03"/>
    <w:rsid w:val="1357A3FD"/>
    <w:rsid w:val="135926AB"/>
    <w:rsid w:val="1359C12F"/>
    <w:rsid w:val="135A57E0"/>
    <w:rsid w:val="135BDF60"/>
    <w:rsid w:val="135ECC6B"/>
    <w:rsid w:val="136036A1"/>
    <w:rsid w:val="1360ACAA"/>
    <w:rsid w:val="13636675"/>
    <w:rsid w:val="13642D69"/>
    <w:rsid w:val="13653FFF"/>
    <w:rsid w:val="13697A93"/>
    <w:rsid w:val="136D5F98"/>
    <w:rsid w:val="136D755E"/>
    <w:rsid w:val="136E1F4A"/>
    <w:rsid w:val="136EB688"/>
    <w:rsid w:val="1373049C"/>
    <w:rsid w:val="13735578"/>
    <w:rsid w:val="1373D5BD"/>
    <w:rsid w:val="1378F16B"/>
    <w:rsid w:val="137A1EBE"/>
    <w:rsid w:val="137FAAB3"/>
    <w:rsid w:val="138194AA"/>
    <w:rsid w:val="1383B201"/>
    <w:rsid w:val="138452F6"/>
    <w:rsid w:val="13870D8A"/>
    <w:rsid w:val="13877BCD"/>
    <w:rsid w:val="13878DB9"/>
    <w:rsid w:val="1387EB67"/>
    <w:rsid w:val="138845CA"/>
    <w:rsid w:val="1389A1E7"/>
    <w:rsid w:val="138A15B8"/>
    <w:rsid w:val="138ABD20"/>
    <w:rsid w:val="138CD2AE"/>
    <w:rsid w:val="138D0561"/>
    <w:rsid w:val="138E7C9B"/>
    <w:rsid w:val="138FAED8"/>
    <w:rsid w:val="138FC262"/>
    <w:rsid w:val="1391A64C"/>
    <w:rsid w:val="13921B0F"/>
    <w:rsid w:val="139311CB"/>
    <w:rsid w:val="13946BE3"/>
    <w:rsid w:val="13981197"/>
    <w:rsid w:val="1398C70F"/>
    <w:rsid w:val="139A74D1"/>
    <w:rsid w:val="139E7A59"/>
    <w:rsid w:val="139F89ED"/>
    <w:rsid w:val="139F9E9B"/>
    <w:rsid w:val="13A0E10F"/>
    <w:rsid w:val="13A16F3B"/>
    <w:rsid w:val="13A1E6D8"/>
    <w:rsid w:val="13A3B707"/>
    <w:rsid w:val="13A77C5A"/>
    <w:rsid w:val="13A910BD"/>
    <w:rsid w:val="13ACC8E8"/>
    <w:rsid w:val="13AD5E84"/>
    <w:rsid w:val="13AEB9EA"/>
    <w:rsid w:val="13AF6E2A"/>
    <w:rsid w:val="13B17AF6"/>
    <w:rsid w:val="13B32B8B"/>
    <w:rsid w:val="13B6A1F8"/>
    <w:rsid w:val="13B77C7C"/>
    <w:rsid w:val="13B854C2"/>
    <w:rsid w:val="13B8A127"/>
    <w:rsid w:val="13B9A7CC"/>
    <w:rsid w:val="13BD3B95"/>
    <w:rsid w:val="13C0166C"/>
    <w:rsid w:val="13C11A3D"/>
    <w:rsid w:val="13C42CB5"/>
    <w:rsid w:val="13C51621"/>
    <w:rsid w:val="13C6CC53"/>
    <w:rsid w:val="13C92DFF"/>
    <w:rsid w:val="13C95D03"/>
    <w:rsid w:val="13CB629B"/>
    <w:rsid w:val="13CCEC9E"/>
    <w:rsid w:val="13CDDB59"/>
    <w:rsid w:val="13CEEA6F"/>
    <w:rsid w:val="13D10E56"/>
    <w:rsid w:val="13D40A3F"/>
    <w:rsid w:val="13D49E8A"/>
    <w:rsid w:val="13D5D134"/>
    <w:rsid w:val="13D60C59"/>
    <w:rsid w:val="13D8AA88"/>
    <w:rsid w:val="13DA6BC1"/>
    <w:rsid w:val="13DACB5D"/>
    <w:rsid w:val="13E07CC0"/>
    <w:rsid w:val="13E09BBE"/>
    <w:rsid w:val="13E0BEDE"/>
    <w:rsid w:val="13E10AB4"/>
    <w:rsid w:val="13E43578"/>
    <w:rsid w:val="13E57024"/>
    <w:rsid w:val="13E68A3E"/>
    <w:rsid w:val="13E71C7A"/>
    <w:rsid w:val="13E89CD0"/>
    <w:rsid w:val="13E906D4"/>
    <w:rsid w:val="13E932CA"/>
    <w:rsid w:val="13E97E60"/>
    <w:rsid w:val="13EC3399"/>
    <w:rsid w:val="13ED03EA"/>
    <w:rsid w:val="13ED565A"/>
    <w:rsid w:val="13EF46F9"/>
    <w:rsid w:val="13F00E94"/>
    <w:rsid w:val="13F02050"/>
    <w:rsid w:val="13F1BE1B"/>
    <w:rsid w:val="13F2234B"/>
    <w:rsid w:val="13F251D6"/>
    <w:rsid w:val="13F40FAD"/>
    <w:rsid w:val="13F46F4E"/>
    <w:rsid w:val="13F54801"/>
    <w:rsid w:val="13F56D51"/>
    <w:rsid w:val="13F596A0"/>
    <w:rsid w:val="13FBFA8F"/>
    <w:rsid w:val="1401E376"/>
    <w:rsid w:val="14044711"/>
    <w:rsid w:val="1404EAF4"/>
    <w:rsid w:val="14074F66"/>
    <w:rsid w:val="14075457"/>
    <w:rsid w:val="140887F6"/>
    <w:rsid w:val="1409A09B"/>
    <w:rsid w:val="140C0209"/>
    <w:rsid w:val="140E8130"/>
    <w:rsid w:val="14105E73"/>
    <w:rsid w:val="1410F642"/>
    <w:rsid w:val="141103D6"/>
    <w:rsid w:val="1412E26C"/>
    <w:rsid w:val="1414DE76"/>
    <w:rsid w:val="141A76D2"/>
    <w:rsid w:val="141BD2F5"/>
    <w:rsid w:val="141C7344"/>
    <w:rsid w:val="141DC128"/>
    <w:rsid w:val="14231440"/>
    <w:rsid w:val="142370D5"/>
    <w:rsid w:val="1423AB69"/>
    <w:rsid w:val="1428952F"/>
    <w:rsid w:val="142CBEC6"/>
    <w:rsid w:val="142D9C99"/>
    <w:rsid w:val="142E59CE"/>
    <w:rsid w:val="143037E2"/>
    <w:rsid w:val="143059CC"/>
    <w:rsid w:val="1430E6DD"/>
    <w:rsid w:val="14324437"/>
    <w:rsid w:val="1432E1AF"/>
    <w:rsid w:val="14343E2A"/>
    <w:rsid w:val="1438669F"/>
    <w:rsid w:val="143B613B"/>
    <w:rsid w:val="143C3041"/>
    <w:rsid w:val="14403BB1"/>
    <w:rsid w:val="14416C34"/>
    <w:rsid w:val="144244C4"/>
    <w:rsid w:val="144292EB"/>
    <w:rsid w:val="14429B63"/>
    <w:rsid w:val="144572FA"/>
    <w:rsid w:val="1446E6F8"/>
    <w:rsid w:val="14473A62"/>
    <w:rsid w:val="14483CD1"/>
    <w:rsid w:val="144B5C21"/>
    <w:rsid w:val="144CCD0C"/>
    <w:rsid w:val="144D0D60"/>
    <w:rsid w:val="144DE862"/>
    <w:rsid w:val="1450BA23"/>
    <w:rsid w:val="145203F2"/>
    <w:rsid w:val="1452DEFE"/>
    <w:rsid w:val="1453DF23"/>
    <w:rsid w:val="1455E80B"/>
    <w:rsid w:val="14568F3F"/>
    <w:rsid w:val="1456D4A9"/>
    <w:rsid w:val="14573F0D"/>
    <w:rsid w:val="14580F98"/>
    <w:rsid w:val="14581A04"/>
    <w:rsid w:val="145A4119"/>
    <w:rsid w:val="145B48E3"/>
    <w:rsid w:val="145C5509"/>
    <w:rsid w:val="145F1C08"/>
    <w:rsid w:val="145F236F"/>
    <w:rsid w:val="1461AD7A"/>
    <w:rsid w:val="1463DB93"/>
    <w:rsid w:val="1463F569"/>
    <w:rsid w:val="146A4841"/>
    <w:rsid w:val="146CAEC0"/>
    <w:rsid w:val="14720E94"/>
    <w:rsid w:val="14747C87"/>
    <w:rsid w:val="14750D80"/>
    <w:rsid w:val="147740EF"/>
    <w:rsid w:val="1478A3D1"/>
    <w:rsid w:val="147BB725"/>
    <w:rsid w:val="147CA510"/>
    <w:rsid w:val="1480AFDC"/>
    <w:rsid w:val="1485D34F"/>
    <w:rsid w:val="14878029"/>
    <w:rsid w:val="1487E616"/>
    <w:rsid w:val="148A3C6D"/>
    <w:rsid w:val="148B0EAC"/>
    <w:rsid w:val="148CA8AC"/>
    <w:rsid w:val="14911E3F"/>
    <w:rsid w:val="14931DB9"/>
    <w:rsid w:val="1495230B"/>
    <w:rsid w:val="1495DFD4"/>
    <w:rsid w:val="14987BDD"/>
    <w:rsid w:val="149B3089"/>
    <w:rsid w:val="149DD3FC"/>
    <w:rsid w:val="149FB9E5"/>
    <w:rsid w:val="14A07889"/>
    <w:rsid w:val="14A0BA7D"/>
    <w:rsid w:val="14A3D5CE"/>
    <w:rsid w:val="14AD8C14"/>
    <w:rsid w:val="14ADD780"/>
    <w:rsid w:val="14AFB152"/>
    <w:rsid w:val="14B0F091"/>
    <w:rsid w:val="14B51B66"/>
    <w:rsid w:val="14B55F8A"/>
    <w:rsid w:val="14B709BD"/>
    <w:rsid w:val="14B82DB3"/>
    <w:rsid w:val="14B9E485"/>
    <w:rsid w:val="14BB30FE"/>
    <w:rsid w:val="14BDA308"/>
    <w:rsid w:val="14BF198D"/>
    <w:rsid w:val="14C0756F"/>
    <w:rsid w:val="14C0D54E"/>
    <w:rsid w:val="14C12C50"/>
    <w:rsid w:val="14C391A1"/>
    <w:rsid w:val="14C3BEC3"/>
    <w:rsid w:val="14C3BEF4"/>
    <w:rsid w:val="14C94546"/>
    <w:rsid w:val="14CCE60A"/>
    <w:rsid w:val="14CE53CB"/>
    <w:rsid w:val="14D0DABF"/>
    <w:rsid w:val="14D41DB2"/>
    <w:rsid w:val="14D59FFC"/>
    <w:rsid w:val="14D657BC"/>
    <w:rsid w:val="14DEE3DB"/>
    <w:rsid w:val="14E33DB6"/>
    <w:rsid w:val="14E53498"/>
    <w:rsid w:val="14E6323D"/>
    <w:rsid w:val="14E8B4F8"/>
    <w:rsid w:val="14E94B82"/>
    <w:rsid w:val="14EF4739"/>
    <w:rsid w:val="14F1B9EC"/>
    <w:rsid w:val="14F2F6E7"/>
    <w:rsid w:val="14F5C533"/>
    <w:rsid w:val="14F5C7AC"/>
    <w:rsid w:val="14F7008B"/>
    <w:rsid w:val="14F7DDCE"/>
    <w:rsid w:val="14F94C40"/>
    <w:rsid w:val="14F9FB39"/>
    <w:rsid w:val="14FA0C0E"/>
    <w:rsid w:val="14FA9B05"/>
    <w:rsid w:val="14FAD5FE"/>
    <w:rsid w:val="14FBA496"/>
    <w:rsid w:val="14FE45D4"/>
    <w:rsid w:val="1501602D"/>
    <w:rsid w:val="15017687"/>
    <w:rsid w:val="15056B47"/>
    <w:rsid w:val="1505B990"/>
    <w:rsid w:val="15089C90"/>
    <w:rsid w:val="150A88BA"/>
    <w:rsid w:val="150D14EA"/>
    <w:rsid w:val="150DEBB6"/>
    <w:rsid w:val="150F8DF2"/>
    <w:rsid w:val="151746C0"/>
    <w:rsid w:val="15191835"/>
    <w:rsid w:val="151A31F2"/>
    <w:rsid w:val="151AA2DB"/>
    <w:rsid w:val="151DCC64"/>
    <w:rsid w:val="151E030D"/>
    <w:rsid w:val="151F17F6"/>
    <w:rsid w:val="15232A26"/>
    <w:rsid w:val="15272189"/>
    <w:rsid w:val="1528B1AA"/>
    <w:rsid w:val="1532632C"/>
    <w:rsid w:val="15340866"/>
    <w:rsid w:val="1534E56B"/>
    <w:rsid w:val="153790A4"/>
    <w:rsid w:val="153B2985"/>
    <w:rsid w:val="153B4841"/>
    <w:rsid w:val="153CE4F3"/>
    <w:rsid w:val="153D480E"/>
    <w:rsid w:val="153DFD62"/>
    <w:rsid w:val="153E08BB"/>
    <w:rsid w:val="153E8FB6"/>
    <w:rsid w:val="15405D66"/>
    <w:rsid w:val="15409124"/>
    <w:rsid w:val="1540DF15"/>
    <w:rsid w:val="1541EFDB"/>
    <w:rsid w:val="15427BA2"/>
    <w:rsid w:val="1543FEA8"/>
    <w:rsid w:val="1544596B"/>
    <w:rsid w:val="15469ACF"/>
    <w:rsid w:val="15470C43"/>
    <w:rsid w:val="15474862"/>
    <w:rsid w:val="1547A086"/>
    <w:rsid w:val="154890ED"/>
    <w:rsid w:val="15489A14"/>
    <w:rsid w:val="15494B0C"/>
    <w:rsid w:val="154B9D6B"/>
    <w:rsid w:val="154BDD0E"/>
    <w:rsid w:val="154D5DEF"/>
    <w:rsid w:val="154D6275"/>
    <w:rsid w:val="1550C030"/>
    <w:rsid w:val="15531299"/>
    <w:rsid w:val="1556B8D9"/>
    <w:rsid w:val="15572E4A"/>
    <w:rsid w:val="1557D463"/>
    <w:rsid w:val="15585B4B"/>
    <w:rsid w:val="1558B2AC"/>
    <w:rsid w:val="1559A258"/>
    <w:rsid w:val="1559FBB9"/>
    <w:rsid w:val="155BD181"/>
    <w:rsid w:val="155CEEF4"/>
    <w:rsid w:val="15620334"/>
    <w:rsid w:val="15651A43"/>
    <w:rsid w:val="15666CCE"/>
    <w:rsid w:val="156A82FC"/>
    <w:rsid w:val="156C9119"/>
    <w:rsid w:val="156E18F4"/>
    <w:rsid w:val="156EC8FE"/>
    <w:rsid w:val="156FD51D"/>
    <w:rsid w:val="1574D901"/>
    <w:rsid w:val="15756EEE"/>
    <w:rsid w:val="157A0E89"/>
    <w:rsid w:val="157A0FFF"/>
    <w:rsid w:val="157D712E"/>
    <w:rsid w:val="1580BA1D"/>
    <w:rsid w:val="1580BC2B"/>
    <w:rsid w:val="15826E37"/>
    <w:rsid w:val="1584DF4E"/>
    <w:rsid w:val="158583F5"/>
    <w:rsid w:val="1585E077"/>
    <w:rsid w:val="15872885"/>
    <w:rsid w:val="15879A21"/>
    <w:rsid w:val="158B7D56"/>
    <w:rsid w:val="158E5210"/>
    <w:rsid w:val="158F6919"/>
    <w:rsid w:val="15907C62"/>
    <w:rsid w:val="15938077"/>
    <w:rsid w:val="1594CE86"/>
    <w:rsid w:val="1595B4D4"/>
    <w:rsid w:val="1596080C"/>
    <w:rsid w:val="15974067"/>
    <w:rsid w:val="15982C05"/>
    <w:rsid w:val="15989C46"/>
    <w:rsid w:val="159CF603"/>
    <w:rsid w:val="159D751F"/>
    <w:rsid w:val="15A1BD7D"/>
    <w:rsid w:val="15A1E60F"/>
    <w:rsid w:val="15A39645"/>
    <w:rsid w:val="15A75E03"/>
    <w:rsid w:val="15A984F0"/>
    <w:rsid w:val="15AA16E5"/>
    <w:rsid w:val="15AC4D58"/>
    <w:rsid w:val="15AD70FC"/>
    <w:rsid w:val="15ADEE60"/>
    <w:rsid w:val="15AE0D09"/>
    <w:rsid w:val="15AF276F"/>
    <w:rsid w:val="15B137AC"/>
    <w:rsid w:val="15B34DA2"/>
    <w:rsid w:val="15B430BD"/>
    <w:rsid w:val="15B4EE61"/>
    <w:rsid w:val="15B56E0B"/>
    <w:rsid w:val="15B909A5"/>
    <w:rsid w:val="15BA3039"/>
    <w:rsid w:val="15BA49AF"/>
    <w:rsid w:val="15BAA1F0"/>
    <w:rsid w:val="15BAFF07"/>
    <w:rsid w:val="15BB5E3A"/>
    <w:rsid w:val="15BB68E2"/>
    <w:rsid w:val="15BBE3B4"/>
    <w:rsid w:val="15BD9467"/>
    <w:rsid w:val="15BDB682"/>
    <w:rsid w:val="15BF019B"/>
    <w:rsid w:val="15C0332F"/>
    <w:rsid w:val="15C08D81"/>
    <w:rsid w:val="15C178BC"/>
    <w:rsid w:val="15C2C188"/>
    <w:rsid w:val="15C37E04"/>
    <w:rsid w:val="15C893D8"/>
    <w:rsid w:val="15C9A23A"/>
    <w:rsid w:val="15CBC3E8"/>
    <w:rsid w:val="15CC7858"/>
    <w:rsid w:val="15D14A61"/>
    <w:rsid w:val="15D388DD"/>
    <w:rsid w:val="15D42529"/>
    <w:rsid w:val="15D4FC92"/>
    <w:rsid w:val="15D6BB65"/>
    <w:rsid w:val="15D864D0"/>
    <w:rsid w:val="15D87701"/>
    <w:rsid w:val="15D8C492"/>
    <w:rsid w:val="15D947F7"/>
    <w:rsid w:val="15DC05FB"/>
    <w:rsid w:val="15E0840F"/>
    <w:rsid w:val="15E1C7E7"/>
    <w:rsid w:val="15E36F61"/>
    <w:rsid w:val="15E39AD9"/>
    <w:rsid w:val="15E4887D"/>
    <w:rsid w:val="15E73D5B"/>
    <w:rsid w:val="15EBD1C9"/>
    <w:rsid w:val="15ED0122"/>
    <w:rsid w:val="15EE1C00"/>
    <w:rsid w:val="15EFC0AA"/>
    <w:rsid w:val="15F2C8C4"/>
    <w:rsid w:val="15F50FC6"/>
    <w:rsid w:val="15F55239"/>
    <w:rsid w:val="15FB7729"/>
    <w:rsid w:val="15FC467C"/>
    <w:rsid w:val="15FCCA5E"/>
    <w:rsid w:val="15FE5A55"/>
    <w:rsid w:val="1601F0BE"/>
    <w:rsid w:val="1605E163"/>
    <w:rsid w:val="1606644D"/>
    <w:rsid w:val="16089F3D"/>
    <w:rsid w:val="1609C79E"/>
    <w:rsid w:val="160BF173"/>
    <w:rsid w:val="160E1FBE"/>
    <w:rsid w:val="160F63CC"/>
    <w:rsid w:val="160F7531"/>
    <w:rsid w:val="160FFC82"/>
    <w:rsid w:val="16110B12"/>
    <w:rsid w:val="16137254"/>
    <w:rsid w:val="16137D76"/>
    <w:rsid w:val="1613DE67"/>
    <w:rsid w:val="161460E9"/>
    <w:rsid w:val="1614EE25"/>
    <w:rsid w:val="16156097"/>
    <w:rsid w:val="16159903"/>
    <w:rsid w:val="16167945"/>
    <w:rsid w:val="1616E494"/>
    <w:rsid w:val="16195EF7"/>
    <w:rsid w:val="161A617F"/>
    <w:rsid w:val="161CE1F3"/>
    <w:rsid w:val="161D7894"/>
    <w:rsid w:val="161F2069"/>
    <w:rsid w:val="161FB52E"/>
    <w:rsid w:val="16222C1A"/>
    <w:rsid w:val="1622E4C7"/>
    <w:rsid w:val="1623A674"/>
    <w:rsid w:val="1623FB87"/>
    <w:rsid w:val="16245C64"/>
    <w:rsid w:val="1625DFD1"/>
    <w:rsid w:val="16262AA0"/>
    <w:rsid w:val="162A202E"/>
    <w:rsid w:val="162BCED5"/>
    <w:rsid w:val="162E3BC0"/>
    <w:rsid w:val="162F977F"/>
    <w:rsid w:val="16337022"/>
    <w:rsid w:val="1636CA62"/>
    <w:rsid w:val="16386756"/>
    <w:rsid w:val="163AFC32"/>
    <w:rsid w:val="163C95FE"/>
    <w:rsid w:val="163D5479"/>
    <w:rsid w:val="163D7636"/>
    <w:rsid w:val="163DD331"/>
    <w:rsid w:val="163F4636"/>
    <w:rsid w:val="163FB9F2"/>
    <w:rsid w:val="164092E1"/>
    <w:rsid w:val="16498C85"/>
    <w:rsid w:val="164AE3FA"/>
    <w:rsid w:val="164BB702"/>
    <w:rsid w:val="164F4E4B"/>
    <w:rsid w:val="164F7B34"/>
    <w:rsid w:val="164FF5D2"/>
    <w:rsid w:val="16507562"/>
    <w:rsid w:val="16507653"/>
    <w:rsid w:val="1653213D"/>
    <w:rsid w:val="1654B51C"/>
    <w:rsid w:val="165655B3"/>
    <w:rsid w:val="1657E4F9"/>
    <w:rsid w:val="165827CA"/>
    <w:rsid w:val="165B1A71"/>
    <w:rsid w:val="165BF8DF"/>
    <w:rsid w:val="165F28C1"/>
    <w:rsid w:val="165FA901"/>
    <w:rsid w:val="165FD1D8"/>
    <w:rsid w:val="16616AC3"/>
    <w:rsid w:val="16630B1D"/>
    <w:rsid w:val="16635429"/>
    <w:rsid w:val="16642190"/>
    <w:rsid w:val="16693025"/>
    <w:rsid w:val="166A89E6"/>
    <w:rsid w:val="166AF5FC"/>
    <w:rsid w:val="166B1B0E"/>
    <w:rsid w:val="166B3139"/>
    <w:rsid w:val="166BED64"/>
    <w:rsid w:val="166CDAFB"/>
    <w:rsid w:val="1672FDAE"/>
    <w:rsid w:val="1673FE0C"/>
    <w:rsid w:val="1676946C"/>
    <w:rsid w:val="1676A464"/>
    <w:rsid w:val="16781648"/>
    <w:rsid w:val="16789222"/>
    <w:rsid w:val="1678B9B6"/>
    <w:rsid w:val="167CF482"/>
    <w:rsid w:val="167D481F"/>
    <w:rsid w:val="1680577E"/>
    <w:rsid w:val="16822228"/>
    <w:rsid w:val="1684DA30"/>
    <w:rsid w:val="168547E8"/>
    <w:rsid w:val="16861AD0"/>
    <w:rsid w:val="16874259"/>
    <w:rsid w:val="16877800"/>
    <w:rsid w:val="1688551B"/>
    <w:rsid w:val="16886ABF"/>
    <w:rsid w:val="1689084B"/>
    <w:rsid w:val="168A013B"/>
    <w:rsid w:val="168A3584"/>
    <w:rsid w:val="168B8EFC"/>
    <w:rsid w:val="168C19C8"/>
    <w:rsid w:val="168C3801"/>
    <w:rsid w:val="168CB9F8"/>
    <w:rsid w:val="168F2447"/>
    <w:rsid w:val="16932FF1"/>
    <w:rsid w:val="1693FDB0"/>
    <w:rsid w:val="16943B64"/>
    <w:rsid w:val="1696B36D"/>
    <w:rsid w:val="16970990"/>
    <w:rsid w:val="16978FAC"/>
    <w:rsid w:val="169D2950"/>
    <w:rsid w:val="169E1270"/>
    <w:rsid w:val="16A03E47"/>
    <w:rsid w:val="16A1297A"/>
    <w:rsid w:val="16A2F68C"/>
    <w:rsid w:val="16A380BE"/>
    <w:rsid w:val="16A3B32C"/>
    <w:rsid w:val="16A466D8"/>
    <w:rsid w:val="16A6E0C0"/>
    <w:rsid w:val="16A93B3A"/>
    <w:rsid w:val="16AA1A6C"/>
    <w:rsid w:val="16AA8297"/>
    <w:rsid w:val="16AA9A6A"/>
    <w:rsid w:val="16AAAD58"/>
    <w:rsid w:val="16AAE102"/>
    <w:rsid w:val="16AD9705"/>
    <w:rsid w:val="16B003C7"/>
    <w:rsid w:val="16B0D6BF"/>
    <w:rsid w:val="16B1DC69"/>
    <w:rsid w:val="16B209B9"/>
    <w:rsid w:val="16B40987"/>
    <w:rsid w:val="16B431DB"/>
    <w:rsid w:val="16B65007"/>
    <w:rsid w:val="16B710F4"/>
    <w:rsid w:val="16B89BE4"/>
    <w:rsid w:val="16BB5B14"/>
    <w:rsid w:val="16BC1E11"/>
    <w:rsid w:val="16BDE616"/>
    <w:rsid w:val="16C043F4"/>
    <w:rsid w:val="16C0506D"/>
    <w:rsid w:val="16C78C24"/>
    <w:rsid w:val="16C7A667"/>
    <w:rsid w:val="16CE7060"/>
    <w:rsid w:val="16D1E222"/>
    <w:rsid w:val="16D22003"/>
    <w:rsid w:val="16D367C3"/>
    <w:rsid w:val="16D83466"/>
    <w:rsid w:val="16DBF17F"/>
    <w:rsid w:val="16DD2DB9"/>
    <w:rsid w:val="16E49513"/>
    <w:rsid w:val="16E6F67C"/>
    <w:rsid w:val="16E839D4"/>
    <w:rsid w:val="16E935EC"/>
    <w:rsid w:val="16E93CF5"/>
    <w:rsid w:val="16EA67C3"/>
    <w:rsid w:val="16EDC6A0"/>
    <w:rsid w:val="16F05418"/>
    <w:rsid w:val="16F25C01"/>
    <w:rsid w:val="16F31D8B"/>
    <w:rsid w:val="16F4A27E"/>
    <w:rsid w:val="16F53298"/>
    <w:rsid w:val="16F5843C"/>
    <w:rsid w:val="16F6CDA1"/>
    <w:rsid w:val="16F71F49"/>
    <w:rsid w:val="16F9542E"/>
    <w:rsid w:val="16FC00CC"/>
    <w:rsid w:val="16FCCA0B"/>
    <w:rsid w:val="16FD106D"/>
    <w:rsid w:val="16FD76AE"/>
    <w:rsid w:val="17011255"/>
    <w:rsid w:val="17059E85"/>
    <w:rsid w:val="1705D5D2"/>
    <w:rsid w:val="170BE924"/>
    <w:rsid w:val="170E7637"/>
    <w:rsid w:val="1711B36D"/>
    <w:rsid w:val="17132C1F"/>
    <w:rsid w:val="1713EF65"/>
    <w:rsid w:val="1714E48C"/>
    <w:rsid w:val="1715347D"/>
    <w:rsid w:val="171570AA"/>
    <w:rsid w:val="1716D594"/>
    <w:rsid w:val="1716F963"/>
    <w:rsid w:val="1717A85C"/>
    <w:rsid w:val="1717DE68"/>
    <w:rsid w:val="171B0771"/>
    <w:rsid w:val="171B3D5B"/>
    <w:rsid w:val="171ED824"/>
    <w:rsid w:val="171F9E08"/>
    <w:rsid w:val="17236C8A"/>
    <w:rsid w:val="172BA958"/>
    <w:rsid w:val="172F27BD"/>
    <w:rsid w:val="172F4B72"/>
    <w:rsid w:val="17329B6A"/>
    <w:rsid w:val="1733AF6E"/>
    <w:rsid w:val="17396844"/>
    <w:rsid w:val="17398318"/>
    <w:rsid w:val="173DEC93"/>
    <w:rsid w:val="173E9EB8"/>
    <w:rsid w:val="173F2E58"/>
    <w:rsid w:val="173F3AED"/>
    <w:rsid w:val="1742E611"/>
    <w:rsid w:val="1742FC00"/>
    <w:rsid w:val="17459567"/>
    <w:rsid w:val="1746038E"/>
    <w:rsid w:val="174613A3"/>
    <w:rsid w:val="174B7D70"/>
    <w:rsid w:val="174C5B7A"/>
    <w:rsid w:val="174EAF9F"/>
    <w:rsid w:val="174F62E9"/>
    <w:rsid w:val="1753E9A9"/>
    <w:rsid w:val="17553AA5"/>
    <w:rsid w:val="1755B50D"/>
    <w:rsid w:val="1757F952"/>
    <w:rsid w:val="1758C17B"/>
    <w:rsid w:val="1759AA38"/>
    <w:rsid w:val="175B43ED"/>
    <w:rsid w:val="175B6E4B"/>
    <w:rsid w:val="175E274B"/>
    <w:rsid w:val="17630783"/>
    <w:rsid w:val="17678056"/>
    <w:rsid w:val="176859FF"/>
    <w:rsid w:val="1768BAAF"/>
    <w:rsid w:val="176AC51F"/>
    <w:rsid w:val="177147B0"/>
    <w:rsid w:val="17714BA0"/>
    <w:rsid w:val="1773061E"/>
    <w:rsid w:val="1773CFC0"/>
    <w:rsid w:val="1773ED7E"/>
    <w:rsid w:val="1778F386"/>
    <w:rsid w:val="17799CF6"/>
    <w:rsid w:val="177A08F5"/>
    <w:rsid w:val="177C994F"/>
    <w:rsid w:val="177D367F"/>
    <w:rsid w:val="177D7685"/>
    <w:rsid w:val="177D87BC"/>
    <w:rsid w:val="177E1F33"/>
    <w:rsid w:val="177E2E12"/>
    <w:rsid w:val="177F1DFB"/>
    <w:rsid w:val="1780644D"/>
    <w:rsid w:val="1782B6D1"/>
    <w:rsid w:val="1782F986"/>
    <w:rsid w:val="17839839"/>
    <w:rsid w:val="17840E11"/>
    <w:rsid w:val="178511F9"/>
    <w:rsid w:val="17870242"/>
    <w:rsid w:val="1787116A"/>
    <w:rsid w:val="178773CA"/>
    <w:rsid w:val="1789F1CD"/>
    <w:rsid w:val="178A624B"/>
    <w:rsid w:val="178F1EAD"/>
    <w:rsid w:val="1798B39A"/>
    <w:rsid w:val="179A9782"/>
    <w:rsid w:val="179D5167"/>
    <w:rsid w:val="179F0039"/>
    <w:rsid w:val="179F2C75"/>
    <w:rsid w:val="17A228A3"/>
    <w:rsid w:val="17A3DC6D"/>
    <w:rsid w:val="17A501B9"/>
    <w:rsid w:val="17A53E38"/>
    <w:rsid w:val="17AAB7F1"/>
    <w:rsid w:val="17AB2911"/>
    <w:rsid w:val="17AC1A81"/>
    <w:rsid w:val="17B3390E"/>
    <w:rsid w:val="17B6B886"/>
    <w:rsid w:val="17B7FD84"/>
    <w:rsid w:val="17B8ACEA"/>
    <w:rsid w:val="17B8F1A9"/>
    <w:rsid w:val="17B989F4"/>
    <w:rsid w:val="17B9B57F"/>
    <w:rsid w:val="17B9C7AB"/>
    <w:rsid w:val="17B9DB97"/>
    <w:rsid w:val="17BA534F"/>
    <w:rsid w:val="17BB2ABC"/>
    <w:rsid w:val="17BC41CC"/>
    <w:rsid w:val="17BDF86E"/>
    <w:rsid w:val="17BE236E"/>
    <w:rsid w:val="17BE3041"/>
    <w:rsid w:val="17C0384A"/>
    <w:rsid w:val="17C22D0D"/>
    <w:rsid w:val="17C6D3F8"/>
    <w:rsid w:val="17C976E2"/>
    <w:rsid w:val="17CA04E1"/>
    <w:rsid w:val="17CB0E27"/>
    <w:rsid w:val="17CB76DB"/>
    <w:rsid w:val="17CC7FC8"/>
    <w:rsid w:val="17CD65B5"/>
    <w:rsid w:val="17CE7FF3"/>
    <w:rsid w:val="17CEE0AC"/>
    <w:rsid w:val="17D25F48"/>
    <w:rsid w:val="17D4D29E"/>
    <w:rsid w:val="17D82539"/>
    <w:rsid w:val="17D8BCF8"/>
    <w:rsid w:val="17D9FEA4"/>
    <w:rsid w:val="17DD31BE"/>
    <w:rsid w:val="17DE1920"/>
    <w:rsid w:val="17DEF094"/>
    <w:rsid w:val="17DF21BD"/>
    <w:rsid w:val="17E178B4"/>
    <w:rsid w:val="17E17AB7"/>
    <w:rsid w:val="17E2C35F"/>
    <w:rsid w:val="17E9F8CE"/>
    <w:rsid w:val="17EBF670"/>
    <w:rsid w:val="17EF3229"/>
    <w:rsid w:val="17F197E2"/>
    <w:rsid w:val="17F2DCAA"/>
    <w:rsid w:val="17F94A76"/>
    <w:rsid w:val="17F9AA90"/>
    <w:rsid w:val="17FA4E25"/>
    <w:rsid w:val="17FB07CB"/>
    <w:rsid w:val="17FDEE9E"/>
    <w:rsid w:val="1800FF4C"/>
    <w:rsid w:val="180302F5"/>
    <w:rsid w:val="1803490A"/>
    <w:rsid w:val="1803C136"/>
    <w:rsid w:val="1803FB97"/>
    <w:rsid w:val="1807B54B"/>
    <w:rsid w:val="18085135"/>
    <w:rsid w:val="1808FED7"/>
    <w:rsid w:val="1809964F"/>
    <w:rsid w:val="1809B88E"/>
    <w:rsid w:val="180ABB66"/>
    <w:rsid w:val="180BDC10"/>
    <w:rsid w:val="180E27FF"/>
    <w:rsid w:val="180F1B98"/>
    <w:rsid w:val="18109F77"/>
    <w:rsid w:val="1813D13B"/>
    <w:rsid w:val="1815CE73"/>
    <w:rsid w:val="1817AD26"/>
    <w:rsid w:val="1819D5F0"/>
    <w:rsid w:val="181B76E4"/>
    <w:rsid w:val="181BE4BE"/>
    <w:rsid w:val="181DE63A"/>
    <w:rsid w:val="1820321A"/>
    <w:rsid w:val="182134F0"/>
    <w:rsid w:val="1821C7A7"/>
    <w:rsid w:val="1828ECB5"/>
    <w:rsid w:val="18292453"/>
    <w:rsid w:val="18294EC4"/>
    <w:rsid w:val="182D723A"/>
    <w:rsid w:val="182DCAF9"/>
    <w:rsid w:val="182EBDC0"/>
    <w:rsid w:val="182ED853"/>
    <w:rsid w:val="1832D7B1"/>
    <w:rsid w:val="18346DBC"/>
    <w:rsid w:val="1835D51B"/>
    <w:rsid w:val="1836010D"/>
    <w:rsid w:val="18362E5F"/>
    <w:rsid w:val="18388012"/>
    <w:rsid w:val="183BA168"/>
    <w:rsid w:val="183D2E4B"/>
    <w:rsid w:val="183E7393"/>
    <w:rsid w:val="183F4C95"/>
    <w:rsid w:val="183F9C69"/>
    <w:rsid w:val="184438E7"/>
    <w:rsid w:val="18449A23"/>
    <w:rsid w:val="1846840A"/>
    <w:rsid w:val="18470A1E"/>
    <w:rsid w:val="184869AC"/>
    <w:rsid w:val="18487DF7"/>
    <w:rsid w:val="184AF6AF"/>
    <w:rsid w:val="184C8D85"/>
    <w:rsid w:val="184F9EC4"/>
    <w:rsid w:val="185642D4"/>
    <w:rsid w:val="18575996"/>
    <w:rsid w:val="185BB8A8"/>
    <w:rsid w:val="185C8EB3"/>
    <w:rsid w:val="185CCC47"/>
    <w:rsid w:val="185D63BA"/>
    <w:rsid w:val="185E0C29"/>
    <w:rsid w:val="185E99D3"/>
    <w:rsid w:val="18608801"/>
    <w:rsid w:val="1862F3F2"/>
    <w:rsid w:val="1864F2E0"/>
    <w:rsid w:val="1865B1F4"/>
    <w:rsid w:val="186762D5"/>
    <w:rsid w:val="18679A6C"/>
    <w:rsid w:val="1867F5B5"/>
    <w:rsid w:val="186837CB"/>
    <w:rsid w:val="186B83E6"/>
    <w:rsid w:val="186BE2E3"/>
    <w:rsid w:val="186E006A"/>
    <w:rsid w:val="18709DBF"/>
    <w:rsid w:val="18725BCA"/>
    <w:rsid w:val="187267EA"/>
    <w:rsid w:val="1872F333"/>
    <w:rsid w:val="1875196A"/>
    <w:rsid w:val="1875C4D3"/>
    <w:rsid w:val="18792C73"/>
    <w:rsid w:val="187A18FA"/>
    <w:rsid w:val="187BBF0A"/>
    <w:rsid w:val="187DFE8C"/>
    <w:rsid w:val="1885D72D"/>
    <w:rsid w:val="18890551"/>
    <w:rsid w:val="188A302D"/>
    <w:rsid w:val="189265EE"/>
    <w:rsid w:val="18927A7E"/>
    <w:rsid w:val="1895759C"/>
    <w:rsid w:val="18967B72"/>
    <w:rsid w:val="189B627D"/>
    <w:rsid w:val="189CDAAC"/>
    <w:rsid w:val="189F0711"/>
    <w:rsid w:val="18A0BE3E"/>
    <w:rsid w:val="18A1BF84"/>
    <w:rsid w:val="18A33923"/>
    <w:rsid w:val="18A435FB"/>
    <w:rsid w:val="18A595E2"/>
    <w:rsid w:val="18A59EFA"/>
    <w:rsid w:val="18A5B7BF"/>
    <w:rsid w:val="18AC12B3"/>
    <w:rsid w:val="18B4B6A1"/>
    <w:rsid w:val="18B564B9"/>
    <w:rsid w:val="18B68FB3"/>
    <w:rsid w:val="18B6B1FB"/>
    <w:rsid w:val="18B6BA3E"/>
    <w:rsid w:val="18B6FB90"/>
    <w:rsid w:val="18B7F137"/>
    <w:rsid w:val="18B86F06"/>
    <w:rsid w:val="18BA3ED9"/>
    <w:rsid w:val="18BD83EE"/>
    <w:rsid w:val="18C2D0BC"/>
    <w:rsid w:val="18C3576C"/>
    <w:rsid w:val="18C56D10"/>
    <w:rsid w:val="18C5EF57"/>
    <w:rsid w:val="18C79523"/>
    <w:rsid w:val="18C89052"/>
    <w:rsid w:val="18CABA36"/>
    <w:rsid w:val="18CB7EC7"/>
    <w:rsid w:val="18CD466D"/>
    <w:rsid w:val="18CE0E63"/>
    <w:rsid w:val="18CF2E43"/>
    <w:rsid w:val="18D2CA03"/>
    <w:rsid w:val="18D3ABF7"/>
    <w:rsid w:val="18D3D188"/>
    <w:rsid w:val="18D456FE"/>
    <w:rsid w:val="18D58C60"/>
    <w:rsid w:val="18D66000"/>
    <w:rsid w:val="18D90623"/>
    <w:rsid w:val="18DC3869"/>
    <w:rsid w:val="18DCBF8F"/>
    <w:rsid w:val="18DD5BFA"/>
    <w:rsid w:val="18E08EA6"/>
    <w:rsid w:val="18E20D19"/>
    <w:rsid w:val="18E23BB7"/>
    <w:rsid w:val="18E27414"/>
    <w:rsid w:val="18E3B85F"/>
    <w:rsid w:val="18E4D954"/>
    <w:rsid w:val="18E67814"/>
    <w:rsid w:val="18E6F2A7"/>
    <w:rsid w:val="18E71EF1"/>
    <w:rsid w:val="18E75EBF"/>
    <w:rsid w:val="18E81D5D"/>
    <w:rsid w:val="18E83435"/>
    <w:rsid w:val="18E8776C"/>
    <w:rsid w:val="18E8E1E9"/>
    <w:rsid w:val="18EA0E2E"/>
    <w:rsid w:val="18ECC2ED"/>
    <w:rsid w:val="18EEEA83"/>
    <w:rsid w:val="18EF6AC4"/>
    <w:rsid w:val="18F4644B"/>
    <w:rsid w:val="18F4CB1A"/>
    <w:rsid w:val="18F545B4"/>
    <w:rsid w:val="18FA0525"/>
    <w:rsid w:val="18FD3718"/>
    <w:rsid w:val="18FE0569"/>
    <w:rsid w:val="190032D6"/>
    <w:rsid w:val="19005338"/>
    <w:rsid w:val="190124DF"/>
    <w:rsid w:val="19055171"/>
    <w:rsid w:val="1906A907"/>
    <w:rsid w:val="190AC624"/>
    <w:rsid w:val="190AEC02"/>
    <w:rsid w:val="190D0958"/>
    <w:rsid w:val="190E4FD9"/>
    <w:rsid w:val="190EA5B8"/>
    <w:rsid w:val="1911690E"/>
    <w:rsid w:val="191713AF"/>
    <w:rsid w:val="191A3DBA"/>
    <w:rsid w:val="191B5F9B"/>
    <w:rsid w:val="191B6776"/>
    <w:rsid w:val="191C94CD"/>
    <w:rsid w:val="191E36C0"/>
    <w:rsid w:val="191E530C"/>
    <w:rsid w:val="1920508D"/>
    <w:rsid w:val="19205F76"/>
    <w:rsid w:val="1920A36A"/>
    <w:rsid w:val="1920D671"/>
    <w:rsid w:val="1920EC88"/>
    <w:rsid w:val="1922E1E1"/>
    <w:rsid w:val="19245B4B"/>
    <w:rsid w:val="1925B299"/>
    <w:rsid w:val="19274658"/>
    <w:rsid w:val="19280FA9"/>
    <w:rsid w:val="192921FE"/>
    <w:rsid w:val="192BC171"/>
    <w:rsid w:val="192BD0FA"/>
    <w:rsid w:val="192C664D"/>
    <w:rsid w:val="192CD831"/>
    <w:rsid w:val="192F8716"/>
    <w:rsid w:val="19312986"/>
    <w:rsid w:val="1932BD51"/>
    <w:rsid w:val="1932D4C2"/>
    <w:rsid w:val="19344DAA"/>
    <w:rsid w:val="1937D1E7"/>
    <w:rsid w:val="19393EC8"/>
    <w:rsid w:val="193D638E"/>
    <w:rsid w:val="193D67C5"/>
    <w:rsid w:val="1940EFB6"/>
    <w:rsid w:val="1941850D"/>
    <w:rsid w:val="1944211A"/>
    <w:rsid w:val="1944DCEE"/>
    <w:rsid w:val="1944E7F4"/>
    <w:rsid w:val="1946F136"/>
    <w:rsid w:val="1947A3AF"/>
    <w:rsid w:val="1948EE8A"/>
    <w:rsid w:val="194AB249"/>
    <w:rsid w:val="194D0D08"/>
    <w:rsid w:val="194E7534"/>
    <w:rsid w:val="1955DE8B"/>
    <w:rsid w:val="19565186"/>
    <w:rsid w:val="195849ED"/>
    <w:rsid w:val="195D5E5F"/>
    <w:rsid w:val="195DF7B2"/>
    <w:rsid w:val="1960702F"/>
    <w:rsid w:val="1960A226"/>
    <w:rsid w:val="1960E336"/>
    <w:rsid w:val="19623468"/>
    <w:rsid w:val="19653137"/>
    <w:rsid w:val="19664CCF"/>
    <w:rsid w:val="196668CF"/>
    <w:rsid w:val="1966C451"/>
    <w:rsid w:val="196783E6"/>
    <w:rsid w:val="1968CEEE"/>
    <w:rsid w:val="196991FA"/>
    <w:rsid w:val="196C9CAC"/>
    <w:rsid w:val="196FA839"/>
    <w:rsid w:val="19717BCA"/>
    <w:rsid w:val="19717D3D"/>
    <w:rsid w:val="1971B15F"/>
    <w:rsid w:val="19732110"/>
    <w:rsid w:val="19732C2D"/>
    <w:rsid w:val="19740C97"/>
    <w:rsid w:val="19762656"/>
    <w:rsid w:val="1976C88F"/>
    <w:rsid w:val="1977FDD9"/>
    <w:rsid w:val="19790473"/>
    <w:rsid w:val="197980A4"/>
    <w:rsid w:val="197BA0DA"/>
    <w:rsid w:val="197C143A"/>
    <w:rsid w:val="197EC6B0"/>
    <w:rsid w:val="19804A45"/>
    <w:rsid w:val="1982873C"/>
    <w:rsid w:val="1984FC28"/>
    <w:rsid w:val="1985DD84"/>
    <w:rsid w:val="19867E50"/>
    <w:rsid w:val="19895549"/>
    <w:rsid w:val="198B31E0"/>
    <w:rsid w:val="198B45D4"/>
    <w:rsid w:val="198BEC22"/>
    <w:rsid w:val="198CB645"/>
    <w:rsid w:val="198FBE58"/>
    <w:rsid w:val="1991A667"/>
    <w:rsid w:val="1994E9FA"/>
    <w:rsid w:val="1998507B"/>
    <w:rsid w:val="19994ABF"/>
    <w:rsid w:val="199DB907"/>
    <w:rsid w:val="199E0819"/>
    <w:rsid w:val="199E4567"/>
    <w:rsid w:val="199EBB61"/>
    <w:rsid w:val="199EE3DF"/>
    <w:rsid w:val="199F6342"/>
    <w:rsid w:val="19A25B0B"/>
    <w:rsid w:val="19A50CA1"/>
    <w:rsid w:val="19A563C0"/>
    <w:rsid w:val="19A85185"/>
    <w:rsid w:val="19A8D2AD"/>
    <w:rsid w:val="19A9BC4D"/>
    <w:rsid w:val="19AD73FA"/>
    <w:rsid w:val="19AD7795"/>
    <w:rsid w:val="19AFB95C"/>
    <w:rsid w:val="19B0EEC0"/>
    <w:rsid w:val="19B6D2D7"/>
    <w:rsid w:val="19B811D7"/>
    <w:rsid w:val="19B9201A"/>
    <w:rsid w:val="19B9E909"/>
    <w:rsid w:val="19BB184D"/>
    <w:rsid w:val="19BE1F14"/>
    <w:rsid w:val="19C16C63"/>
    <w:rsid w:val="19C54816"/>
    <w:rsid w:val="19C5EBED"/>
    <w:rsid w:val="19C62ECC"/>
    <w:rsid w:val="19C68B06"/>
    <w:rsid w:val="19C7587E"/>
    <w:rsid w:val="19C7644F"/>
    <w:rsid w:val="19CC49B1"/>
    <w:rsid w:val="19CE43F3"/>
    <w:rsid w:val="19CFB3F7"/>
    <w:rsid w:val="19D69577"/>
    <w:rsid w:val="19D6BFE9"/>
    <w:rsid w:val="19D6F182"/>
    <w:rsid w:val="19D7B07C"/>
    <w:rsid w:val="19DBDA0C"/>
    <w:rsid w:val="19DDE15C"/>
    <w:rsid w:val="19E2F4CD"/>
    <w:rsid w:val="19E5A8A4"/>
    <w:rsid w:val="19EB55C7"/>
    <w:rsid w:val="19ECC9C9"/>
    <w:rsid w:val="19ECF97E"/>
    <w:rsid w:val="19EE64D1"/>
    <w:rsid w:val="19F088FC"/>
    <w:rsid w:val="19F0E8EC"/>
    <w:rsid w:val="19F1E0A2"/>
    <w:rsid w:val="19F25B10"/>
    <w:rsid w:val="19F2B91E"/>
    <w:rsid w:val="19F473BF"/>
    <w:rsid w:val="19F62729"/>
    <w:rsid w:val="19F7B907"/>
    <w:rsid w:val="19F7D98D"/>
    <w:rsid w:val="19FA6B88"/>
    <w:rsid w:val="19FEB37C"/>
    <w:rsid w:val="19FF54D6"/>
    <w:rsid w:val="1A00FA85"/>
    <w:rsid w:val="1A02AB90"/>
    <w:rsid w:val="1A02FF05"/>
    <w:rsid w:val="1A05AEEA"/>
    <w:rsid w:val="1A062434"/>
    <w:rsid w:val="1A063885"/>
    <w:rsid w:val="1A07E619"/>
    <w:rsid w:val="1A0A53B9"/>
    <w:rsid w:val="1A0BA775"/>
    <w:rsid w:val="1A0D82AA"/>
    <w:rsid w:val="1A0EAEC3"/>
    <w:rsid w:val="1A109186"/>
    <w:rsid w:val="1A146386"/>
    <w:rsid w:val="1A15F8CD"/>
    <w:rsid w:val="1A1618EA"/>
    <w:rsid w:val="1A182E19"/>
    <w:rsid w:val="1A18394B"/>
    <w:rsid w:val="1A197EEA"/>
    <w:rsid w:val="1A1E068A"/>
    <w:rsid w:val="1A1E6ADD"/>
    <w:rsid w:val="1A1F4A20"/>
    <w:rsid w:val="1A202C29"/>
    <w:rsid w:val="1A20CCB1"/>
    <w:rsid w:val="1A211E13"/>
    <w:rsid w:val="1A220882"/>
    <w:rsid w:val="1A24D187"/>
    <w:rsid w:val="1A24FA74"/>
    <w:rsid w:val="1A316DAD"/>
    <w:rsid w:val="1A3357CC"/>
    <w:rsid w:val="1A3562D6"/>
    <w:rsid w:val="1A397B3D"/>
    <w:rsid w:val="1A3B7ABD"/>
    <w:rsid w:val="1A403E2D"/>
    <w:rsid w:val="1A40B6A0"/>
    <w:rsid w:val="1A416DCB"/>
    <w:rsid w:val="1A42EB46"/>
    <w:rsid w:val="1A43C0C4"/>
    <w:rsid w:val="1A47FE62"/>
    <w:rsid w:val="1A4C3A37"/>
    <w:rsid w:val="1A4E67E9"/>
    <w:rsid w:val="1A4F1942"/>
    <w:rsid w:val="1A4FB8A0"/>
    <w:rsid w:val="1A511B51"/>
    <w:rsid w:val="1A53C4B4"/>
    <w:rsid w:val="1A550DF0"/>
    <w:rsid w:val="1A557EC4"/>
    <w:rsid w:val="1A584F5E"/>
    <w:rsid w:val="1A58D8A1"/>
    <w:rsid w:val="1A5B121F"/>
    <w:rsid w:val="1A5C25EB"/>
    <w:rsid w:val="1A5C7A22"/>
    <w:rsid w:val="1A5D8E26"/>
    <w:rsid w:val="1A5D9331"/>
    <w:rsid w:val="1A5D93E8"/>
    <w:rsid w:val="1A62B3B7"/>
    <w:rsid w:val="1A634385"/>
    <w:rsid w:val="1A63F6CB"/>
    <w:rsid w:val="1A655F20"/>
    <w:rsid w:val="1A65776A"/>
    <w:rsid w:val="1A66F4FD"/>
    <w:rsid w:val="1A67AFE5"/>
    <w:rsid w:val="1A692D3C"/>
    <w:rsid w:val="1A6A17C4"/>
    <w:rsid w:val="1A6A610A"/>
    <w:rsid w:val="1A6ADD4C"/>
    <w:rsid w:val="1A6B6FA0"/>
    <w:rsid w:val="1A6C6B54"/>
    <w:rsid w:val="1A708F44"/>
    <w:rsid w:val="1A753E2D"/>
    <w:rsid w:val="1A766C12"/>
    <w:rsid w:val="1A77736D"/>
    <w:rsid w:val="1A788F9B"/>
    <w:rsid w:val="1A790EEE"/>
    <w:rsid w:val="1A7D8BAF"/>
    <w:rsid w:val="1A7F85EE"/>
    <w:rsid w:val="1A7FB369"/>
    <w:rsid w:val="1A828999"/>
    <w:rsid w:val="1A87B577"/>
    <w:rsid w:val="1A87EE0F"/>
    <w:rsid w:val="1A884A6D"/>
    <w:rsid w:val="1A890200"/>
    <w:rsid w:val="1A8C12E8"/>
    <w:rsid w:val="1A8C7045"/>
    <w:rsid w:val="1A8EC53F"/>
    <w:rsid w:val="1A903E55"/>
    <w:rsid w:val="1A91E5BA"/>
    <w:rsid w:val="1A93022B"/>
    <w:rsid w:val="1A964718"/>
    <w:rsid w:val="1A96F995"/>
    <w:rsid w:val="1A97E56F"/>
    <w:rsid w:val="1A98EB58"/>
    <w:rsid w:val="1A9CBBC5"/>
    <w:rsid w:val="1A9E410D"/>
    <w:rsid w:val="1A9E8054"/>
    <w:rsid w:val="1A9F02C6"/>
    <w:rsid w:val="1AA1C33F"/>
    <w:rsid w:val="1AA90E09"/>
    <w:rsid w:val="1AAB1289"/>
    <w:rsid w:val="1AABC036"/>
    <w:rsid w:val="1AAD1205"/>
    <w:rsid w:val="1AAD81DA"/>
    <w:rsid w:val="1AAE2F31"/>
    <w:rsid w:val="1AAFF495"/>
    <w:rsid w:val="1AB03496"/>
    <w:rsid w:val="1AB18C58"/>
    <w:rsid w:val="1AB19CC2"/>
    <w:rsid w:val="1AB1A0DD"/>
    <w:rsid w:val="1AB1CCD1"/>
    <w:rsid w:val="1AB2EF2C"/>
    <w:rsid w:val="1AB3FCE2"/>
    <w:rsid w:val="1AB44192"/>
    <w:rsid w:val="1AB5335B"/>
    <w:rsid w:val="1AB801EB"/>
    <w:rsid w:val="1ABC5873"/>
    <w:rsid w:val="1ABFC0B9"/>
    <w:rsid w:val="1AC040D1"/>
    <w:rsid w:val="1AC0E935"/>
    <w:rsid w:val="1AC3C149"/>
    <w:rsid w:val="1AC41361"/>
    <w:rsid w:val="1AC560F9"/>
    <w:rsid w:val="1AC59464"/>
    <w:rsid w:val="1ACA15C5"/>
    <w:rsid w:val="1ACD0C51"/>
    <w:rsid w:val="1ACF72B8"/>
    <w:rsid w:val="1AD2F0E0"/>
    <w:rsid w:val="1AD85D1D"/>
    <w:rsid w:val="1ADCB6A0"/>
    <w:rsid w:val="1ADE88FF"/>
    <w:rsid w:val="1ADEB154"/>
    <w:rsid w:val="1ADF1947"/>
    <w:rsid w:val="1ADF36D7"/>
    <w:rsid w:val="1ADFD668"/>
    <w:rsid w:val="1AE0103F"/>
    <w:rsid w:val="1AE0D6CB"/>
    <w:rsid w:val="1AE219FB"/>
    <w:rsid w:val="1AE2DA58"/>
    <w:rsid w:val="1AE2EED4"/>
    <w:rsid w:val="1AE44715"/>
    <w:rsid w:val="1AE54F1F"/>
    <w:rsid w:val="1AE83BF7"/>
    <w:rsid w:val="1AE8B4A3"/>
    <w:rsid w:val="1AE90183"/>
    <w:rsid w:val="1AEA4AB5"/>
    <w:rsid w:val="1AEB5E78"/>
    <w:rsid w:val="1AEC237B"/>
    <w:rsid w:val="1AEE1BDB"/>
    <w:rsid w:val="1AEF3291"/>
    <w:rsid w:val="1AF04996"/>
    <w:rsid w:val="1AF1FE64"/>
    <w:rsid w:val="1AF44650"/>
    <w:rsid w:val="1AF48196"/>
    <w:rsid w:val="1AF657A9"/>
    <w:rsid w:val="1AF75209"/>
    <w:rsid w:val="1AF85A13"/>
    <w:rsid w:val="1AF96DC1"/>
    <w:rsid w:val="1AFB3DB3"/>
    <w:rsid w:val="1AFD1F19"/>
    <w:rsid w:val="1AFD6069"/>
    <w:rsid w:val="1AFDE4AB"/>
    <w:rsid w:val="1AFE7175"/>
    <w:rsid w:val="1AFFD549"/>
    <w:rsid w:val="1B0059E1"/>
    <w:rsid w:val="1B02C0DB"/>
    <w:rsid w:val="1B042D9A"/>
    <w:rsid w:val="1B06B3F0"/>
    <w:rsid w:val="1B079996"/>
    <w:rsid w:val="1B0AD2DF"/>
    <w:rsid w:val="1B0B7373"/>
    <w:rsid w:val="1B0BF4AA"/>
    <w:rsid w:val="1B0C1585"/>
    <w:rsid w:val="1B0CEF6F"/>
    <w:rsid w:val="1B0D7DF3"/>
    <w:rsid w:val="1B0DC129"/>
    <w:rsid w:val="1B0E9D47"/>
    <w:rsid w:val="1B1246D6"/>
    <w:rsid w:val="1B12AB20"/>
    <w:rsid w:val="1B14DC6C"/>
    <w:rsid w:val="1B1A2630"/>
    <w:rsid w:val="1B1B9355"/>
    <w:rsid w:val="1B1CDC61"/>
    <w:rsid w:val="1B1E7368"/>
    <w:rsid w:val="1B1F658E"/>
    <w:rsid w:val="1B1FEF49"/>
    <w:rsid w:val="1B212BC4"/>
    <w:rsid w:val="1B219F0F"/>
    <w:rsid w:val="1B22A7AF"/>
    <w:rsid w:val="1B26DFB0"/>
    <w:rsid w:val="1B271DFB"/>
    <w:rsid w:val="1B276989"/>
    <w:rsid w:val="1B282AD4"/>
    <w:rsid w:val="1B28C482"/>
    <w:rsid w:val="1B2A3348"/>
    <w:rsid w:val="1B2A6621"/>
    <w:rsid w:val="1B2C439F"/>
    <w:rsid w:val="1B2F3154"/>
    <w:rsid w:val="1B2FB8AB"/>
    <w:rsid w:val="1B329EF7"/>
    <w:rsid w:val="1B3562B6"/>
    <w:rsid w:val="1B36B1AC"/>
    <w:rsid w:val="1B36D8BC"/>
    <w:rsid w:val="1B36D90B"/>
    <w:rsid w:val="1B38AE95"/>
    <w:rsid w:val="1B38BF22"/>
    <w:rsid w:val="1B38D02D"/>
    <w:rsid w:val="1B390B2E"/>
    <w:rsid w:val="1B39557F"/>
    <w:rsid w:val="1B3A1C10"/>
    <w:rsid w:val="1B3A2F92"/>
    <w:rsid w:val="1B3AF086"/>
    <w:rsid w:val="1B3C3E2F"/>
    <w:rsid w:val="1B3D2A3B"/>
    <w:rsid w:val="1B3EE6AE"/>
    <w:rsid w:val="1B40D58A"/>
    <w:rsid w:val="1B40F8C6"/>
    <w:rsid w:val="1B42F853"/>
    <w:rsid w:val="1B4385CC"/>
    <w:rsid w:val="1B480F5C"/>
    <w:rsid w:val="1B49CDF3"/>
    <w:rsid w:val="1B4B9C8B"/>
    <w:rsid w:val="1B4C16B1"/>
    <w:rsid w:val="1B4C529A"/>
    <w:rsid w:val="1B4E1B29"/>
    <w:rsid w:val="1B527162"/>
    <w:rsid w:val="1B539430"/>
    <w:rsid w:val="1B5419C0"/>
    <w:rsid w:val="1B58C1C8"/>
    <w:rsid w:val="1B5F6A4C"/>
    <w:rsid w:val="1B60B020"/>
    <w:rsid w:val="1B61E943"/>
    <w:rsid w:val="1B61ECBC"/>
    <w:rsid w:val="1B628ADB"/>
    <w:rsid w:val="1B65E8C0"/>
    <w:rsid w:val="1B668DC0"/>
    <w:rsid w:val="1B67C221"/>
    <w:rsid w:val="1B68C272"/>
    <w:rsid w:val="1B692613"/>
    <w:rsid w:val="1B699BF7"/>
    <w:rsid w:val="1B6F56E1"/>
    <w:rsid w:val="1B70EF31"/>
    <w:rsid w:val="1B740AD9"/>
    <w:rsid w:val="1B7455F0"/>
    <w:rsid w:val="1B75B9F4"/>
    <w:rsid w:val="1B75D6DD"/>
    <w:rsid w:val="1B760A20"/>
    <w:rsid w:val="1B7B01F9"/>
    <w:rsid w:val="1B7C96B8"/>
    <w:rsid w:val="1B7E5E02"/>
    <w:rsid w:val="1B7E7B55"/>
    <w:rsid w:val="1B80F75A"/>
    <w:rsid w:val="1B81F648"/>
    <w:rsid w:val="1B83C899"/>
    <w:rsid w:val="1B864B24"/>
    <w:rsid w:val="1B8C8ED9"/>
    <w:rsid w:val="1B96549A"/>
    <w:rsid w:val="1B975589"/>
    <w:rsid w:val="1B984586"/>
    <w:rsid w:val="1B99107A"/>
    <w:rsid w:val="1B999360"/>
    <w:rsid w:val="1B9A143D"/>
    <w:rsid w:val="1B9C3BF2"/>
    <w:rsid w:val="1BA2280F"/>
    <w:rsid w:val="1BA2519D"/>
    <w:rsid w:val="1BA287DB"/>
    <w:rsid w:val="1BA5AE26"/>
    <w:rsid w:val="1BAA8CEA"/>
    <w:rsid w:val="1BAA8E03"/>
    <w:rsid w:val="1BAB92D1"/>
    <w:rsid w:val="1BAE40DD"/>
    <w:rsid w:val="1BB24C6C"/>
    <w:rsid w:val="1BB264B1"/>
    <w:rsid w:val="1BB6EA52"/>
    <w:rsid w:val="1BB7B774"/>
    <w:rsid w:val="1BB85126"/>
    <w:rsid w:val="1BB89C5D"/>
    <w:rsid w:val="1BB98ED7"/>
    <w:rsid w:val="1BC00219"/>
    <w:rsid w:val="1BC37968"/>
    <w:rsid w:val="1BC386F9"/>
    <w:rsid w:val="1BC512AF"/>
    <w:rsid w:val="1BC6E5BC"/>
    <w:rsid w:val="1BCB4E6F"/>
    <w:rsid w:val="1BCD8A1B"/>
    <w:rsid w:val="1BCE8F3E"/>
    <w:rsid w:val="1BCF46D8"/>
    <w:rsid w:val="1BD01A20"/>
    <w:rsid w:val="1BD0278D"/>
    <w:rsid w:val="1BD1B7E4"/>
    <w:rsid w:val="1BD449D2"/>
    <w:rsid w:val="1BD74B75"/>
    <w:rsid w:val="1BD967FB"/>
    <w:rsid w:val="1BD998B6"/>
    <w:rsid w:val="1BDDA157"/>
    <w:rsid w:val="1BE24D3E"/>
    <w:rsid w:val="1BEACE95"/>
    <w:rsid w:val="1BEC78D7"/>
    <w:rsid w:val="1BEDD9C4"/>
    <w:rsid w:val="1BF1400F"/>
    <w:rsid w:val="1BF38D1E"/>
    <w:rsid w:val="1BF390EC"/>
    <w:rsid w:val="1BF5F955"/>
    <w:rsid w:val="1BF80993"/>
    <w:rsid w:val="1BF92A0C"/>
    <w:rsid w:val="1BFBEA1A"/>
    <w:rsid w:val="1BFF0AC1"/>
    <w:rsid w:val="1BFF51C7"/>
    <w:rsid w:val="1BFFB1AF"/>
    <w:rsid w:val="1C0233EF"/>
    <w:rsid w:val="1C0587F1"/>
    <w:rsid w:val="1C06CC83"/>
    <w:rsid w:val="1C084CB3"/>
    <w:rsid w:val="1C08FD28"/>
    <w:rsid w:val="1C0C06B4"/>
    <w:rsid w:val="1C0C8EEF"/>
    <w:rsid w:val="1C0DB4C2"/>
    <w:rsid w:val="1C0E43E7"/>
    <w:rsid w:val="1C10C909"/>
    <w:rsid w:val="1C126B47"/>
    <w:rsid w:val="1C13A295"/>
    <w:rsid w:val="1C14BF3E"/>
    <w:rsid w:val="1C176EB2"/>
    <w:rsid w:val="1C1771F9"/>
    <w:rsid w:val="1C18EBFF"/>
    <w:rsid w:val="1C19141F"/>
    <w:rsid w:val="1C19616D"/>
    <w:rsid w:val="1C1D23BD"/>
    <w:rsid w:val="1C1EFBB9"/>
    <w:rsid w:val="1C206812"/>
    <w:rsid w:val="1C210EE4"/>
    <w:rsid w:val="1C21A5FE"/>
    <w:rsid w:val="1C2382E8"/>
    <w:rsid w:val="1C23E0EA"/>
    <w:rsid w:val="1C25C10A"/>
    <w:rsid w:val="1C276D41"/>
    <w:rsid w:val="1C2A5723"/>
    <w:rsid w:val="1C2A75AC"/>
    <w:rsid w:val="1C2B9507"/>
    <w:rsid w:val="1C2DE5E5"/>
    <w:rsid w:val="1C30B293"/>
    <w:rsid w:val="1C32968F"/>
    <w:rsid w:val="1C3757DB"/>
    <w:rsid w:val="1C3A0D71"/>
    <w:rsid w:val="1C3FA02C"/>
    <w:rsid w:val="1C40BBB0"/>
    <w:rsid w:val="1C413B88"/>
    <w:rsid w:val="1C43FE3D"/>
    <w:rsid w:val="1C44F905"/>
    <w:rsid w:val="1C45E436"/>
    <w:rsid w:val="1C47616A"/>
    <w:rsid w:val="1C48B3A8"/>
    <w:rsid w:val="1C4C28A1"/>
    <w:rsid w:val="1C4E5981"/>
    <w:rsid w:val="1C547772"/>
    <w:rsid w:val="1C57AB8E"/>
    <w:rsid w:val="1C581262"/>
    <w:rsid w:val="1C59D43B"/>
    <w:rsid w:val="1C5B7992"/>
    <w:rsid w:val="1C5B81D6"/>
    <w:rsid w:val="1C5C3D49"/>
    <w:rsid w:val="1C5C5FC9"/>
    <w:rsid w:val="1C5DB887"/>
    <w:rsid w:val="1C5E7E1A"/>
    <w:rsid w:val="1C5FA4F6"/>
    <w:rsid w:val="1C6516F8"/>
    <w:rsid w:val="1C65B630"/>
    <w:rsid w:val="1C6EA578"/>
    <w:rsid w:val="1C729A28"/>
    <w:rsid w:val="1C736571"/>
    <w:rsid w:val="1C73FE41"/>
    <w:rsid w:val="1C75D72F"/>
    <w:rsid w:val="1C77CF2B"/>
    <w:rsid w:val="1C787DBB"/>
    <w:rsid w:val="1C7A7A00"/>
    <w:rsid w:val="1C7BDD69"/>
    <w:rsid w:val="1C7CCAC5"/>
    <w:rsid w:val="1C7E24F8"/>
    <w:rsid w:val="1C7E509A"/>
    <w:rsid w:val="1C83CF4D"/>
    <w:rsid w:val="1C84D666"/>
    <w:rsid w:val="1C8655DB"/>
    <w:rsid w:val="1C87C81A"/>
    <w:rsid w:val="1C87F4B9"/>
    <w:rsid w:val="1C88E3A6"/>
    <w:rsid w:val="1C8B641D"/>
    <w:rsid w:val="1C8BBEBF"/>
    <w:rsid w:val="1C8C1EED"/>
    <w:rsid w:val="1C900276"/>
    <w:rsid w:val="1C958DD9"/>
    <w:rsid w:val="1C9599C2"/>
    <w:rsid w:val="1C9926F1"/>
    <w:rsid w:val="1C99538F"/>
    <w:rsid w:val="1C9B4460"/>
    <w:rsid w:val="1C9DC63C"/>
    <w:rsid w:val="1C9F16CC"/>
    <w:rsid w:val="1C9F3177"/>
    <w:rsid w:val="1C9F653C"/>
    <w:rsid w:val="1CA1501E"/>
    <w:rsid w:val="1CA4E058"/>
    <w:rsid w:val="1CA86B7F"/>
    <w:rsid w:val="1CA8D923"/>
    <w:rsid w:val="1CAB8678"/>
    <w:rsid w:val="1CACEED1"/>
    <w:rsid w:val="1CADB751"/>
    <w:rsid w:val="1CAE549A"/>
    <w:rsid w:val="1CAF7DC1"/>
    <w:rsid w:val="1CB153C4"/>
    <w:rsid w:val="1CB3B68E"/>
    <w:rsid w:val="1CB5EBC1"/>
    <w:rsid w:val="1CB7D13C"/>
    <w:rsid w:val="1CB7DE4A"/>
    <w:rsid w:val="1CB8A7EE"/>
    <w:rsid w:val="1CB8EBBB"/>
    <w:rsid w:val="1CB9AD99"/>
    <w:rsid w:val="1CBA580E"/>
    <w:rsid w:val="1CBD46FB"/>
    <w:rsid w:val="1CBF26CB"/>
    <w:rsid w:val="1CC0FFE2"/>
    <w:rsid w:val="1CC2F997"/>
    <w:rsid w:val="1CC395C2"/>
    <w:rsid w:val="1CC551AE"/>
    <w:rsid w:val="1CC94B58"/>
    <w:rsid w:val="1CC9B40F"/>
    <w:rsid w:val="1CCB1E9A"/>
    <w:rsid w:val="1CCDA02F"/>
    <w:rsid w:val="1CCE371A"/>
    <w:rsid w:val="1CCE86B0"/>
    <w:rsid w:val="1CD0308C"/>
    <w:rsid w:val="1CD1E717"/>
    <w:rsid w:val="1CD2441A"/>
    <w:rsid w:val="1CD40D66"/>
    <w:rsid w:val="1CD66122"/>
    <w:rsid w:val="1CDBABC8"/>
    <w:rsid w:val="1CDDC70C"/>
    <w:rsid w:val="1CE0D3F2"/>
    <w:rsid w:val="1CE149CA"/>
    <w:rsid w:val="1CE27D92"/>
    <w:rsid w:val="1CE522B2"/>
    <w:rsid w:val="1CE74320"/>
    <w:rsid w:val="1CE76217"/>
    <w:rsid w:val="1CE85197"/>
    <w:rsid w:val="1CE9B556"/>
    <w:rsid w:val="1CEA63E5"/>
    <w:rsid w:val="1CED53D0"/>
    <w:rsid w:val="1CF514BE"/>
    <w:rsid w:val="1CF5AFA2"/>
    <w:rsid w:val="1CF79491"/>
    <w:rsid w:val="1CF8341E"/>
    <w:rsid w:val="1CF83EEA"/>
    <w:rsid w:val="1CF9287F"/>
    <w:rsid w:val="1CF9C286"/>
    <w:rsid w:val="1CFAD2D1"/>
    <w:rsid w:val="1CFD25D4"/>
    <w:rsid w:val="1CFDD3C4"/>
    <w:rsid w:val="1CFF7058"/>
    <w:rsid w:val="1D00612B"/>
    <w:rsid w:val="1D00866A"/>
    <w:rsid w:val="1D01DFCD"/>
    <w:rsid w:val="1D04567F"/>
    <w:rsid w:val="1D06EDEB"/>
    <w:rsid w:val="1D084640"/>
    <w:rsid w:val="1D09934E"/>
    <w:rsid w:val="1D0E620F"/>
    <w:rsid w:val="1D11285B"/>
    <w:rsid w:val="1D1400B3"/>
    <w:rsid w:val="1D1CCF3E"/>
    <w:rsid w:val="1D1DF255"/>
    <w:rsid w:val="1D2005F7"/>
    <w:rsid w:val="1D274807"/>
    <w:rsid w:val="1D28D253"/>
    <w:rsid w:val="1D2948A5"/>
    <w:rsid w:val="1D29AA9E"/>
    <w:rsid w:val="1D2CB684"/>
    <w:rsid w:val="1D2CF60D"/>
    <w:rsid w:val="1D3098F0"/>
    <w:rsid w:val="1D352C96"/>
    <w:rsid w:val="1D3736C0"/>
    <w:rsid w:val="1D392ABA"/>
    <w:rsid w:val="1D395EB1"/>
    <w:rsid w:val="1D398A2F"/>
    <w:rsid w:val="1D3B1BEE"/>
    <w:rsid w:val="1D3CFB7F"/>
    <w:rsid w:val="1D3D2F79"/>
    <w:rsid w:val="1D3F7890"/>
    <w:rsid w:val="1D4190C7"/>
    <w:rsid w:val="1D450A23"/>
    <w:rsid w:val="1D4577AF"/>
    <w:rsid w:val="1D4B8EE0"/>
    <w:rsid w:val="1D4F2F05"/>
    <w:rsid w:val="1D5004A3"/>
    <w:rsid w:val="1D519F15"/>
    <w:rsid w:val="1D52AE3C"/>
    <w:rsid w:val="1D538C3B"/>
    <w:rsid w:val="1D54C4E1"/>
    <w:rsid w:val="1D553D88"/>
    <w:rsid w:val="1D567149"/>
    <w:rsid w:val="1D58D215"/>
    <w:rsid w:val="1D59115F"/>
    <w:rsid w:val="1D5938FE"/>
    <w:rsid w:val="1D5AE238"/>
    <w:rsid w:val="1D5B8D8C"/>
    <w:rsid w:val="1D5D5B09"/>
    <w:rsid w:val="1D606904"/>
    <w:rsid w:val="1D627914"/>
    <w:rsid w:val="1D62A1B5"/>
    <w:rsid w:val="1D645662"/>
    <w:rsid w:val="1D645A23"/>
    <w:rsid w:val="1D66C8B7"/>
    <w:rsid w:val="1D6C48DA"/>
    <w:rsid w:val="1D6FE236"/>
    <w:rsid w:val="1D759D6C"/>
    <w:rsid w:val="1D7B0E99"/>
    <w:rsid w:val="1D7B7B01"/>
    <w:rsid w:val="1D7EDC26"/>
    <w:rsid w:val="1D7F1402"/>
    <w:rsid w:val="1D813273"/>
    <w:rsid w:val="1D85A6C5"/>
    <w:rsid w:val="1D866BAC"/>
    <w:rsid w:val="1D88D9D0"/>
    <w:rsid w:val="1D8A8053"/>
    <w:rsid w:val="1D8ACA88"/>
    <w:rsid w:val="1D8B7B82"/>
    <w:rsid w:val="1D8C217C"/>
    <w:rsid w:val="1D8D890F"/>
    <w:rsid w:val="1D902455"/>
    <w:rsid w:val="1D93353C"/>
    <w:rsid w:val="1D93C982"/>
    <w:rsid w:val="1D94A363"/>
    <w:rsid w:val="1D98A81F"/>
    <w:rsid w:val="1D9908DC"/>
    <w:rsid w:val="1D9D7C89"/>
    <w:rsid w:val="1D9E6868"/>
    <w:rsid w:val="1DA4B1C8"/>
    <w:rsid w:val="1DA4BE13"/>
    <w:rsid w:val="1DA588FA"/>
    <w:rsid w:val="1DA66AF4"/>
    <w:rsid w:val="1DA6B49E"/>
    <w:rsid w:val="1DA7C091"/>
    <w:rsid w:val="1DA83167"/>
    <w:rsid w:val="1DABD5B5"/>
    <w:rsid w:val="1DAC5897"/>
    <w:rsid w:val="1DAC6861"/>
    <w:rsid w:val="1DACFC54"/>
    <w:rsid w:val="1DADA26F"/>
    <w:rsid w:val="1DAEF401"/>
    <w:rsid w:val="1DB0E4FA"/>
    <w:rsid w:val="1DB19ECE"/>
    <w:rsid w:val="1DB1B2EE"/>
    <w:rsid w:val="1DB5C171"/>
    <w:rsid w:val="1DB87E4F"/>
    <w:rsid w:val="1DB88266"/>
    <w:rsid w:val="1DBA183C"/>
    <w:rsid w:val="1DBB572E"/>
    <w:rsid w:val="1DBBDB89"/>
    <w:rsid w:val="1DBBFBA5"/>
    <w:rsid w:val="1DC069DA"/>
    <w:rsid w:val="1DC08A68"/>
    <w:rsid w:val="1DC1A02A"/>
    <w:rsid w:val="1DC35EA2"/>
    <w:rsid w:val="1DC3F84F"/>
    <w:rsid w:val="1DC4DF73"/>
    <w:rsid w:val="1DC57D79"/>
    <w:rsid w:val="1DC6BDB9"/>
    <w:rsid w:val="1DC9977B"/>
    <w:rsid w:val="1DCAB62F"/>
    <w:rsid w:val="1DCBB2AA"/>
    <w:rsid w:val="1DD01D09"/>
    <w:rsid w:val="1DD23702"/>
    <w:rsid w:val="1DD358A2"/>
    <w:rsid w:val="1DD3E08F"/>
    <w:rsid w:val="1DD5D7D8"/>
    <w:rsid w:val="1DD6FD12"/>
    <w:rsid w:val="1DD9DBD8"/>
    <w:rsid w:val="1DDD38AD"/>
    <w:rsid w:val="1DDD9E9C"/>
    <w:rsid w:val="1DE03A58"/>
    <w:rsid w:val="1DE0C28A"/>
    <w:rsid w:val="1DE3B50D"/>
    <w:rsid w:val="1DE5CFEA"/>
    <w:rsid w:val="1DE8A1D6"/>
    <w:rsid w:val="1DE90C50"/>
    <w:rsid w:val="1DE9A4F2"/>
    <w:rsid w:val="1DE9B8A6"/>
    <w:rsid w:val="1DE9E855"/>
    <w:rsid w:val="1DEA0EEC"/>
    <w:rsid w:val="1DEBD68B"/>
    <w:rsid w:val="1DF106DA"/>
    <w:rsid w:val="1DF28CB6"/>
    <w:rsid w:val="1DF52776"/>
    <w:rsid w:val="1DF6866D"/>
    <w:rsid w:val="1DF91BD7"/>
    <w:rsid w:val="1DFBA593"/>
    <w:rsid w:val="1DFC1A18"/>
    <w:rsid w:val="1DFCEE9E"/>
    <w:rsid w:val="1DFDCAD7"/>
    <w:rsid w:val="1DFF9A07"/>
    <w:rsid w:val="1DFFC356"/>
    <w:rsid w:val="1E03511D"/>
    <w:rsid w:val="1E05DDBA"/>
    <w:rsid w:val="1E097DB0"/>
    <w:rsid w:val="1E0A2C25"/>
    <w:rsid w:val="1E0A8581"/>
    <w:rsid w:val="1E0E2504"/>
    <w:rsid w:val="1E0E8DBC"/>
    <w:rsid w:val="1E0F9936"/>
    <w:rsid w:val="1E11E19E"/>
    <w:rsid w:val="1E140B73"/>
    <w:rsid w:val="1E18768B"/>
    <w:rsid w:val="1E19201F"/>
    <w:rsid w:val="1E19FC45"/>
    <w:rsid w:val="1E1B40C5"/>
    <w:rsid w:val="1E1E8396"/>
    <w:rsid w:val="1E1EE8DE"/>
    <w:rsid w:val="1E23B7B3"/>
    <w:rsid w:val="1E250287"/>
    <w:rsid w:val="1E258AD3"/>
    <w:rsid w:val="1E2AFC97"/>
    <w:rsid w:val="1E2B1ECB"/>
    <w:rsid w:val="1E2F1746"/>
    <w:rsid w:val="1E2F1959"/>
    <w:rsid w:val="1E3087AF"/>
    <w:rsid w:val="1E30D06A"/>
    <w:rsid w:val="1E379CC9"/>
    <w:rsid w:val="1E409E9D"/>
    <w:rsid w:val="1E415FC3"/>
    <w:rsid w:val="1E42187B"/>
    <w:rsid w:val="1E4271CD"/>
    <w:rsid w:val="1E428040"/>
    <w:rsid w:val="1E42C0B7"/>
    <w:rsid w:val="1E42CD93"/>
    <w:rsid w:val="1E4308BD"/>
    <w:rsid w:val="1E45B777"/>
    <w:rsid w:val="1E476248"/>
    <w:rsid w:val="1E4ACAC0"/>
    <w:rsid w:val="1E4C5BFE"/>
    <w:rsid w:val="1E4CAEC4"/>
    <w:rsid w:val="1E4CBFA4"/>
    <w:rsid w:val="1E4D9B95"/>
    <w:rsid w:val="1E509718"/>
    <w:rsid w:val="1E52150B"/>
    <w:rsid w:val="1E546EF9"/>
    <w:rsid w:val="1E557691"/>
    <w:rsid w:val="1E56259E"/>
    <w:rsid w:val="1E5768B1"/>
    <w:rsid w:val="1E580EC3"/>
    <w:rsid w:val="1E591C39"/>
    <w:rsid w:val="1E5A669D"/>
    <w:rsid w:val="1E5B5914"/>
    <w:rsid w:val="1E5E861F"/>
    <w:rsid w:val="1E60E5F1"/>
    <w:rsid w:val="1E61ACD4"/>
    <w:rsid w:val="1E648998"/>
    <w:rsid w:val="1E66943B"/>
    <w:rsid w:val="1E675B13"/>
    <w:rsid w:val="1E69A6BD"/>
    <w:rsid w:val="1E6B71CA"/>
    <w:rsid w:val="1E6BD73E"/>
    <w:rsid w:val="1E6C1E75"/>
    <w:rsid w:val="1E6D218C"/>
    <w:rsid w:val="1E6D8568"/>
    <w:rsid w:val="1E6DADE0"/>
    <w:rsid w:val="1E6E4191"/>
    <w:rsid w:val="1E6F9B6E"/>
    <w:rsid w:val="1E7071D2"/>
    <w:rsid w:val="1E74B926"/>
    <w:rsid w:val="1E751E64"/>
    <w:rsid w:val="1E75EDA7"/>
    <w:rsid w:val="1E76928A"/>
    <w:rsid w:val="1E77A11D"/>
    <w:rsid w:val="1E7C6299"/>
    <w:rsid w:val="1E7C83E2"/>
    <w:rsid w:val="1E7F88EE"/>
    <w:rsid w:val="1E825149"/>
    <w:rsid w:val="1E83D792"/>
    <w:rsid w:val="1E843F6C"/>
    <w:rsid w:val="1E897A23"/>
    <w:rsid w:val="1E8E18AA"/>
    <w:rsid w:val="1E8E80C0"/>
    <w:rsid w:val="1E8F780C"/>
    <w:rsid w:val="1E8F97C0"/>
    <w:rsid w:val="1E906E39"/>
    <w:rsid w:val="1E90CDF1"/>
    <w:rsid w:val="1E9352E0"/>
    <w:rsid w:val="1E93F706"/>
    <w:rsid w:val="1E952AE3"/>
    <w:rsid w:val="1E964A35"/>
    <w:rsid w:val="1E97BB31"/>
    <w:rsid w:val="1E97D7EB"/>
    <w:rsid w:val="1E9818C2"/>
    <w:rsid w:val="1E998C2D"/>
    <w:rsid w:val="1E9C5687"/>
    <w:rsid w:val="1E9FAE80"/>
    <w:rsid w:val="1EA0A497"/>
    <w:rsid w:val="1EA17315"/>
    <w:rsid w:val="1EA2C89F"/>
    <w:rsid w:val="1EA3DE90"/>
    <w:rsid w:val="1EA403B8"/>
    <w:rsid w:val="1EA427F2"/>
    <w:rsid w:val="1EA47B8F"/>
    <w:rsid w:val="1EA6DB04"/>
    <w:rsid w:val="1EAA45BF"/>
    <w:rsid w:val="1EAC36F5"/>
    <w:rsid w:val="1EACB2F2"/>
    <w:rsid w:val="1EAD7669"/>
    <w:rsid w:val="1EAE73BA"/>
    <w:rsid w:val="1EAF1E86"/>
    <w:rsid w:val="1EB454BB"/>
    <w:rsid w:val="1EB7301C"/>
    <w:rsid w:val="1EB86FDC"/>
    <w:rsid w:val="1EB90869"/>
    <w:rsid w:val="1EB97101"/>
    <w:rsid w:val="1EB9CF94"/>
    <w:rsid w:val="1EBAC1FE"/>
    <w:rsid w:val="1EBC4A23"/>
    <w:rsid w:val="1EBC62CB"/>
    <w:rsid w:val="1EBD4809"/>
    <w:rsid w:val="1EBD909E"/>
    <w:rsid w:val="1EBEBECB"/>
    <w:rsid w:val="1EC3E401"/>
    <w:rsid w:val="1EC4546C"/>
    <w:rsid w:val="1EC483F5"/>
    <w:rsid w:val="1EC4A27C"/>
    <w:rsid w:val="1EC5AD18"/>
    <w:rsid w:val="1EC75AF4"/>
    <w:rsid w:val="1EC849F4"/>
    <w:rsid w:val="1EC90A6D"/>
    <w:rsid w:val="1EC9F4AC"/>
    <w:rsid w:val="1ECB3BD7"/>
    <w:rsid w:val="1ECBDBB7"/>
    <w:rsid w:val="1ECCEF6F"/>
    <w:rsid w:val="1ECD2991"/>
    <w:rsid w:val="1ECD434A"/>
    <w:rsid w:val="1ECE42FA"/>
    <w:rsid w:val="1ECE4EA8"/>
    <w:rsid w:val="1ECEA337"/>
    <w:rsid w:val="1ED3CFE3"/>
    <w:rsid w:val="1ED99F98"/>
    <w:rsid w:val="1EDEDCB6"/>
    <w:rsid w:val="1EDF8E48"/>
    <w:rsid w:val="1EE00073"/>
    <w:rsid w:val="1EE16C8E"/>
    <w:rsid w:val="1EE1A345"/>
    <w:rsid w:val="1EE59C46"/>
    <w:rsid w:val="1EE5BBC7"/>
    <w:rsid w:val="1EE7F1FE"/>
    <w:rsid w:val="1EE8777A"/>
    <w:rsid w:val="1EE8F6C1"/>
    <w:rsid w:val="1EEC7B00"/>
    <w:rsid w:val="1EEDC187"/>
    <w:rsid w:val="1EEDDEF1"/>
    <w:rsid w:val="1EF055FF"/>
    <w:rsid w:val="1EF17E38"/>
    <w:rsid w:val="1EF7402A"/>
    <w:rsid w:val="1EF7EAC3"/>
    <w:rsid w:val="1EF94092"/>
    <w:rsid w:val="1EFA2900"/>
    <w:rsid w:val="1EFB1A5D"/>
    <w:rsid w:val="1EFB7BF7"/>
    <w:rsid w:val="1EFD2579"/>
    <w:rsid w:val="1EFDC2DF"/>
    <w:rsid w:val="1EFF7146"/>
    <w:rsid w:val="1F00D9F4"/>
    <w:rsid w:val="1F01256B"/>
    <w:rsid w:val="1F02892C"/>
    <w:rsid w:val="1F05191B"/>
    <w:rsid w:val="1F0569A4"/>
    <w:rsid w:val="1F066402"/>
    <w:rsid w:val="1F08B3D2"/>
    <w:rsid w:val="1F0A4A3A"/>
    <w:rsid w:val="1F0D9489"/>
    <w:rsid w:val="1F0DC700"/>
    <w:rsid w:val="1F17B13D"/>
    <w:rsid w:val="1F18E12E"/>
    <w:rsid w:val="1F18E86B"/>
    <w:rsid w:val="1F18F977"/>
    <w:rsid w:val="1F1D6152"/>
    <w:rsid w:val="1F211FB9"/>
    <w:rsid w:val="1F21CECF"/>
    <w:rsid w:val="1F231F22"/>
    <w:rsid w:val="1F242E77"/>
    <w:rsid w:val="1F26116C"/>
    <w:rsid w:val="1F27F335"/>
    <w:rsid w:val="1F28B568"/>
    <w:rsid w:val="1F2B333E"/>
    <w:rsid w:val="1F2D26DB"/>
    <w:rsid w:val="1F303825"/>
    <w:rsid w:val="1F31CB17"/>
    <w:rsid w:val="1F325DC3"/>
    <w:rsid w:val="1F34CE65"/>
    <w:rsid w:val="1F3613BA"/>
    <w:rsid w:val="1F3720F4"/>
    <w:rsid w:val="1F3C2398"/>
    <w:rsid w:val="1F3DE706"/>
    <w:rsid w:val="1F3F1F6A"/>
    <w:rsid w:val="1F3F825A"/>
    <w:rsid w:val="1F40D204"/>
    <w:rsid w:val="1F426AFC"/>
    <w:rsid w:val="1F45E9E9"/>
    <w:rsid w:val="1F46EA17"/>
    <w:rsid w:val="1F48D8D7"/>
    <w:rsid w:val="1F49CC2E"/>
    <w:rsid w:val="1F4D1353"/>
    <w:rsid w:val="1F4E2ECD"/>
    <w:rsid w:val="1F4FC34D"/>
    <w:rsid w:val="1F4FC6DF"/>
    <w:rsid w:val="1F4FEF5D"/>
    <w:rsid w:val="1F535323"/>
    <w:rsid w:val="1F563874"/>
    <w:rsid w:val="1F57E432"/>
    <w:rsid w:val="1F585BAD"/>
    <w:rsid w:val="1F5987F6"/>
    <w:rsid w:val="1F5BA270"/>
    <w:rsid w:val="1F5C4C5B"/>
    <w:rsid w:val="1F5C78B3"/>
    <w:rsid w:val="1F5CC9ED"/>
    <w:rsid w:val="1F5D8102"/>
    <w:rsid w:val="1F5ED3B8"/>
    <w:rsid w:val="1F5FCCB6"/>
    <w:rsid w:val="1F637882"/>
    <w:rsid w:val="1F65B32A"/>
    <w:rsid w:val="1F6756AE"/>
    <w:rsid w:val="1F693BC8"/>
    <w:rsid w:val="1F69E13F"/>
    <w:rsid w:val="1F6ADD03"/>
    <w:rsid w:val="1F6BA1EC"/>
    <w:rsid w:val="1F6D4F62"/>
    <w:rsid w:val="1F704A41"/>
    <w:rsid w:val="1F70766E"/>
    <w:rsid w:val="1F71CBD9"/>
    <w:rsid w:val="1F7291B3"/>
    <w:rsid w:val="1F735AD5"/>
    <w:rsid w:val="1F7424BA"/>
    <w:rsid w:val="1F787EB4"/>
    <w:rsid w:val="1F7C57F3"/>
    <w:rsid w:val="1F7EDD65"/>
    <w:rsid w:val="1F800F98"/>
    <w:rsid w:val="1F827B52"/>
    <w:rsid w:val="1F828F80"/>
    <w:rsid w:val="1F82CF44"/>
    <w:rsid w:val="1F83091B"/>
    <w:rsid w:val="1F843FB0"/>
    <w:rsid w:val="1F86A214"/>
    <w:rsid w:val="1F895660"/>
    <w:rsid w:val="1F898335"/>
    <w:rsid w:val="1F8A1BC1"/>
    <w:rsid w:val="1F8C3B95"/>
    <w:rsid w:val="1F8CA257"/>
    <w:rsid w:val="1F8E1F76"/>
    <w:rsid w:val="1F91BA72"/>
    <w:rsid w:val="1F92C7E3"/>
    <w:rsid w:val="1F959182"/>
    <w:rsid w:val="1F960DED"/>
    <w:rsid w:val="1F9647F7"/>
    <w:rsid w:val="1F996C8E"/>
    <w:rsid w:val="1F9A4DE3"/>
    <w:rsid w:val="1F9B4F2E"/>
    <w:rsid w:val="1F9F1E5D"/>
    <w:rsid w:val="1F9F422E"/>
    <w:rsid w:val="1FA14E94"/>
    <w:rsid w:val="1FA1E2FF"/>
    <w:rsid w:val="1FA5502D"/>
    <w:rsid w:val="1FAAFC4F"/>
    <w:rsid w:val="1FAC55CD"/>
    <w:rsid w:val="1FAE7CC1"/>
    <w:rsid w:val="1FB000CB"/>
    <w:rsid w:val="1FB09FB4"/>
    <w:rsid w:val="1FB0F424"/>
    <w:rsid w:val="1FB11C3C"/>
    <w:rsid w:val="1FB254E3"/>
    <w:rsid w:val="1FB2C202"/>
    <w:rsid w:val="1FB3DC58"/>
    <w:rsid w:val="1FB53B4A"/>
    <w:rsid w:val="1FB7CD90"/>
    <w:rsid w:val="1FBA69B8"/>
    <w:rsid w:val="1FBB8521"/>
    <w:rsid w:val="1FBC1A68"/>
    <w:rsid w:val="1FBF6C60"/>
    <w:rsid w:val="1FC316A8"/>
    <w:rsid w:val="1FC4F29C"/>
    <w:rsid w:val="1FC68A4E"/>
    <w:rsid w:val="1FC6DEA4"/>
    <w:rsid w:val="1FC8245D"/>
    <w:rsid w:val="1FC968D0"/>
    <w:rsid w:val="1FCBD6BF"/>
    <w:rsid w:val="1FCC31E8"/>
    <w:rsid w:val="1FCC8E5B"/>
    <w:rsid w:val="1FCE3F6B"/>
    <w:rsid w:val="1FCF02C1"/>
    <w:rsid w:val="1FCF1816"/>
    <w:rsid w:val="1FD40A02"/>
    <w:rsid w:val="1FD4C0BE"/>
    <w:rsid w:val="1FD6759A"/>
    <w:rsid w:val="1FD9534E"/>
    <w:rsid w:val="1FDD5796"/>
    <w:rsid w:val="1FDF158C"/>
    <w:rsid w:val="1FE0F94C"/>
    <w:rsid w:val="1FE3D693"/>
    <w:rsid w:val="1FE59988"/>
    <w:rsid w:val="1FE5E248"/>
    <w:rsid w:val="1FE7CAEC"/>
    <w:rsid w:val="1FE7CE83"/>
    <w:rsid w:val="1FE88088"/>
    <w:rsid w:val="1FE953E8"/>
    <w:rsid w:val="1FEA093B"/>
    <w:rsid w:val="1FED0AE7"/>
    <w:rsid w:val="1FF309D4"/>
    <w:rsid w:val="1FF30F20"/>
    <w:rsid w:val="1FF6669E"/>
    <w:rsid w:val="1FF708AE"/>
    <w:rsid w:val="1FF755D5"/>
    <w:rsid w:val="1FF87137"/>
    <w:rsid w:val="1FFA48F0"/>
    <w:rsid w:val="1FFD299D"/>
    <w:rsid w:val="1FFDEE9D"/>
    <w:rsid w:val="1FFF0B26"/>
    <w:rsid w:val="1FFFA789"/>
    <w:rsid w:val="20004AB9"/>
    <w:rsid w:val="2000DC98"/>
    <w:rsid w:val="20021CCF"/>
    <w:rsid w:val="2002FA27"/>
    <w:rsid w:val="20049878"/>
    <w:rsid w:val="2004C184"/>
    <w:rsid w:val="2006086C"/>
    <w:rsid w:val="20094BBF"/>
    <w:rsid w:val="200B5D37"/>
    <w:rsid w:val="200C3EA3"/>
    <w:rsid w:val="200C75E4"/>
    <w:rsid w:val="200EF200"/>
    <w:rsid w:val="201158B7"/>
    <w:rsid w:val="201559E6"/>
    <w:rsid w:val="201906E8"/>
    <w:rsid w:val="201A7CF0"/>
    <w:rsid w:val="201A8635"/>
    <w:rsid w:val="201C94C5"/>
    <w:rsid w:val="2020A1CD"/>
    <w:rsid w:val="202143B6"/>
    <w:rsid w:val="20222915"/>
    <w:rsid w:val="2023B573"/>
    <w:rsid w:val="2024EBBF"/>
    <w:rsid w:val="20256EBE"/>
    <w:rsid w:val="202712F9"/>
    <w:rsid w:val="20277139"/>
    <w:rsid w:val="202844FD"/>
    <w:rsid w:val="2029A238"/>
    <w:rsid w:val="202BBE2F"/>
    <w:rsid w:val="202C252C"/>
    <w:rsid w:val="202DCD1B"/>
    <w:rsid w:val="2030132F"/>
    <w:rsid w:val="20305B57"/>
    <w:rsid w:val="203065E6"/>
    <w:rsid w:val="2032D247"/>
    <w:rsid w:val="203360E2"/>
    <w:rsid w:val="2035E2E2"/>
    <w:rsid w:val="20367907"/>
    <w:rsid w:val="20371B0C"/>
    <w:rsid w:val="2037C85D"/>
    <w:rsid w:val="2038BB55"/>
    <w:rsid w:val="2038D18E"/>
    <w:rsid w:val="203A6C14"/>
    <w:rsid w:val="203EF37F"/>
    <w:rsid w:val="20416799"/>
    <w:rsid w:val="2041763D"/>
    <w:rsid w:val="20460ECB"/>
    <w:rsid w:val="20464B26"/>
    <w:rsid w:val="20466E89"/>
    <w:rsid w:val="204A3AE5"/>
    <w:rsid w:val="204F65F4"/>
    <w:rsid w:val="204F9646"/>
    <w:rsid w:val="20515038"/>
    <w:rsid w:val="20525D85"/>
    <w:rsid w:val="20525FC5"/>
    <w:rsid w:val="20598763"/>
    <w:rsid w:val="205BBE97"/>
    <w:rsid w:val="205E67A4"/>
    <w:rsid w:val="206184AF"/>
    <w:rsid w:val="20636D52"/>
    <w:rsid w:val="20638E70"/>
    <w:rsid w:val="20680C04"/>
    <w:rsid w:val="20683419"/>
    <w:rsid w:val="2069D15B"/>
    <w:rsid w:val="206AD9D3"/>
    <w:rsid w:val="206D561A"/>
    <w:rsid w:val="2070656B"/>
    <w:rsid w:val="2072746A"/>
    <w:rsid w:val="2073BC9B"/>
    <w:rsid w:val="2074CFEA"/>
    <w:rsid w:val="20768948"/>
    <w:rsid w:val="207D0817"/>
    <w:rsid w:val="207E75BA"/>
    <w:rsid w:val="207FEF36"/>
    <w:rsid w:val="208452E7"/>
    <w:rsid w:val="2084BAEC"/>
    <w:rsid w:val="20855F2F"/>
    <w:rsid w:val="2085D97D"/>
    <w:rsid w:val="20868AA1"/>
    <w:rsid w:val="2088A5E7"/>
    <w:rsid w:val="2088B60C"/>
    <w:rsid w:val="208BA64A"/>
    <w:rsid w:val="208CFFBA"/>
    <w:rsid w:val="208D5ABC"/>
    <w:rsid w:val="208D5B41"/>
    <w:rsid w:val="208E38D1"/>
    <w:rsid w:val="20913588"/>
    <w:rsid w:val="20914EAB"/>
    <w:rsid w:val="20921945"/>
    <w:rsid w:val="2093F5B5"/>
    <w:rsid w:val="20949C80"/>
    <w:rsid w:val="20959035"/>
    <w:rsid w:val="2096518E"/>
    <w:rsid w:val="20967680"/>
    <w:rsid w:val="209D190B"/>
    <w:rsid w:val="209EA0AA"/>
    <w:rsid w:val="20A6C892"/>
    <w:rsid w:val="20A847F6"/>
    <w:rsid w:val="20A8B345"/>
    <w:rsid w:val="20A8C287"/>
    <w:rsid w:val="20A91DFE"/>
    <w:rsid w:val="20A9CBEB"/>
    <w:rsid w:val="20AA2EC5"/>
    <w:rsid w:val="20ABDAD3"/>
    <w:rsid w:val="20AD6620"/>
    <w:rsid w:val="20AD6CFC"/>
    <w:rsid w:val="20AE810B"/>
    <w:rsid w:val="20AEC45B"/>
    <w:rsid w:val="20B0B1DB"/>
    <w:rsid w:val="20B252CB"/>
    <w:rsid w:val="20B37462"/>
    <w:rsid w:val="20B443C5"/>
    <w:rsid w:val="20B58F93"/>
    <w:rsid w:val="20B6BDE3"/>
    <w:rsid w:val="20B7D34E"/>
    <w:rsid w:val="20B99F11"/>
    <w:rsid w:val="20BC0428"/>
    <w:rsid w:val="20BE8E09"/>
    <w:rsid w:val="20C129C7"/>
    <w:rsid w:val="20C20033"/>
    <w:rsid w:val="20C2B948"/>
    <w:rsid w:val="20C3772D"/>
    <w:rsid w:val="20CA0CD9"/>
    <w:rsid w:val="20CB05C2"/>
    <w:rsid w:val="20CB8FC5"/>
    <w:rsid w:val="20CD7147"/>
    <w:rsid w:val="20CE8B87"/>
    <w:rsid w:val="20CF441F"/>
    <w:rsid w:val="20CF70E5"/>
    <w:rsid w:val="20CFAA53"/>
    <w:rsid w:val="20D050CF"/>
    <w:rsid w:val="20D12BCA"/>
    <w:rsid w:val="20D1E4D4"/>
    <w:rsid w:val="20D293D1"/>
    <w:rsid w:val="20D294BD"/>
    <w:rsid w:val="20D39A33"/>
    <w:rsid w:val="20D7F8F3"/>
    <w:rsid w:val="20D82AF1"/>
    <w:rsid w:val="20D8FA21"/>
    <w:rsid w:val="20DE0EC2"/>
    <w:rsid w:val="20DE5396"/>
    <w:rsid w:val="20DFF178"/>
    <w:rsid w:val="20E3E7D1"/>
    <w:rsid w:val="20E52890"/>
    <w:rsid w:val="20E56AB4"/>
    <w:rsid w:val="20EAEFAA"/>
    <w:rsid w:val="20EB3ECD"/>
    <w:rsid w:val="20EBC2B1"/>
    <w:rsid w:val="20ECC020"/>
    <w:rsid w:val="20EE6B27"/>
    <w:rsid w:val="20F17512"/>
    <w:rsid w:val="20F1EEE2"/>
    <w:rsid w:val="20F4EC72"/>
    <w:rsid w:val="20F86DF5"/>
    <w:rsid w:val="20FA337F"/>
    <w:rsid w:val="20FBC2BB"/>
    <w:rsid w:val="20FC8F30"/>
    <w:rsid w:val="20FD666C"/>
    <w:rsid w:val="20FD7919"/>
    <w:rsid w:val="20FF180A"/>
    <w:rsid w:val="21000FA9"/>
    <w:rsid w:val="2100587E"/>
    <w:rsid w:val="2101F6F3"/>
    <w:rsid w:val="2103BF70"/>
    <w:rsid w:val="21041AE1"/>
    <w:rsid w:val="21072231"/>
    <w:rsid w:val="21082520"/>
    <w:rsid w:val="210EB935"/>
    <w:rsid w:val="210F35CE"/>
    <w:rsid w:val="2110E084"/>
    <w:rsid w:val="21111B47"/>
    <w:rsid w:val="2111EE71"/>
    <w:rsid w:val="21161FE5"/>
    <w:rsid w:val="211734DF"/>
    <w:rsid w:val="211C4A13"/>
    <w:rsid w:val="211DCAA5"/>
    <w:rsid w:val="211E1DE5"/>
    <w:rsid w:val="212047E2"/>
    <w:rsid w:val="2122E9DB"/>
    <w:rsid w:val="21230DC0"/>
    <w:rsid w:val="2126EF28"/>
    <w:rsid w:val="212857D9"/>
    <w:rsid w:val="212956C7"/>
    <w:rsid w:val="212BD835"/>
    <w:rsid w:val="212C5BE1"/>
    <w:rsid w:val="212CB329"/>
    <w:rsid w:val="212D47D2"/>
    <w:rsid w:val="2132041B"/>
    <w:rsid w:val="21321199"/>
    <w:rsid w:val="21328418"/>
    <w:rsid w:val="21331B9D"/>
    <w:rsid w:val="213345C6"/>
    <w:rsid w:val="213422FF"/>
    <w:rsid w:val="213470A5"/>
    <w:rsid w:val="21347B48"/>
    <w:rsid w:val="21359970"/>
    <w:rsid w:val="21369B31"/>
    <w:rsid w:val="2136D126"/>
    <w:rsid w:val="213C9F09"/>
    <w:rsid w:val="213D2699"/>
    <w:rsid w:val="213D9AD4"/>
    <w:rsid w:val="213E0F6C"/>
    <w:rsid w:val="2140B945"/>
    <w:rsid w:val="214114B6"/>
    <w:rsid w:val="214416BF"/>
    <w:rsid w:val="2145A135"/>
    <w:rsid w:val="214A3613"/>
    <w:rsid w:val="21503488"/>
    <w:rsid w:val="2151A083"/>
    <w:rsid w:val="2154C90A"/>
    <w:rsid w:val="21556A40"/>
    <w:rsid w:val="21572B90"/>
    <w:rsid w:val="215A59B7"/>
    <w:rsid w:val="215B0B1E"/>
    <w:rsid w:val="215B16DA"/>
    <w:rsid w:val="215B3C7C"/>
    <w:rsid w:val="215CE931"/>
    <w:rsid w:val="215E052D"/>
    <w:rsid w:val="215FE084"/>
    <w:rsid w:val="21663C75"/>
    <w:rsid w:val="2166462E"/>
    <w:rsid w:val="21671DF4"/>
    <w:rsid w:val="21675746"/>
    <w:rsid w:val="21682F29"/>
    <w:rsid w:val="216DF6D1"/>
    <w:rsid w:val="2170297A"/>
    <w:rsid w:val="2170EB65"/>
    <w:rsid w:val="217A45EC"/>
    <w:rsid w:val="217CD827"/>
    <w:rsid w:val="217ED5DD"/>
    <w:rsid w:val="217FC19D"/>
    <w:rsid w:val="218435F6"/>
    <w:rsid w:val="21890A61"/>
    <w:rsid w:val="21899D0A"/>
    <w:rsid w:val="218B01E8"/>
    <w:rsid w:val="218C8DFC"/>
    <w:rsid w:val="218CC5BD"/>
    <w:rsid w:val="218D52D1"/>
    <w:rsid w:val="218E68A6"/>
    <w:rsid w:val="219082F3"/>
    <w:rsid w:val="2191911C"/>
    <w:rsid w:val="2192885A"/>
    <w:rsid w:val="21951434"/>
    <w:rsid w:val="219518FC"/>
    <w:rsid w:val="2195233D"/>
    <w:rsid w:val="219C4416"/>
    <w:rsid w:val="219C843D"/>
    <w:rsid w:val="219CA419"/>
    <w:rsid w:val="219F10BD"/>
    <w:rsid w:val="219F5767"/>
    <w:rsid w:val="21A1E510"/>
    <w:rsid w:val="21A2D302"/>
    <w:rsid w:val="21A4A91A"/>
    <w:rsid w:val="21A590B5"/>
    <w:rsid w:val="21A7194C"/>
    <w:rsid w:val="21A8CDC4"/>
    <w:rsid w:val="21AA35FA"/>
    <w:rsid w:val="21B0931A"/>
    <w:rsid w:val="21B4A167"/>
    <w:rsid w:val="21B693CE"/>
    <w:rsid w:val="21B84129"/>
    <w:rsid w:val="21B8AB4B"/>
    <w:rsid w:val="21B8DC00"/>
    <w:rsid w:val="21BAE6E8"/>
    <w:rsid w:val="21BBC577"/>
    <w:rsid w:val="21BC718E"/>
    <w:rsid w:val="21C1A385"/>
    <w:rsid w:val="21C3DA0E"/>
    <w:rsid w:val="21C431FF"/>
    <w:rsid w:val="21C58E8B"/>
    <w:rsid w:val="21C67036"/>
    <w:rsid w:val="21C7A6D7"/>
    <w:rsid w:val="21C7C020"/>
    <w:rsid w:val="21C8EABA"/>
    <w:rsid w:val="21C9FAF1"/>
    <w:rsid w:val="21CD3B2D"/>
    <w:rsid w:val="21CDD4E5"/>
    <w:rsid w:val="21D33458"/>
    <w:rsid w:val="21D67D43"/>
    <w:rsid w:val="21D6F110"/>
    <w:rsid w:val="21D74DEA"/>
    <w:rsid w:val="21D98C5E"/>
    <w:rsid w:val="21D9A584"/>
    <w:rsid w:val="21DC5858"/>
    <w:rsid w:val="21DDF61A"/>
    <w:rsid w:val="21E067D0"/>
    <w:rsid w:val="21E1139E"/>
    <w:rsid w:val="21E227C7"/>
    <w:rsid w:val="21E2586D"/>
    <w:rsid w:val="21E67CF9"/>
    <w:rsid w:val="21E90678"/>
    <w:rsid w:val="21E90AD3"/>
    <w:rsid w:val="21EDCED1"/>
    <w:rsid w:val="21F31AF8"/>
    <w:rsid w:val="21F50187"/>
    <w:rsid w:val="21F52C58"/>
    <w:rsid w:val="21F55266"/>
    <w:rsid w:val="21F79034"/>
    <w:rsid w:val="21F8A22E"/>
    <w:rsid w:val="21F95546"/>
    <w:rsid w:val="21FC5F15"/>
    <w:rsid w:val="21FE4F74"/>
    <w:rsid w:val="22050C31"/>
    <w:rsid w:val="220785B6"/>
    <w:rsid w:val="220AC468"/>
    <w:rsid w:val="220BB5CD"/>
    <w:rsid w:val="220D2D03"/>
    <w:rsid w:val="220F47CD"/>
    <w:rsid w:val="221077E1"/>
    <w:rsid w:val="22133F2C"/>
    <w:rsid w:val="2215F28D"/>
    <w:rsid w:val="221628CC"/>
    <w:rsid w:val="22175B1C"/>
    <w:rsid w:val="22178CAD"/>
    <w:rsid w:val="22207BF2"/>
    <w:rsid w:val="22209664"/>
    <w:rsid w:val="222141EE"/>
    <w:rsid w:val="222351EB"/>
    <w:rsid w:val="2226B233"/>
    <w:rsid w:val="2226BCED"/>
    <w:rsid w:val="22281B6A"/>
    <w:rsid w:val="222A10F6"/>
    <w:rsid w:val="222A4124"/>
    <w:rsid w:val="222BEB47"/>
    <w:rsid w:val="222D792E"/>
    <w:rsid w:val="223069FE"/>
    <w:rsid w:val="22331A9C"/>
    <w:rsid w:val="22335CF4"/>
    <w:rsid w:val="2233A381"/>
    <w:rsid w:val="22361AAF"/>
    <w:rsid w:val="2236227D"/>
    <w:rsid w:val="223C701E"/>
    <w:rsid w:val="223E058C"/>
    <w:rsid w:val="2244BAF0"/>
    <w:rsid w:val="2245090D"/>
    <w:rsid w:val="22484E01"/>
    <w:rsid w:val="224AE814"/>
    <w:rsid w:val="224B3B1F"/>
    <w:rsid w:val="22501094"/>
    <w:rsid w:val="22510F7D"/>
    <w:rsid w:val="2251D3F3"/>
    <w:rsid w:val="22524ECC"/>
    <w:rsid w:val="225275D6"/>
    <w:rsid w:val="225407F0"/>
    <w:rsid w:val="225511DF"/>
    <w:rsid w:val="22556C94"/>
    <w:rsid w:val="22572638"/>
    <w:rsid w:val="2258BFA1"/>
    <w:rsid w:val="225932D9"/>
    <w:rsid w:val="2259EF1C"/>
    <w:rsid w:val="225B5898"/>
    <w:rsid w:val="2261BA4A"/>
    <w:rsid w:val="226231B0"/>
    <w:rsid w:val="22624D30"/>
    <w:rsid w:val="226992BC"/>
    <w:rsid w:val="227092D7"/>
    <w:rsid w:val="22727675"/>
    <w:rsid w:val="22751CC8"/>
    <w:rsid w:val="22763247"/>
    <w:rsid w:val="2278BCB1"/>
    <w:rsid w:val="2278E5F6"/>
    <w:rsid w:val="227F704B"/>
    <w:rsid w:val="227FCD0E"/>
    <w:rsid w:val="22832098"/>
    <w:rsid w:val="22835C56"/>
    <w:rsid w:val="2286C79C"/>
    <w:rsid w:val="2286FE71"/>
    <w:rsid w:val="228838C0"/>
    <w:rsid w:val="2289D644"/>
    <w:rsid w:val="228A25E1"/>
    <w:rsid w:val="228B6CC6"/>
    <w:rsid w:val="228F89B3"/>
    <w:rsid w:val="228FE1BA"/>
    <w:rsid w:val="22913B0F"/>
    <w:rsid w:val="2292ABF5"/>
    <w:rsid w:val="22931D7C"/>
    <w:rsid w:val="22938BE6"/>
    <w:rsid w:val="2295A930"/>
    <w:rsid w:val="22988950"/>
    <w:rsid w:val="22995A4B"/>
    <w:rsid w:val="229A6648"/>
    <w:rsid w:val="229A9070"/>
    <w:rsid w:val="229B1180"/>
    <w:rsid w:val="229C3C27"/>
    <w:rsid w:val="229CE013"/>
    <w:rsid w:val="229D776D"/>
    <w:rsid w:val="229E4881"/>
    <w:rsid w:val="229F752D"/>
    <w:rsid w:val="229FFB4B"/>
    <w:rsid w:val="22A341A6"/>
    <w:rsid w:val="22A3DD93"/>
    <w:rsid w:val="22A5AD09"/>
    <w:rsid w:val="22A7FE26"/>
    <w:rsid w:val="22A9ECB0"/>
    <w:rsid w:val="22AA4808"/>
    <w:rsid w:val="22AAF2E7"/>
    <w:rsid w:val="22ACDD67"/>
    <w:rsid w:val="22AD963E"/>
    <w:rsid w:val="22B67814"/>
    <w:rsid w:val="22B855C9"/>
    <w:rsid w:val="22B9F509"/>
    <w:rsid w:val="22BB30F7"/>
    <w:rsid w:val="22BBED42"/>
    <w:rsid w:val="22BC09D2"/>
    <w:rsid w:val="22BC1345"/>
    <w:rsid w:val="22BF6957"/>
    <w:rsid w:val="22C05FCD"/>
    <w:rsid w:val="22C98390"/>
    <w:rsid w:val="22C98F8E"/>
    <w:rsid w:val="22CA7965"/>
    <w:rsid w:val="22CC3D2E"/>
    <w:rsid w:val="22CD14E1"/>
    <w:rsid w:val="22CEBCC9"/>
    <w:rsid w:val="22CFE303"/>
    <w:rsid w:val="22D495C7"/>
    <w:rsid w:val="22D77314"/>
    <w:rsid w:val="22D7AFB6"/>
    <w:rsid w:val="22D8FCD4"/>
    <w:rsid w:val="22DA91A7"/>
    <w:rsid w:val="22DB72E3"/>
    <w:rsid w:val="22DBF588"/>
    <w:rsid w:val="22DE142A"/>
    <w:rsid w:val="22DE319C"/>
    <w:rsid w:val="22DE5751"/>
    <w:rsid w:val="22E0F795"/>
    <w:rsid w:val="22E10D3D"/>
    <w:rsid w:val="22E1377C"/>
    <w:rsid w:val="22E39D3F"/>
    <w:rsid w:val="22E56946"/>
    <w:rsid w:val="22E72125"/>
    <w:rsid w:val="22E7B01F"/>
    <w:rsid w:val="22EADC12"/>
    <w:rsid w:val="22EAF8B8"/>
    <w:rsid w:val="22EC062B"/>
    <w:rsid w:val="22EE47C6"/>
    <w:rsid w:val="22EF2409"/>
    <w:rsid w:val="22EFAD4E"/>
    <w:rsid w:val="22F048B6"/>
    <w:rsid w:val="22F053AA"/>
    <w:rsid w:val="22F1F27F"/>
    <w:rsid w:val="22F28D6C"/>
    <w:rsid w:val="22F4A175"/>
    <w:rsid w:val="22F4FA50"/>
    <w:rsid w:val="22F51050"/>
    <w:rsid w:val="22F79778"/>
    <w:rsid w:val="22F8EEF3"/>
    <w:rsid w:val="22FA4FB3"/>
    <w:rsid w:val="22FB309B"/>
    <w:rsid w:val="22FC77A2"/>
    <w:rsid w:val="22FCE21A"/>
    <w:rsid w:val="22FE3C4A"/>
    <w:rsid w:val="22FEFDE4"/>
    <w:rsid w:val="22FF3C96"/>
    <w:rsid w:val="22FFB3F8"/>
    <w:rsid w:val="2300BFBA"/>
    <w:rsid w:val="2303A7AB"/>
    <w:rsid w:val="2307C4B1"/>
    <w:rsid w:val="2307C65F"/>
    <w:rsid w:val="2309DF01"/>
    <w:rsid w:val="230A086E"/>
    <w:rsid w:val="230A301C"/>
    <w:rsid w:val="230A9B74"/>
    <w:rsid w:val="230B0C3F"/>
    <w:rsid w:val="2310E005"/>
    <w:rsid w:val="2311212C"/>
    <w:rsid w:val="231370C8"/>
    <w:rsid w:val="2316BB6F"/>
    <w:rsid w:val="23173306"/>
    <w:rsid w:val="2317BCA2"/>
    <w:rsid w:val="231E1AC7"/>
    <w:rsid w:val="2320A24A"/>
    <w:rsid w:val="23211B12"/>
    <w:rsid w:val="23214898"/>
    <w:rsid w:val="2327D1A1"/>
    <w:rsid w:val="2329AB42"/>
    <w:rsid w:val="2329EF72"/>
    <w:rsid w:val="232AE2B1"/>
    <w:rsid w:val="232C3B98"/>
    <w:rsid w:val="232D2C37"/>
    <w:rsid w:val="232D4B88"/>
    <w:rsid w:val="233026BD"/>
    <w:rsid w:val="2331B8F5"/>
    <w:rsid w:val="23340B8B"/>
    <w:rsid w:val="23343460"/>
    <w:rsid w:val="233455A9"/>
    <w:rsid w:val="2336E5DD"/>
    <w:rsid w:val="2337394E"/>
    <w:rsid w:val="233AF764"/>
    <w:rsid w:val="233C696E"/>
    <w:rsid w:val="233EAE8A"/>
    <w:rsid w:val="233F7AE9"/>
    <w:rsid w:val="233FE02B"/>
    <w:rsid w:val="23401642"/>
    <w:rsid w:val="2341F313"/>
    <w:rsid w:val="23433C30"/>
    <w:rsid w:val="23459D79"/>
    <w:rsid w:val="2345FBB8"/>
    <w:rsid w:val="2346529A"/>
    <w:rsid w:val="2347FA08"/>
    <w:rsid w:val="234B8CE1"/>
    <w:rsid w:val="234DA728"/>
    <w:rsid w:val="234DBB16"/>
    <w:rsid w:val="234DE0ED"/>
    <w:rsid w:val="234ED570"/>
    <w:rsid w:val="23504C84"/>
    <w:rsid w:val="2351211A"/>
    <w:rsid w:val="2353E6D2"/>
    <w:rsid w:val="2353FC35"/>
    <w:rsid w:val="2355C29D"/>
    <w:rsid w:val="2355EB2E"/>
    <w:rsid w:val="235E2E99"/>
    <w:rsid w:val="2362E316"/>
    <w:rsid w:val="23655FFF"/>
    <w:rsid w:val="2366533A"/>
    <w:rsid w:val="2366C20A"/>
    <w:rsid w:val="2366CA78"/>
    <w:rsid w:val="2366FD49"/>
    <w:rsid w:val="2367EF41"/>
    <w:rsid w:val="2367F4F0"/>
    <w:rsid w:val="236876C7"/>
    <w:rsid w:val="2369A202"/>
    <w:rsid w:val="236AA730"/>
    <w:rsid w:val="236AD57F"/>
    <w:rsid w:val="236C6760"/>
    <w:rsid w:val="236E1A69"/>
    <w:rsid w:val="236EBB7C"/>
    <w:rsid w:val="23713910"/>
    <w:rsid w:val="23729D75"/>
    <w:rsid w:val="23740247"/>
    <w:rsid w:val="2379CB22"/>
    <w:rsid w:val="237AB8DA"/>
    <w:rsid w:val="237B8579"/>
    <w:rsid w:val="237C37B2"/>
    <w:rsid w:val="237D1CD5"/>
    <w:rsid w:val="23803484"/>
    <w:rsid w:val="23811EAD"/>
    <w:rsid w:val="238284E1"/>
    <w:rsid w:val="23844D36"/>
    <w:rsid w:val="23851F89"/>
    <w:rsid w:val="23862B8A"/>
    <w:rsid w:val="23867952"/>
    <w:rsid w:val="2387574C"/>
    <w:rsid w:val="23885854"/>
    <w:rsid w:val="238A655B"/>
    <w:rsid w:val="238C20BE"/>
    <w:rsid w:val="238D153B"/>
    <w:rsid w:val="238E7AED"/>
    <w:rsid w:val="23914BF6"/>
    <w:rsid w:val="23930ED6"/>
    <w:rsid w:val="2394DD55"/>
    <w:rsid w:val="23998DBE"/>
    <w:rsid w:val="239B95C5"/>
    <w:rsid w:val="239C4D25"/>
    <w:rsid w:val="239F6073"/>
    <w:rsid w:val="23A39D93"/>
    <w:rsid w:val="23A4B1C2"/>
    <w:rsid w:val="23A69015"/>
    <w:rsid w:val="23A70FBC"/>
    <w:rsid w:val="23A76762"/>
    <w:rsid w:val="23A923F0"/>
    <w:rsid w:val="23A9647F"/>
    <w:rsid w:val="23AB9BEA"/>
    <w:rsid w:val="23ABE682"/>
    <w:rsid w:val="23ACA951"/>
    <w:rsid w:val="23AF9E03"/>
    <w:rsid w:val="23B11280"/>
    <w:rsid w:val="23B19405"/>
    <w:rsid w:val="23B27379"/>
    <w:rsid w:val="23B32A0E"/>
    <w:rsid w:val="23B4492D"/>
    <w:rsid w:val="23B522A8"/>
    <w:rsid w:val="23B5ED36"/>
    <w:rsid w:val="23B73175"/>
    <w:rsid w:val="23B91242"/>
    <w:rsid w:val="23BC662F"/>
    <w:rsid w:val="23BD5196"/>
    <w:rsid w:val="23BD6D91"/>
    <w:rsid w:val="23BF1E59"/>
    <w:rsid w:val="23BF7797"/>
    <w:rsid w:val="23C0BC34"/>
    <w:rsid w:val="23C108E9"/>
    <w:rsid w:val="23C24FC5"/>
    <w:rsid w:val="23C4B108"/>
    <w:rsid w:val="23D08248"/>
    <w:rsid w:val="23D36372"/>
    <w:rsid w:val="23D514B0"/>
    <w:rsid w:val="23D975A6"/>
    <w:rsid w:val="23DAE170"/>
    <w:rsid w:val="23DC055C"/>
    <w:rsid w:val="23DF314D"/>
    <w:rsid w:val="23E345B1"/>
    <w:rsid w:val="23E36B00"/>
    <w:rsid w:val="23E51347"/>
    <w:rsid w:val="23E56465"/>
    <w:rsid w:val="23E5C2E7"/>
    <w:rsid w:val="23E5E879"/>
    <w:rsid w:val="23E62C66"/>
    <w:rsid w:val="23E63F53"/>
    <w:rsid w:val="23E6D7AC"/>
    <w:rsid w:val="23E75B6E"/>
    <w:rsid w:val="23E813C8"/>
    <w:rsid w:val="23E896E8"/>
    <w:rsid w:val="23EA6191"/>
    <w:rsid w:val="23EA7327"/>
    <w:rsid w:val="23EAA134"/>
    <w:rsid w:val="23EBA51E"/>
    <w:rsid w:val="23EE9D2A"/>
    <w:rsid w:val="23EFF432"/>
    <w:rsid w:val="23F000F0"/>
    <w:rsid w:val="23F02E59"/>
    <w:rsid w:val="23F0AD4F"/>
    <w:rsid w:val="23F133A7"/>
    <w:rsid w:val="23F2792A"/>
    <w:rsid w:val="23F2A896"/>
    <w:rsid w:val="23F58F74"/>
    <w:rsid w:val="23F6D5F4"/>
    <w:rsid w:val="23F91E35"/>
    <w:rsid w:val="2401BC72"/>
    <w:rsid w:val="24043946"/>
    <w:rsid w:val="24052A94"/>
    <w:rsid w:val="24058059"/>
    <w:rsid w:val="240621FB"/>
    <w:rsid w:val="240636CF"/>
    <w:rsid w:val="24071345"/>
    <w:rsid w:val="2407EC1B"/>
    <w:rsid w:val="24087CB1"/>
    <w:rsid w:val="240A6357"/>
    <w:rsid w:val="240B7B33"/>
    <w:rsid w:val="240BA4F2"/>
    <w:rsid w:val="240C075B"/>
    <w:rsid w:val="240DFEFF"/>
    <w:rsid w:val="240EF878"/>
    <w:rsid w:val="241104C6"/>
    <w:rsid w:val="2411D5A4"/>
    <w:rsid w:val="24126B75"/>
    <w:rsid w:val="2414C04E"/>
    <w:rsid w:val="2414F333"/>
    <w:rsid w:val="2415BC2C"/>
    <w:rsid w:val="2416576D"/>
    <w:rsid w:val="24166639"/>
    <w:rsid w:val="241B4666"/>
    <w:rsid w:val="241D5B4E"/>
    <w:rsid w:val="24206516"/>
    <w:rsid w:val="24211D98"/>
    <w:rsid w:val="24218B66"/>
    <w:rsid w:val="2421E29B"/>
    <w:rsid w:val="24220E06"/>
    <w:rsid w:val="24232408"/>
    <w:rsid w:val="24246964"/>
    <w:rsid w:val="2428826F"/>
    <w:rsid w:val="242BFB28"/>
    <w:rsid w:val="2430A378"/>
    <w:rsid w:val="24310C12"/>
    <w:rsid w:val="24311913"/>
    <w:rsid w:val="2432BF5C"/>
    <w:rsid w:val="243342AA"/>
    <w:rsid w:val="24339A21"/>
    <w:rsid w:val="2433B7AD"/>
    <w:rsid w:val="243437FF"/>
    <w:rsid w:val="24376308"/>
    <w:rsid w:val="24383607"/>
    <w:rsid w:val="2439313D"/>
    <w:rsid w:val="243A6499"/>
    <w:rsid w:val="244415D5"/>
    <w:rsid w:val="2444D2BF"/>
    <w:rsid w:val="24464364"/>
    <w:rsid w:val="244CE471"/>
    <w:rsid w:val="244FB976"/>
    <w:rsid w:val="24532A78"/>
    <w:rsid w:val="245660B8"/>
    <w:rsid w:val="2456E70B"/>
    <w:rsid w:val="24587D03"/>
    <w:rsid w:val="24595004"/>
    <w:rsid w:val="245AD012"/>
    <w:rsid w:val="245AE25B"/>
    <w:rsid w:val="24602851"/>
    <w:rsid w:val="246063ED"/>
    <w:rsid w:val="2462EB43"/>
    <w:rsid w:val="24635D8F"/>
    <w:rsid w:val="2463E882"/>
    <w:rsid w:val="2465C740"/>
    <w:rsid w:val="246683DE"/>
    <w:rsid w:val="24669E04"/>
    <w:rsid w:val="24674C7A"/>
    <w:rsid w:val="24677A49"/>
    <w:rsid w:val="246CF6FE"/>
    <w:rsid w:val="246FDAE9"/>
    <w:rsid w:val="2471B055"/>
    <w:rsid w:val="2475DA4A"/>
    <w:rsid w:val="2476D7FA"/>
    <w:rsid w:val="247799D7"/>
    <w:rsid w:val="2478814E"/>
    <w:rsid w:val="247E6BA1"/>
    <w:rsid w:val="247F3017"/>
    <w:rsid w:val="2481882D"/>
    <w:rsid w:val="248800A7"/>
    <w:rsid w:val="248F9986"/>
    <w:rsid w:val="2490CFC4"/>
    <w:rsid w:val="249181DB"/>
    <w:rsid w:val="249252D8"/>
    <w:rsid w:val="2493D336"/>
    <w:rsid w:val="2494A519"/>
    <w:rsid w:val="24959644"/>
    <w:rsid w:val="249707EE"/>
    <w:rsid w:val="2497E42E"/>
    <w:rsid w:val="2498F462"/>
    <w:rsid w:val="249B35A1"/>
    <w:rsid w:val="249B38D2"/>
    <w:rsid w:val="249B70C2"/>
    <w:rsid w:val="24A260CE"/>
    <w:rsid w:val="24A35F80"/>
    <w:rsid w:val="24A3BE3A"/>
    <w:rsid w:val="24A944A8"/>
    <w:rsid w:val="24AB796F"/>
    <w:rsid w:val="24ABEF2F"/>
    <w:rsid w:val="24ADBD55"/>
    <w:rsid w:val="24AE02B2"/>
    <w:rsid w:val="24AE0D51"/>
    <w:rsid w:val="24B0B971"/>
    <w:rsid w:val="24B43F2F"/>
    <w:rsid w:val="24B5FB72"/>
    <w:rsid w:val="24B95C04"/>
    <w:rsid w:val="24BCD08C"/>
    <w:rsid w:val="24C49E52"/>
    <w:rsid w:val="24C6F235"/>
    <w:rsid w:val="24C8BA0B"/>
    <w:rsid w:val="24CB3A25"/>
    <w:rsid w:val="24CF2667"/>
    <w:rsid w:val="24D1354B"/>
    <w:rsid w:val="24D19B68"/>
    <w:rsid w:val="24D3635F"/>
    <w:rsid w:val="24D38A54"/>
    <w:rsid w:val="24D47255"/>
    <w:rsid w:val="24D4F51D"/>
    <w:rsid w:val="24D617DB"/>
    <w:rsid w:val="24D6991F"/>
    <w:rsid w:val="24D6B66A"/>
    <w:rsid w:val="24D86185"/>
    <w:rsid w:val="24DC4433"/>
    <w:rsid w:val="24DD4302"/>
    <w:rsid w:val="24DD639A"/>
    <w:rsid w:val="24DE28C3"/>
    <w:rsid w:val="24DE95ED"/>
    <w:rsid w:val="24DFDF92"/>
    <w:rsid w:val="24E2D8BC"/>
    <w:rsid w:val="24E2E143"/>
    <w:rsid w:val="24E46002"/>
    <w:rsid w:val="24E5103A"/>
    <w:rsid w:val="24E69261"/>
    <w:rsid w:val="24EB0AB9"/>
    <w:rsid w:val="24EBF9AF"/>
    <w:rsid w:val="24EDA04E"/>
    <w:rsid w:val="24EFEF74"/>
    <w:rsid w:val="24F009D2"/>
    <w:rsid w:val="24F1941A"/>
    <w:rsid w:val="24F286E9"/>
    <w:rsid w:val="24F30186"/>
    <w:rsid w:val="24F6EC5B"/>
    <w:rsid w:val="24F94656"/>
    <w:rsid w:val="24F9613A"/>
    <w:rsid w:val="24FA0B3C"/>
    <w:rsid w:val="24FC52D1"/>
    <w:rsid w:val="2500CA1C"/>
    <w:rsid w:val="25049CD6"/>
    <w:rsid w:val="25092FB2"/>
    <w:rsid w:val="250DE253"/>
    <w:rsid w:val="25104B7A"/>
    <w:rsid w:val="25114767"/>
    <w:rsid w:val="25118605"/>
    <w:rsid w:val="25141D68"/>
    <w:rsid w:val="251494CE"/>
    <w:rsid w:val="2514E254"/>
    <w:rsid w:val="25159D91"/>
    <w:rsid w:val="25188EC0"/>
    <w:rsid w:val="2518D47E"/>
    <w:rsid w:val="251E7B45"/>
    <w:rsid w:val="251E8665"/>
    <w:rsid w:val="251EBE74"/>
    <w:rsid w:val="25201CBA"/>
    <w:rsid w:val="25209121"/>
    <w:rsid w:val="25223A2A"/>
    <w:rsid w:val="2522E0B3"/>
    <w:rsid w:val="2523A53E"/>
    <w:rsid w:val="252746D8"/>
    <w:rsid w:val="2528011B"/>
    <w:rsid w:val="25289189"/>
    <w:rsid w:val="2528D625"/>
    <w:rsid w:val="2529001D"/>
    <w:rsid w:val="25292AE4"/>
    <w:rsid w:val="25294B38"/>
    <w:rsid w:val="252B1981"/>
    <w:rsid w:val="252CB0FA"/>
    <w:rsid w:val="252D189F"/>
    <w:rsid w:val="252D50EA"/>
    <w:rsid w:val="252D7114"/>
    <w:rsid w:val="252ECA0C"/>
    <w:rsid w:val="252ECE41"/>
    <w:rsid w:val="252F15AB"/>
    <w:rsid w:val="252F7598"/>
    <w:rsid w:val="253119BF"/>
    <w:rsid w:val="25317862"/>
    <w:rsid w:val="2538799E"/>
    <w:rsid w:val="25399ABB"/>
    <w:rsid w:val="253BE83E"/>
    <w:rsid w:val="253CF09F"/>
    <w:rsid w:val="253D95BA"/>
    <w:rsid w:val="25403D27"/>
    <w:rsid w:val="2540B853"/>
    <w:rsid w:val="2543A5EC"/>
    <w:rsid w:val="2546A8FE"/>
    <w:rsid w:val="25471F76"/>
    <w:rsid w:val="25476FD3"/>
    <w:rsid w:val="254843D1"/>
    <w:rsid w:val="2548694B"/>
    <w:rsid w:val="25490D85"/>
    <w:rsid w:val="254A468D"/>
    <w:rsid w:val="254B46E9"/>
    <w:rsid w:val="254BE645"/>
    <w:rsid w:val="254E3429"/>
    <w:rsid w:val="254E97B8"/>
    <w:rsid w:val="254FE139"/>
    <w:rsid w:val="255087F8"/>
    <w:rsid w:val="2550D51E"/>
    <w:rsid w:val="2550E1C9"/>
    <w:rsid w:val="255774D5"/>
    <w:rsid w:val="2557858F"/>
    <w:rsid w:val="2559CAF2"/>
    <w:rsid w:val="255A125C"/>
    <w:rsid w:val="255D3CE9"/>
    <w:rsid w:val="255E0C9E"/>
    <w:rsid w:val="25607C65"/>
    <w:rsid w:val="25620AD6"/>
    <w:rsid w:val="2562B8FF"/>
    <w:rsid w:val="2562F42F"/>
    <w:rsid w:val="2563862D"/>
    <w:rsid w:val="25639C7A"/>
    <w:rsid w:val="2566EDDD"/>
    <w:rsid w:val="256A72AF"/>
    <w:rsid w:val="256E7262"/>
    <w:rsid w:val="256F00CA"/>
    <w:rsid w:val="25764646"/>
    <w:rsid w:val="257809E4"/>
    <w:rsid w:val="25781F06"/>
    <w:rsid w:val="25788268"/>
    <w:rsid w:val="257B734C"/>
    <w:rsid w:val="257C3A36"/>
    <w:rsid w:val="257FC3CC"/>
    <w:rsid w:val="25807A7D"/>
    <w:rsid w:val="258188B0"/>
    <w:rsid w:val="258290C8"/>
    <w:rsid w:val="2582AFDF"/>
    <w:rsid w:val="2582C8A7"/>
    <w:rsid w:val="25834EE4"/>
    <w:rsid w:val="2583E2A3"/>
    <w:rsid w:val="2586B95B"/>
    <w:rsid w:val="2587BD6F"/>
    <w:rsid w:val="25889D33"/>
    <w:rsid w:val="25893B76"/>
    <w:rsid w:val="258B3D2C"/>
    <w:rsid w:val="258BBB59"/>
    <w:rsid w:val="258C5074"/>
    <w:rsid w:val="258F8469"/>
    <w:rsid w:val="25903F0F"/>
    <w:rsid w:val="25934DDD"/>
    <w:rsid w:val="2596004B"/>
    <w:rsid w:val="2597F24D"/>
    <w:rsid w:val="259E395F"/>
    <w:rsid w:val="259E3AD6"/>
    <w:rsid w:val="259F0B5B"/>
    <w:rsid w:val="259F7611"/>
    <w:rsid w:val="25A06195"/>
    <w:rsid w:val="25A460DF"/>
    <w:rsid w:val="25A4B48A"/>
    <w:rsid w:val="25A4E1CB"/>
    <w:rsid w:val="25A50CD2"/>
    <w:rsid w:val="25A5A6A3"/>
    <w:rsid w:val="25A6FF36"/>
    <w:rsid w:val="25A7C609"/>
    <w:rsid w:val="25A8F352"/>
    <w:rsid w:val="25AA69B3"/>
    <w:rsid w:val="25AEC342"/>
    <w:rsid w:val="25AF08C7"/>
    <w:rsid w:val="25AF5E76"/>
    <w:rsid w:val="25B0CD66"/>
    <w:rsid w:val="25B2B2C6"/>
    <w:rsid w:val="25B2D07F"/>
    <w:rsid w:val="25B35AFD"/>
    <w:rsid w:val="25B5B883"/>
    <w:rsid w:val="25B5F563"/>
    <w:rsid w:val="25B7B7DB"/>
    <w:rsid w:val="25B8741A"/>
    <w:rsid w:val="25B8754D"/>
    <w:rsid w:val="25B90941"/>
    <w:rsid w:val="25BE37E0"/>
    <w:rsid w:val="25BF3057"/>
    <w:rsid w:val="25C00827"/>
    <w:rsid w:val="25C16E4C"/>
    <w:rsid w:val="25C30580"/>
    <w:rsid w:val="25C35F8D"/>
    <w:rsid w:val="25C3CFDC"/>
    <w:rsid w:val="25C3F81D"/>
    <w:rsid w:val="25C415D3"/>
    <w:rsid w:val="25C428DE"/>
    <w:rsid w:val="25C4297C"/>
    <w:rsid w:val="25C4D541"/>
    <w:rsid w:val="25C57CA3"/>
    <w:rsid w:val="25C5DD1D"/>
    <w:rsid w:val="25C62CFF"/>
    <w:rsid w:val="25CAD945"/>
    <w:rsid w:val="25CE3DF7"/>
    <w:rsid w:val="25CE98C5"/>
    <w:rsid w:val="25D11271"/>
    <w:rsid w:val="25D22605"/>
    <w:rsid w:val="25D2E215"/>
    <w:rsid w:val="25D3A851"/>
    <w:rsid w:val="25D3EA6F"/>
    <w:rsid w:val="25D6752D"/>
    <w:rsid w:val="25DE0E31"/>
    <w:rsid w:val="25E0C26F"/>
    <w:rsid w:val="25E56817"/>
    <w:rsid w:val="25E984B3"/>
    <w:rsid w:val="25EA40A7"/>
    <w:rsid w:val="25ED67C6"/>
    <w:rsid w:val="25F2458B"/>
    <w:rsid w:val="25F268B3"/>
    <w:rsid w:val="25F2927D"/>
    <w:rsid w:val="25F350AE"/>
    <w:rsid w:val="25F455AC"/>
    <w:rsid w:val="25F5C93D"/>
    <w:rsid w:val="25F63978"/>
    <w:rsid w:val="25F72315"/>
    <w:rsid w:val="25F73266"/>
    <w:rsid w:val="25F7520B"/>
    <w:rsid w:val="25F8EAC1"/>
    <w:rsid w:val="25FC338C"/>
    <w:rsid w:val="25FE2E30"/>
    <w:rsid w:val="260237DC"/>
    <w:rsid w:val="260265BD"/>
    <w:rsid w:val="260326CD"/>
    <w:rsid w:val="2603DB6E"/>
    <w:rsid w:val="260449DA"/>
    <w:rsid w:val="260A05B1"/>
    <w:rsid w:val="260BB44F"/>
    <w:rsid w:val="261101E2"/>
    <w:rsid w:val="2611D818"/>
    <w:rsid w:val="2612C4CD"/>
    <w:rsid w:val="26147E7C"/>
    <w:rsid w:val="26155B95"/>
    <w:rsid w:val="261A0954"/>
    <w:rsid w:val="261A169C"/>
    <w:rsid w:val="261A8E3E"/>
    <w:rsid w:val="261D74DB"/>
    <w:rsid w:val="26233B44"/>
    <w:rsid w:val="2623E4C6"/>
    <w:rsid w:val="2625D755"/>
    <w:rsid w:val="2626E3BB"/>
    <w:rsid w:val="2627BC69"/>
    <w:rsid w:val="2628673E"/>
    <w:rsid w:val="262B7BA4"/>
    <w:rsid w:val="262B90CC"/>
    <w:rsid w:val="262C4837"/>
    <w:rsid w:val="262CB9CD"/>
    <w:rsid w:val="262D2F0B"/>
    <w:rsid w:val="26336A10"/>
    <w:rsid w:val="2636EE56"/>
    <w:rsid w:val="263791A1"/>
    <w:rsid w:val="2638CCD2"/>
    <w:rsid w:val="2638E060"/>
    <w:rsid w:val="26399815"/>
    <w:rsid w:val="2639CF18"/>
    <w:rsid w:val="263C6C9C"/>
    <w:rsid w:val="263D0F2F"/>
    <w:rsid w:val="263D90C7"/>
    <w:rsid w:val="263E08DA"/>
    <w:rsid w:val="263EADA2"/>
    <w:rsid w:val="263F50C9"/>
    <w:rsid w:val="263F6747"/>
    <w:rsid w:val="2641139B"/>
    <w:rsid w:val="2641684D"/>
    <w:rsid w:val="26417D08"/>
    <w:rsid w:val="264327A5"/>
    <w:rsid w:val="2643D9C7"/>
    <w:rsid w:val="26462D1A"/>
    <w:rsid w:val="2646C072"/>
    <w:rsid w:val="2647A746"/>
    <w:rsid w:val="2647AAED"/>
    <w:rsid w:val="26481AC6"/>
    <w:rsid w:val="264915CD"/>
    <w:rsid w:val="26492F07"/>
    <w:rsid w:val="264DD236"/>
    <w:rsid w:val="264ED55B"/>
    <w:rsid w:val="264F1365"/>
    <w:rsid w:val="2650D737"/>
    <w:rsid w:val="265118D6"/>
    <w:rsid w:val="26524918"/>
    <w:rsid w:val="2653A51F"/>
    <w:rsid w:val="2655C390"/>
    <w:rsid w:val="26562461"/>
    <w:rsid w:val="265C2458"/>
    <w:rsid w:val="265E65D2"/>
    <w:rsid w:val="265FAFB3"/>
    <w:rsid w:val="265FD37F"/>
    <w:rsid w:val="2664E74D"/>
    <w:rsid w:val="266768AB"/>
    <w:rsid w:val="266A72FD"/>
    <w:rsid w:val="266A8517"/>
    <w:rsid w:val="266C26DB"/>
    <w:rsid w:val="266CAA02"/>
    <w:rsid w:val="266FCF9D"/>
    <w:rsid w:val="2672A48C"/>
    <w:rsid w:val="267386DD"/>
    <w:rsid w:val="2674CCAE"/>
    <w:rsid w:val="26753438"/>
    <w:rsid w:val="2675BD41"/>
    <w:rsid w:val="26769CC2"/>
    <w:rsid w:val="2678D100"/>
    <w:rsid w:val="2679254C"/>
    <w:rsid w:val="267ACD2E"/>
    <w:rsid w:val="267B276A"/>
    <w:rsid w:val="26802783"/>
    <w:rsid w:val="268041AD"/>
    <w:rsid w:val="26820D25"/>
    <w:rsid w:val="268702BC"/>
    <w:rsid w:val="268885DF"/>
    <w:rsid w:val="268A6B40"/>
    <w:rsid w:val="268B3793"/>
    <w:rsid w:val="268C4B57"/>
    <w:rsid w:val="269068BB"/>
    <w:rsid w:val="2694F1F1"/>
    <w:rsid w:val="26996022"/>
    <w:rsid w:val="269B5694"/>
    <w:rsid w:val="269C9F87"/>
    <w:rsid w:val="269E60C3"/>
    <w:rsid w:val="269F4046"/>
    <w:rsid w:val="269F5FD3"/>
    <w:rsid w:val="269F9FC1"/>
    <w:rsid w:val="26A05AA8"/>
    <w:rsid w:val="26A1A9FF"/>
    <w:rsid w:val="26A2AE5C"/>
    <w:rsid w:val="26A3674A"/>
    <w:rsid w:val="26A66F7F"/>
    <w:rsid w:val="26A74685"/>
    <w:rsid w:val="26A7F7BD"/>
    <w:rsid w:val="26A9AFA3"/>
    <w:rsid w:val="26A9B6E7"/>
    <w:rsid w:val="26AB1E48"/>
    <w:rsid w:val="26AD90B4"/>
    <w:rsid w:val="26ADF97B"/>
    <w:rsid w:val="26AE1EE8"/>
    <w:rsid w:val="26AF61BF"/>
    <w:rsid w:val="26AF7EFE"/>
    <w:rsid w:val="26AFA085"/>
    <w:rsid w:val="26B5ECB7"/>
    <w:rsid w:val="26B65A8B"/>
    <w:rsid w:val="26B7CBBA"/>
    <w:rsid w:val="26B8ADBD"/>
    <w:rsid w:val="26B8D59D"/>
    <w:rsid w:val="26BF0B25"/>
    <w:rsid w:val="26BF458E"/>
    <w:rsid w:val="26BFB95B"/>
    <w:rsid w:val="26C4A66B"/>
    <w:rsid w:val="26C558C2"/>
    <w:rsid w:val="26C83304"/>
    <w:rsid w:val="26CA87B2"/>
    <w:rsid w:val="26CB30E3"/>
    <w:rsid w:val="26CB5241"/>
    <w:rsid w:val="26CC09D7"/>
    <w:rsid w:val="26CD80F7"/>
    <w:rsid w:val="26CE71AB"/>
    <w:rsid w:val="26D2136A"/>
    <w:rsid w:val="26D4E5CC"/>
    <w:rsid w:val="26D5232C"/>
    <w:rsid w:val="26D7C096"/>
    <w:rsid w:val="26D844C1"/>
    <w:rsid w:val="26DA8E83"/>
    <w:rsid w:val="26DC9FA1"/>
    <w:rsid w:val="26E0495C"/>
    <w:rsid w:val="26E071D3"/>
    <w:rsid w:val="26E0FDD1"/>
    <w:rsid w:val="26E12579"/>
    <w:rsid w:val="26E12774"/>
    <w:rsid w:val="26E2C03F"/>
    <w:rsid w:val="26E35907"/>
    <w:rsid w:val="26E38CB8"/>
    <w:rsid w:val="26E4E65B"/>
    <w:rsid w:val="26E5D613"/>
    <w:rsid w:val="26EAE2F3"/>
    <w:rsid w:val="26EAFAB0"/>
    <w:rsid w:val="26EB8736"/>
    <w:rsid w:val="26EBB481"/>
    <w:rsid w:val="26F7529C"/>
    <w:rsid w:val="26FB1C3F"/>
    <w:rsid w:val="26FC9549"/>
    <w:rsid w:val="26FFF93C"/>
    <w:rsid w:val="2704D6B7"/>
    <w:rsid w:val="2705B7DD"/>
    <w:rsid w:val="2706845B"/>
    <w:rsid w:val="270712F5"/>
    <w:rsid w:val="270DEEDF"/>
    <w:rsid w:val="270E2B5D"/>
    <w:rsid w:val="270F3A22"/>
    <w:rsid w:val="2710A3A6"/>
    <w:rsid w:val="2710FE7D"/>
    <w:rsid w:val="2712B7FD"/>
    <w:rsid w:val="271341D2"/>
    <w:rsid w:val="27135356"/>
    <w:rsid w:val="2713CD5C"/>
    <w:rsid w:val="2714F1D0"/>
    <w:rsid w:val="27164167"/>
    <w:rsid w:val="271B58B7"/>
    <w:rsid w:val="271B9DDF"/>
    <w:rsid w:val="271BD012"/>
    <w:rsid w:val="271C2788"/>
    <w:rsid w:val="271CA4F6"/>
    <w:rsid w:val="271D88FC"/>
    <w:rsid w:val="271F5891"/>
    <w:rsid w:val="27251043"/>
    <w:rsid w:val="2728D78C"/>
    <w:rsid w:val="272E7771"/>
    <w:rsid w:val="273037C4"/>
    <w:rsid w:val="27311DE0"/>
    <w:rsid w:val="2732315A"/>
    <w:rsid w:val="27342FE8"/>
    <w:rsid w:val="2734EE7B"/>
    <w:rsid w:val="27379C4A"/>
    <w:rsid w:val="273B37CE"/>
    <w:rsid w:val="273C9944"/>
    <w:rsid w:val="2741ED47"/>
    <w:rsid w:val="2745216B"/>
    <w:rsid w:val="27485F15"/>
    <w:rsid w:val="274904E1"/>
    <w:rsid w:val="27497848"/>
    <w:rsid w:val="274B1A2E"/>
    <w:rsid w:val="274BA2F2"/>
    <w:rsid w:val="274D55E5"/>
    <w:rsid w:val="274EC6DA"/>
    <w:rsid w:val="274F2324"/>
    <w:rsid w:val="27504E33"/>
    <w:rsid w:val="2752E96C"/>
    <w:rsid w:val="27536DAE"/>
    <w:rsid w:val="2757B940"/>
    <w:rsid w:val="2758BAEC"/>
    <w:rsid w:val="275BD8F0"/>
    <w:rsid w:val="275E430C"/>
    <w:rsid w:val="275F6C38"/>
    <w:rsid w:val="275FF456"/>
    <w:rsid w:val="2762633B"/>
    <w:rsid w:val="2763B4E6"/>
    <w:rsid w:val="2763CFF9"/>
    <w:rsid w:val="2763FD58"/>
    <w:rsid w:val="27655954"/>
    <w:rsid w:val="27662125"/>
    <w:rsid w:val="2767A291"/>
    <w:rsid w:val="27680960"/>
    <w:rsid w:val="2768D5C6"/>
    <w:rsid w:val="276A4518"/>
    <w:rsid w:val="276B3CCA"/>
    <w:rsid w:val="276CD22F"/>
    <w:rsid w:val="276CFDCA"/>
    <w:rsid w:val="276D5D77"/>
    <w:rsid w:val="276E68D6"/>
    <w:rsid w:val="2777A189"/>
    <w:rsid w:val="27798FFB"/>
    <w:rsid w:val="277C2518"/>
    <w:rsid w:val="277CBC80"/>
    <w:rsid w:val="277F9BD1"/>
    <w:rsid w:val="277FEF22"/>
    <w:rsid w:val="27807B97"/>
    <w:rsid w:val="2781FE49"/>
    <w:rsid w:val="27823219"/>
    <w:rsid w:val="278269C3"/>
    <w:rsid w:val="278613B0"/>
    <w:rsid w:val="278C8AA2"/>
    <w:rsid w:val="278CCCD2"/>
    <w:rsid w:val="278CD8FA"/>
    <w:rsid w:val="2792358B"/>
    <w:rsid w:val="2793C78E"/>
    <w:rsid w:val="27995F55"/>
    <w:rsid w:val="279B786E"/>
    <w:rsid w:val="279D675F"/>
    <w:rsid w:val="279F118B"/>
    <w:rsid w:val="27A07007"/>
    <w:rsid w:val="27A23D88"/>
    <w:rsid w:val="27A9DE72"/>
    <w:rsid w:val="27ABA582"/>
    <w:rsid w:val="27AC669E"/>
    <w:rsid w:val="27AC99FF"/>
    <w:rsid w:val="27B047D8"/>
    <w:rsid w:val="27B1E159"/>
    <w:rsid w:val="27B3A837"/>
    <w:rsid w:val="27B66152"/>
    <w:rsid w:val="27B6F40B"/>
    <w:rsid w:val="27B7006C"/>
    <w:rsid w:val="27B7962C"/>
    <w:rsid w:val="27BA77EB"/>
    <w:rsid w:val="27BD6478"/>
    <w:rsid w:val="27BEB380"/>
    <w:rsid w:val="27C24A03"/>
    <w:rsid w:val="27C30162"/>
    <w:rsid w:val="27C4D181"/>
    <w:rsid w:val="27C61AD7"/>
    <w:rsid w:val="27CA1FC9"/>
    <w:rsid w:val="27CA6EEE"/>
    <w:rsid w:val="27CA79D5"/>
    <w:rsid w:val="27CA94C9"/>
    <w:rsid w:val="27CBE74D"/>
    <w:rsid w:val="27D0268E"/>
    <w:rsid w:val="27D25326"/>
    <w:rsid w:val="27D3181B"/>
    <w:rsid w:val="27D3456C"/>
    <w:rsid w:val="27D4E617"/>
    <w:rsid w:val="27D84C31"/>
    <w:rsid w:val="27D86BE9"/>
    <w:rsid w:val="27D8C476"/>
    <w:rsid w:val="27D90915"/>
    <w:rsid w:val="27DCD47A"/>
    <w:rsid w:val="27DD867A"/>
    <w:rsid w:val="27E0DA3E"/>
    <w:rsid w:val="27E38F74"/>
    <w:rsid w:val="27EA197E"/>
    <w:rsid w:val="27EBFF21"/>
    <w:rsid w:val="27EDA6D5"/>
    <w:rsid w:val="27EF3FE4"/>
    <w:rsid w:val="27EF5057"/>
    <w:rsid w:val="27F2C8A8"/>
    <w:rsid w:val="27F3422B"/>
    <w:rsid w:val="27F364D4"/>
    <w:rsid w:val="27F38B19"/>
    <w:rsid w:val="27F92C53"/>
    <w:rsid w:val="27FADDF5"/>
    <w:rsid w:val="27FB5349"/>
    <w:rsid w:val="27FD5067"/>
    <w:rsid w:val="27FE4D3D"/>
    <w:rsid w:val="27FE6FBE"/>
    <w:rsid w:val="28002B69"/>
    <w:rsid w:val="2800AF21"/>
    <w:rsid w:val="280144D2"/>
    <w:rsid w:val="2802DBC2"/>
    <w:rsid w:val="2802E12E"/>
    <w:rsid w:val="2803A240"/>
    <w:rsid w:val="280562D2"/>
    <w:rsid w:val="2807660A"/>
    <w:rsid w:val="280CD2F3"/>
    <w:rsid w:val="280E4A5C"/>
    <w:rsid w:val="2810B3E1"/>
    <w:rsid w:val="28118B79"/>
    <w:rsid w:val="2813552D"/>
    <w:rsid w:val="28144642"/>
    <w:rsid w:val="281503C3"/>
    <w:rsid w:val="281506B1"/>
    <w:rsid w:val="281A6DCE"/>
    <w:rsid w:val="281D6CA7"/>
    <w:rsid w:val="281E7DB3"/>
    <w:rsid w:val="281FAD77"/>
    <w:rsid w:val="281FE274"/>
    <w:rsid w:val="28212713"/>
    <w:rsid w:val="28249465"/>
    <w:rsid w:val="282B6B05"/>
    <w:rsid w:val="282BAC2A"/>
    <w:rsid w:val="282BE799"/>
    <w:rsid w:val="282D57EC"/>
    <w:rsid w:val="282FE789"/>
    <w:rsid w:val="282FF236"/>
    <w:rsid w:val="282FFA90"/>
    <w:rsid w:val="28300D72"/>
    <w:rsid w:val="2832603A"/>
    <w:rsid w:val="28327986"/>
    <w:rsid w:val="2832BEB5"/>
    <w:rsid w:val="28331497"/>
    <w:rsid w:val="28340AFD"/>
    <w:rsid w:val="2834F31D"/>
    <w:rsid w:val="2837C236"/>
    <w:rsid w:val="2837D2C1"/>
    <w:rsid w:val="2838E84E"/>
    <w:rsid w:val="283AD3B0"/>
    <w:rsid w:val="283B92C2"/>
    <w:rsid w:val="283CBA69"/>
    <w:rsid w:val="283FB809"/>
    <w:rsid w:val="284154BB"/>
    <w:rsid w:val="2842D40B"/>
    <w:rsid w:val="2843FE65"/>
    <w:rsid w:val="284460CE"/>
    <w:rsid w:val="2844A4B1"/>
    <w:rsid w:val="2846355F"/>
    <w:rsid w:val="2849DF7A"/>
    <w:rsid w:val="284AA894"/>
    <w:rsid w:val="284B554C"/>
    <w:rsid w:val="284C6B21"/>
    <w:rsid w:val="2850B46B"/>
    <w:rsid w:val="2852188D"/>
    <w:rsid w:val="2852D8AD"/>
    <w:rsid w:val="28574602"/>
    <w:rsid w:val="285830CE"/>
    <w:rsid w:val="28584841"/>
    <w:rsid w:val="285ACA56"/>
    <w:rsid w:val="285E4E3F"/>
    <w:rsid w:val="285F586F"/>
    <w:rsid w:val="2860AB8A"/>
    <w:rsid w:val="28625A1F"/>
    <w:rsid w:val="2862EA1A"/>
    <w:rsid w:val="28635D18"/>
    <w:rsid w:val="28678260"/>
    <w:rsid w:val="28680FE0"/>
    <w:rsid w:val="28681E6D"/>
    <w:rsid w:val="286A9146"/>
    <w:rsid w:val="286B3A0A"/>
    <w:rsid w:val="286FEB78"/>
    <w:rsid w:val="2871DB6C"/>
    <w:rsid w:val="2872D22D"/>
    <w:rsid w:val="287355A4"/>
    <w:rsid w:val="28737EB2"/>
    <w:rsid w:val="2873D885"/>
    <w:rsid w:val="287599F5"/>
    <w:rsid w:val="2875A738"/>
    <w:rsid w:val="28773683"/>
    <w:rsid w:val="2877D3CF"/>
    <w:rsid w:val="28781A33"/>
    <w:rsid w:val="28793725"/>
    <w:rsid w:val="2879FFEB"/>
    <w:rsid w:val="287BEECF"/>
    <w:rsid w:val="287C6322"/>
    <w:rsid w:val="287CAEF2"/>
    <w:rsid w:val="287CBEB2"/>
    <w:rsid w:val="287D2CEF"/>
    <w:rsid w:val="287E43A5"/>
    <w:rsid w:val="287F5361"/>
    <w:rsid w:val="288119E0"/>
    <w:rsid w:val="28817142"/>
    <w:rsid w:val="2884BD48"/>
    <w:rsid w:val="2885F275"/>
    <w:rsid w:val="288678E3"/>
    <w:rsid w:val="288751D1"/>
    <w:rsid w:val="2888CA61"/>
    <w:rsid w:val="288B4FF7"/>
    <w:rsid w:val="288B6249"/>
    <w:rsid w:val="288B707E"/>
    <w:rsid w:val="288FCA65"/>
    <w:rsid w:val="2890DFCB"/>
    <w:rsid w:val="2890ECB7"/>
    <w:rsid w:val="2891317E"/>
    <w:rsid w:val="28920253"/>
    <w:rsid w:val="28936E0F"/>
    <w:rsid w:val="2893B84D"/>
    <w:rsid w:val="2894FF0A"/>
    <w:rsid w:val="289A36CF"/>
    <w:rsid w:val="289AB98E"/>
    <w:rsid w:val="289BCD93"/>
    <w:rsid w:val="289C4E03"/>
    <w:rsid w:val="289D781D"/>
    <w:rsid w:val="289E5DB2"/>
    <w:rsid w:val="289EC6A5"/>
    <w:rsid w:val="289F9B9C"/>
    <w:rsid w:val="28A1111F"/>
    <w:rsid w:val="28A1AF94"/>
    <w:rsid w:val="28A461D1"/>
    <w:rsid w:val="28A488DC"/>
    <w:rsid w:val="28A6A20D"/>
    <w:rsid w:val="28A81351"/>
    <w:rsid w:val="28AA87C6"/>
    <w:rsid w:val="28AB9E1B"/>
    <w:rsid w:val="28ACF257"/>
    <w:rsid w:val="28AF46F5"/>
    <w:rsid w:val="28AF4D11"/>
    <w:rsid w:val="28B02125"/>
    <w:rsid w:val="28B1E760"/>
    <w:rsid w:val="28B5A45B"/>
    <w:rsid w:val="28B72434"/>
    <w:rsid w:val="28BC4335"/>
    <w:rsid w:val="28C07E85"/>
    <w:rsid w:val="28C290E1"/>
    <w:rsid w:val="28C305AE"/>
    <w:rsid w:val="28C319CE"/>
    <w:rsid w:val="28C385F7"/>
    <w:rsid w:val="28CAC1AC"/>
    <w:rsid w:val="28CB753B"/>
    <w:rsid w:val="28CBFAB1"/>
    <w:rsid w:val="28CC948E"/>
    <w:rsid w:val="28CE3751"/>
    <w:rsid w:val="28D262F1"/>
    <w:rsid w:val="28D26B80"/>
    <w:rsid w:val="28D2EBD8"/>
    <w:rsid w:val="28D4140D"/>
    <w:rsid w:val="28D4272D"/>
    <w:rsid w:val="28D43F03"/>
    <w:rsid w:val="28D6C598"/>
    <w:rsid w:val="28D71608"/>
    <w:rsid w:val="28D8ADB3"/>
    <w:rsid w:val="28D90E3E"/>
    <w:rsid w:val="28DB61FD"/>
    <w:rsid w:val="28DCA7A6"/>
    <w:rsid w:val="28DDA8CD"/>
    <w:rsid w:val="28DE0B39"/>
    <w:rsid w:val="28DE6745"/>
    <w:rsid w:val="28DED160"/>
    <w:rsid w:val="28DFC4E4"/>
    <w:rsid w:val="28E43BB5"/>
    <w:rsid w:val="28E50B94"/>
    <w:rsid w:val="28E5168D"/>
    <w:rsid w:val="28E530D5"/>
    <w:rsid w:val="28E83950"/>
    <w:rsid w:val="28E99F82"/>
    <w:rsid w:val="28EA3217"/>
    <w:rsid w:val="28EBD176"/>
    <w:rsid w:val="28ECCF91"/>
    <w:rsid w:val="28ED7D2C"/>
    <w:rsid w:val="28EE540A"/>
    <w:rsid w:val="28F26458"/>
    <w:rsid w:val="28F7DC82"/>
    <w:rsid w:val="28F8F705"/>
    <w:rsid w:val="28FBBCAE"/>
    <w:rsid w:val="28FC2B1B"/>
    <w:rsid w:val="28FCCDF0"/>
    <w:rsid w:val="28FF681A"/>
    <w:rsid w:val="28FFA157"/>
    <w:rsid w:val="29009B6A"/>
    <w:rsid w:val="290184D1"/>
    <w:rsid w:val="290286B6"/>
    <w:rsid w:val="290704FE"/>
    <w:rsid w:val="2907A6BB"/>
    <w:rsid w:val="2907B870"/>
    <w:rsid w:val="29090D45"/>
    <w:rsid w:val="290F85CC"/>
    <w:rsid w:val="2910E25A"/>
    <w:rsid w:val="29111CD0"/>
    <w:rsid w:val="2912B588"/>
    <w:rsid w:val="2915537D"/>
    <w:rsid w:val="29156221"/>
    <w:rsid w:val="29175FBF"/>
    <w:rsid w:val="2917C3CF"/>
    <w:rsid w:val="2919A2C4"/>
    <w:rsid w:val="291E4F30"/>
    <w:rsid w:val="291F7D4D"/>
    <w:rsid w:val="29205E54"/>
    <w:rsid w:val="29228C51"/>
    <w:rsid w:val="292298BF"/>
    <w:rsid w:val="29230B3C"/>
    <w:rsid w:val="2923FA50"/>
    <w:rsid w:val="2924B140"/>
    <w:rsid w:val="29288206"/>
    <w:rsid w:val="2929C673"/>
    <w:rsid w:val="2929E45B"/>
    <w:rsid w:val="292CE144"/>
    <w:rsid w:val="292EE54C"/>
    <w:rsid w:val="292F19F2"/>
    <w:rsid w:val="29342F05"/>
    <w:rsid w:val="293455C4"/>
    <w:rsid w:val="2935B0C3"/>
    <w:rsid w:val="2937BA1A"/>
    <w:rsid w:val="293B14B5"/>
    <w:rsid w:val="2940F418"/>
    <w:rsid w:val="294116A8"/>
    <w:rsid w:val="2943A7F4"/>
    <w:rsid w:val="29472199"/>
    <w:rsid w:val="29483636"/>
    <w:rsid w:val="294A9682"/>
    <w:rsid w:val="294D0725"/>
    <w:rsid w:val="294D8CD3"/>
    <w:rsid w:val="2950531E"/>
    <w:rsid w:val="2951216D"/>
    <w:rsid w:val="2953105C"/>
    <w:rsid w:val="29532DD2"/>
    <w:rsid w:val="2954258E"/>
    <w:rsid w:val="2955A274"/>
    <w:rsid w:val="29593068"/>
    <w:rsid w:val="295A3F18"/>
    <w:rsid w:val="295A50AB"/>
    <w:rsid w:val="295D38B8"/>
    <w:rsid w:val="295FEA82"/>
    <w:rsid w:val="2960A68C"/>
    <w:rsid w:val="29645B3E"/>
    <w:rsid w:val="2964B033"/>
    <w:rsid w:val="2966BA9F"/>
    <w:rsid w:val="2966CA60"/>
    <w:rsid w:val="2967127E"/>
    <w:rsid w:val="29697586"/>
    <w:rsid w:val="296D52FE"/>
    <w:rsid w:val="296D8FDE"/>
    <w:rsid w:val="296DB007"/>
    <w:rsid w:val="296E5F3F"/>
    <w:rsid w:val="296FA8C1"/>
    <w:rsid w:val="296FB4AA"/>
    <w:rsid w:val="29701D7B"/>
    <w:rsid w:val="2970523B"/>
    <w:rsid w:val="2971B424"/>
    <w:rsid w:val="297673FF"/>
    <w:rsid w:val="297687E4"/>
    <w:rsid w:val="2978E178"/>
    <w:rsid w:val="297AFBE5"/>
    <w:rsid w:val="297B0F7A"/>
    <w:rsid w:val="297D5BD6"/>
    <w:rsid w:val="297E4CA2"/>
    <w:rsid w:val="297EDCAE"/>
    <w:rsid w:val="297F1B14"/>
    <w:rsid w:val="29834F60"/>
    <w:rsid w:val="2984A392"/>
    <w:rsid w:val="2986C7F1"/>
    <w:rsid w:val="298870B8"/>
    <w:rsid w:val="2988AFF1"/>
    <w:rsid w:val="298B6B3E"/>
    <w:rsid w:val="298E20DB"/>
    <w:rsid w:val="298EB0C9"/>
    <w:rsid w:val="298F3621"/>
    <w:rsid w:val="2991148E"/>
    <w:rsid w:val="2992D2E9"/>
    <w:rsid w:val="2992D429"/>
    <w:rsid w:val="2993F6EE"/>
    <w:rsid w:val="299723E7"/>
    <w:rsid w:val="29990CAA"/>
    <w:rsid w:val="29994356"/>
    <w:rsid w:val="299A06BA"/>
    <w:rsid w:val="299B2456"/>
    <w:rsid w:val="299E0C42"/>
    <w:rsid w:val="29A4BB35"/>
    <w:rsid w:val="29A5FE71"/>
    <w:rsid w:val="29A7DDC9"/>
    <w:rsid w:val="29A9A38D"/>
    <w:rsid w:val="29A9D61B"/>
    <w:rsid w:val="29AA443E"/>
    <w:rsid w:val="29ABC167"/>
    <w:rsid w:val="29AED45B"/>
    <w:rsid w:val="29B46781"/>
    <w:rsid w:val="29BA038E"/>
    <w:rsid w:val="29BB020E"/>
    <w:rsid w:val="29BF3747"/>
    <w:rsid w:val="29C217B8"/>
    <w:rsid w:val="29C38F4B"/>
    <w:rsid w:val="29C5949F"/>
    <w:rsid w:val="29C5F268"/>
    <w:rsid w:val="29C60A4E"/>
    <w:rsid w:val="29C7BA26"/>
    <w:rsid w:val="29CA31BB"/>
    <w:rsid w:val="29CD447F"/>
    <w:rsid w:val="29CEB20B"/>
    <w:rsid w:val="29D1B1CE"/>
    <w:rsid w:val="29D23575"/>
    <w:rsid w:val="29D35C09"/>
    <w:rsid w:val="29D6725E"/>
    <w:rsid w:val="29D72ACA"/>
    <w:rsid w:val="29D783E3"/>
    <w:rsid w:val="29DC812F"/>
    <w:rsid w:val="29E010C7"/>
    <w:rsid w:val="29E23BBB"/>
    <w:rsid w:val="29E273E8"/>
    <w:rsid w:val="29E56855"/>
    <w:rsid w:val="29E8F304"/>
    <w:rsid w:val="29EB172C"/>
    <w:rsid w:val="29EB485B"/>
    <w:rsid w:val="29EDF187"/>
    <w:rsid w:val="29EF112F"/>
    <w:rsid w:val="29F08C2B"/>
    <w:rsid w:val="29F0D2D1"/>
    <w:rsid w:val="29F66F68"/>
    <w:rsid w:val="29F75057"/>
    <w:rsid w:val="29F91BC4"/>
    <w:rsid w:val="29FE4AB9"/>
    <w:rsid w:val="29FF70FD"/>
    <w:rsid w:val="2A06B204"/>
    <w:rsid w:val="2A0737C3"/>
    <w:rsid w:val="2A0BD6FA"/>
    <w:rsid w:val="2A0C0620"/>
    <w:rsid w:val="2A0CA76C"/>
    <w:rsid w:val="2A0DEE9B"/>
    <w:rsid w:val="2A102E09"/>
    <w:rsid w:val="2A107D97"/>
    <w:rsid w:val="2A10EAE8"/>
    <w:rsid w:val="2A111661"/>
    <w:rsid w:val="2A1174DB"/>
    <w:rsid w:val="2A127645"/>
    <w:rsid w:val="2A12782E"/>
    <w:rsid w:val="2A1294CB"/>
    <w:rsid w:val="2A159FC6"/>
    <w:rsid w:val="2A160EBA"/>
    <w:rsid w:val="2A164C12"/>
    <w:rsid w:val="2A17AFE2"/>
    <w:rsid w:val="2A19EC6C"/>
    <w:rsid w:val="2A1AEF06"/>
    <w:rsid w:val="2A1C6A6A"/>
    <w:rsid w:val="2A1F41BE"/>
    <w:rsid w:val="2A239085"/>
    <w:rsid w:val="2A29F231"/>
    <w:rsid w:val="2A2A69B2"/>
    <w:rsid w:val="2A2CB6CF"/>
    <w:rsid w:val="2A2DF260"/>
    <w:rsid w:val="2A322374"/>
    <w:rsid w:val="2A3395CB"/>
    <w:rsid w:val="2A343DEA"/>
    <w:rsid w:val="2A34DEEE"/>
    <w:rsid w:val="2A351DEA"/>
    <w:rsid w:val="2A378ADE"/>
    <w:rsid w:val="2A37DD62"/>
    <w:rsid w:val="2A382AC6"/>
    <w:rsid w:val="2A38D00D"/>
    <w:rsid w:val="2A3CCAB6"/>
    <w:rsid w:val="2A3CE741"/>
    <w:rsid w:val="2A3DC1C0"/>
    <w:rsid w:val="2A401C59"/>
    <w:rsid w:val="2A453C24"/>
    <w:rsid w:val="2A468CC7"/>
    <w:rsid w:val="2A46E99C"/>
    <w:rsid w:val="2A475ED9"/>
    <w:rsid w:val="2A478775"/>
    <w:rsid w:val="2A49C1D0"/>
    <w:rsid w:val="2A4B71B6"/>
    <w:rsid w:val="2A4F4906"/>
    <w:rsid w:val="2A5228A5"/>
    <w:rsid w:val="2A52CA9A"/>
    <w:rsid w:val="2A5326B6"/>
    <w:rsid w:val="2A536075"/>
    <w:rsid w:val="2A54663E"/>
    <w:rsid w:val="2A546875"/>
    <w:rsid w:val="2A56EA0A"/>
    <w:rsid w:val="2A57CF21"/>
    <w:rsid w:val="2A5A311C"/>
    <w:rsid w:val="2A6327C6"/>
    <w:rsid w:val="2A63E25D"/>
    <w:rsid w:val="2A64CAC5"/>
    <w:rsid w:val="2A663D96"/>
    <w:rsid w:val="2A6A78F2"/>
    <w:rsid w:val="2A6BD0AA"/>
    <w:rsid w:val="2A6CD2CF"/>
    <w:rsid w:val="2A6DA0E4"/>
    <w:rsid w:val="2A6EC712"/>
    <w:rsid w:val="2A719617"/>
    <w:rsid w:val="2A726A60"/>
    <w:rsid w:val="2A728E05"/>
    <w:rsid w:val="2A74F7F4"/>
    <w:rsid w:val="2A754FAC"/>
    <w:rsid w:val="2A779AF3"/>
    <w:rsid w:val="2A78D4E5"/>
    <w:rsid w:val="2A78DBEC"/>
    <w:rsid w:val="2A7A15C3"/>
    <w:rsid w:val="2A7B3CA4"/>
    <w:rsid w:val="2A7CC53E"/>
    <w:rsid w:val="2A7D7CB3"/>
    <w:rsid w:val="2A7F9D6C"/>
    <w:rsid w:val="2A80EF6E"/>
    <w:rsid w:val="2A80FF62"/>
    <w:rsid w:val="2A833084"/>
    <w:rsid w:val="2A84F47B"/>
    <w:rsid w:val="2A85A9ED"/>
    <w:rsid w:val="2A871AB1"/>
    <w:rsid w:val="2A87C40B"/>
    <w:rsid w:val="2A88E318"/>
    <w:rsid w:val="2A89E9AC"/>
    <w:rsid w:val="2A8BE0CF"/>
    <w:rsid w:val="2A8CD079"/>
    <w:rsid w:val="2A8EAABF"/>
    <w:rsid w:val="2A918D1E"/>
    <w:rsid w:val="2A93FB91"/>
    <w:rsid w:val="2A972020"/>
    <w:rsid w:val="2A972634"/>
    <w:rsid w:val="2A974886"/>
    <w:rsid w:val="2A99F4BB"/>
    <w:rsid w:val="2A9FA657"/>
    <w:rsid w:val="2AA4B98A"/>
    <w:rsid w:val="2AA63A5B"/>
    <w:rsid w:val="2AAA44AD"/>
    <w:rsid w:val="2AAD8093"/>
    <w:rsid w:val="2AB098E5"/>
    <w:rsid w:val="2AB15278"/>
    <w:rsid w:val="2AB1D351"/>
    <w:rsid w:val="2AB22B27"/>
    <w:rsid w:val="2AB2C560"/>
    <w:rsid w:val="2AB39FB0"/>
    <w:rsid w:val="2AB3B09F"/>
    <w:rsid w:val="2AB66678"/>
    <w:rsid w:val="2ABA9AA5"/>
    <w:rsid w:val="2ABBE431"/>
    <w:rsid w:val="2ABE7DC0"/>
    <w:rsid w:val="2ABED65F"/>
    <w:rsid w:val="2AC18AAA"/>
    <w:rsid w:val="2AC1A51B"/>
    <w:rsid w:val="2AC1F1EC"/>
    <w:rsid w:val="2AC489E6"/>
    <w:rsid w:val="2AC913C0"/>
    <w:rsid w:val="2ACA3B38"/>
    <w:rsid w:val="2ACACA6F"/>
    <w:rsid w:val="2ACB4B5F"/>
    <w:rsid w:val="2ACB8374"/>
    <w:rsid w:val="2ACF4EA2"/>
    <w:rsid w:val="2AD04905"/>
    <w:rsid w:val="2AD47F5F"/>
    <w:rsid w:val="2ADB47EA"/>
    <w:rsid w:val="2ADB5B83"/>
    <w:rsid w:val="2ADD2D51"/>
    <w:rsid w:val="2AE51EEC"/>
    <w:rsid w:val="2AE6A760"/>
    <w:rsid w:val="2AEC71EA"/>
    <w:rsid w:val="2AED5B4F"/>
    <w:rsid w:val="2AEE34EB"/>
    <w:rsid w:val="2AF0A0EE"/>
    <w:rsid w:val="2AF0DE6E"/>
    <w:rsid w:val="2AF5B3AD"/>
    <w:rsid w:val="2AF5D688"/>
    <w:rsid w:val="2AF6170B"/>
    <w:rsid w:val="2AF61B17"/>
    <w:rsid w:val="2AF7697F"/>
    <w:rsid w:val="2AF79056"/>
    <w:rsid w:val="2AF84329"/>
    <w:rsid w:val="2AF86336"/>
    <w:rsid w:val="2AF92268"/>
    <w:rsid w:val="2AFB511D"/>
    <w:rsid w:val="2AFBA9B5"/>
    <w:rsid w:val="2AFE1BA3"/>
    <w:rsid w:val="2AFE98D9"/>
    <w:rsid w:val="2B0392C3"/>
    <w:rsid w:val="2B052B69"/>
    <w:rsid w:val="2B053D77"/>
    <w:rsid w:val="2B06EE9A"/>
    <w:rsid w:val="2B093032"/>
    <w:rsid w:val="2B0BA361"/>
    <w:rsid w:val="2B0E0D2D"/>
    <w:rsid w:val="2B114A8F"/>
    <w:rsid w:val="2B129A98"/>
    <w:rsid w:val="2B130F31"/>
    <w:rsid w:val="2B175EE2"/>
    <w:rsid w:val="2B176572"/>
    <w:rsid w:val="2B185252"/>
    <w:rsid w:val="2B1A40A9"/>
    <w:rsid w:val="2B2194CB"/>
    <w:rsid w:val="2B23E106"/>
    <w:rsid w:val="2B23F437"/>
    <w:rsid w:val="2B259BC0"/>
    <w:rsid w:val="2B277887"/>
    <w:rsid w:val="2B286B3E"/>
    <w:rsid w:val="2B2A1AF1"/>
    <w:rsid w:val="2B2E7517"/>
    <w:rsid w:val="2B2E9DEC"/>
    <w:rsid w:val="2B2F8E39"/>
    <w:rsid w:val="2B2FA23C"/>
    <w:rsid w:val="2B300329"/>
    <w:rsid w:val="2B31868E"/>
    <w:rsid w:val="2B32EFA3"/>
    <w:rsid w:val="2B341D54"/>
    <w:rsid w:val="2B37E639"/>
    <w:rsid w:val="2B3B962E"/>
    <w:rsid w:val="2B3DD627"/>
    <w:rsid w:val="2B3DDFBD"/>
    <w:rsid w:val="2B3EC5A5"/>
    <w:rsid w:val="2B3F7B79"/>
    <w:rsid w:val="2B40A144"/>
    <w:rsid w:val="2B40DD57"/>
    <w:rsid w:val="2B414C8E"/>
    <w:rsid w:val="2B4211A2"/>
    <w:rsid w:val="2B447780"/>
    <w:rsid w:val="2B45BA46"/>
    <w:rsid w:val="2B468386"/>
    <w:rsid w:val="2B469DE4"/>
    <w:rsid w:val="2B473370"/>
    <w:rsid w:val="2B4887B8"/>
    <w:rsid w:val="2B4AF26D"/>
    <w:rsid w:val="2B4C0D8F"/>
    <w:rsid w:val="2B4C5DD8"/>
    <w:rsid w:val="2B4DE3E7"/>
    <w:rsid w:val="2B516CEE"/>
    <w:rsid w:val="2B56F76C"/>
    <w:rsid w:val="2B5ABF5A"/>
    <w:rsid w:val="2B5CD7E3"/>
    <w:rsid w:val="2B5E667E"/>
    <w:rsid w:val="2B5ED0BA"/>
    <w:rsid w:val="2B5F3DD8"/>
    <w:rsid w:val="2B60AB51"/>
    <w:rsid w:val="2B61E4ED"/>
    <w:rsid w:val="2B656A57"/>
    <w:rsid w:val="2B660DD2"/>
    <w:rsid w:val="2B66A3A8"/>
    <w:rsid w:val="2B66B137"/>
    <w:rsid w:val="2B67D76D"/>
    <w:rsid w:val="2B6955D2"/>
    <w:rsid w:val="2B699ADF"/>
    <w:rsid w:val="2B6BDA7A"/>
    <w:rsid w:val="2B6CA4E3"/>
    <w:rsid w:val="2B6EB1AA"/>
    <w:rsid w:val="2B760FAE"/>
    <w:rsid w:val="2B77466C"/>
    <w:rsid w:val="2B778F25"/>
    <w:rsid w:val="2B7856A9"/>
    <w:rsid w:val="2B79ABD6"/>
    <w:rsid w:val="2B7A142A"/>
    <w:rsid w:val="2B7B4E3D"/>
    <w:rsid w:val="2B7F279F"/>
    <w:rsid w:val="2B803553"/>
    <w:rsid w:val="2B80E5F0"/>
    <w:rsid w:val="2B8152CD"/>
    <w:rsid w:val="2B834373"/>
    <w:rsid w:val="2B882BA6"/>
    <w:rsid w:val="2B89F27B"/>
    <w:rsid w:val="2B89F555"/>
    <w:rsid w:val="2B8B9567"/>
    <w:rsid w:val="2B8C5A8A"/>
    <w:rsid w:val="2B8E0B2E"/>
    <w:rsid w:val="2B8EBA6C"/>
    <w:rsid w:val="2B92EC03"/>
    <w:rsid w:val="2B938AB2"/>
    <w:rsid w:val="2B93F475"/>
    <w:rsid w:val="2B94C843"/>
    <w:rsid w:val="2B95C952"/>
    <w:rsid w:val="2B974556"/>
    <w:rsid w:val="2B9AC888"/>
    <w:rsid w:val="2B9C9337"/>
    <w:rsid w:val="2B9D392E"/>
    <w:rsid w:val="2B9DE88B"/>
    <w:rsid w:val="2B9E502A"/>
    <w:rsid w:val="2B9E61AC"/>
    <w:rsid w:val="2BA12326"/>
    <w:rsid w:val="2BA1748D"/>
    <w:rsid w:val="2BA1F154"/>
    <w:rsid w:val="2BA336FF"/>
    <w:rsid w:val="2BA341F3"/>
    <w:rsid w:val="2BA41C27"/>
    <w:rsid w:val="2BA56705"/>
    <w:rsid w:val="2BA71E31"/>
    <w:rsid w:val="2BA761E9"/>
    <w:rsid w:val="2BABA029"/>
    <w:rsid w:val="2BAD0133"/>
    <w:rsid w:val="2BADFCC3"/>
    <w:rsid w:val="2BAE7AFC"/>
    <w:rsid w:val="2BB10836"/>
    <w:rsid w:val="2BB5CF87"/>
    <w:rsid w:val="2BB60742"/>
    <w:rsid w:val="2BB7ED61"/>
    <w:rsid w:val="2BB937A2"/>
    <w:rsid w:val="2BB93BEF"/>
    <w:rsid w:val="2BB95E01"/>
    <w:rsid w:val="2BBB8B2A"/>
    <w:rsid w:val="2BBBCF86"/>
    <w:rsid w:val="2BBBD51D"/>
    <w:rsid w:val="2BBD7150"/>
    <w:rsid w:val="2BBF785F"/>
    <w:rsid w:val="2BBF8FA9"/>
    <w:rsid w:val="2BC07FC0"/>
    <w:rsid w:val="2BC21A6D"/>
    <w:rsid w:val="2BC3121D"/>
    <w:rsid w:val="2BC5A648"/>
    <w:rsid w:val="2BC5EB53"/>
    <w:rsid w:val="2BC6F79D"/>
    <w:rsid w:val="2BC7B253"/>
    <w:rsid w:val="2BC80DC9"/>
    <w:rsid w:val="2BC896EE"/>
    <w:rsid w:val="2BCAFCE5"/>
    <w:rsid w:val="2BCD248A"/>
    <w:rsid w:val="2BCDC649"/>
    <w:rsid w:val="2BCF0BCA"/>
    <w:rsid w:val="2BCF1F0F"/>
    <w:rsid w:val="2BCF96B8"/>
    <w:rsid w:val="2BD1CB4C"/>
    <w:rsid w:val="2BD1CFE1"/>
    <w:rsid w:val="2BD67DC9"/>
    <w:rsid w:val="2BD8AA92"/>
    <w:rsid w:val="2BDA6850"/>
    <w:rsid w:val="2BDAC42E"/>
    <w:rsid w:val="2BDEB5D8"/>
    <w:rsid w:val="2BDF1ADC"/>
    <w:rsid w:val="2BE0636E"/>
    <w:rsid w:val="2BE6BF5D"/>
    <w:rsid w:val="2BE999C1"/>
    <w:rsid w:val="2BEA3D83"/>
    <w:rsid w:val="2BEBD9F9"/>
    <w:rsid w:val="2BEC8CBD"/>
    <w:rsid w:val="2BEC9577"/>
    <w:rsid w:val="2BED1360"/>
    <w:rsid w:val="2BED6C43"/>
    <w:rsid w:val="2BEDCA44"/>
    <w:rsid w:val="2BEE9366"/>
    <w:rsid w:val="2BEF96D3"/>
    <w:rsid w:val="2BF01619"/>
    <w:rsid w:val="2BF03EC8"/>
    <w:rsid w:val="2BF12FA6"/>
    <w:rsid w:val="2BF15848"/>
    <w:rsid w:val="2BF2C7A4"/>
    <w:rsid w:val="2BF3B8D6"/>
    <w:rsid w:val="2BF417FD"/>
    <w:rsid w:val="2BF565CA"/>
    <w:rsid w:val="2BF74AEF"/>
    <w:rsid w:val="2BF9D0F9"/>
    <w:rsid w:val="2BFA4919"/>
    <w:rsid w:val="2BFADDA7"/>
    <w:rsid w:val="2BFD7F54"/>
    <w:rsid w:val="2BFF809A"/>
    <w:rsid w:val="2BFFA8E5"/>
    <w:rsid w:val="2C00DD33"/>
    <w:rsid w:val="2C00F7F7"/>
    <w:rsid w:val="2C0645F9"/>
    <w:rsid w:val="2C069B5F"/>
    <w:rsid w:val="2C0763AA"/>
    <w:rsid w:val="2C09DE3F"/>
    <w:rsid w:val="2C0B88CE"/>
    <w:rsid w:val="2C0C2F40"/>
    <w:rsid w:val="2C0FAC30"/>
    <w:rsid w:val="2C12CB1B"/>
    <w:rsid w:val="2C14BA3E"/>
    <w:rsid w:val="2C1617EA"/>
    <w:rsid w:val="2C19D32F"/>
    <w:rsid w:val="2C246E4B"/>
    <w:rsid w:val="2C297528"/>
    <w:rsid w:val="2C2B198A"/>
    <w:rsid w:val="2C2EBD91"/>
    <w:rsid w:val="2C2FEE0B"/>
    <w:rsid w:val="2C314614"/>
    <w:rsid w:val="2C31C631"/>
    <w:rsid w:val="2C3235BD"/>
    <w:rsid w:val="2C35275A"/>
    <w:rsid w:val="2C35316F"/>
    <w:rsid w:val="2C354E02"/>
    <w:rsid w:val="2C37A444"/>
    <w:rsid w:val="2C39580F"/>
    <w:rsid w:val="2C39A018"/>
    <w:rsid w:val="2C3A7D0F"/>
    <w:rsid w:val="2C3B2C56"/>
    <w:rsid w:val="2C3C5EA7"/>
    <w:rsid w:val="2C3D958B"/>
    <w:rsid w:val="2C40DA61"/>
    <w:rsid w:val="2C42748B"/>
    <w:rsid w:val="2C4413D0"/>
    <w:rsid w:val="2C452907"/>
    <w:rsid w:val="2C45F934"/>
    <w:rsid w:val="2C471B54"/>
    <w:rsid w:val="2C497ED0"/>
    <w:rsid w:val="2C4A39D8"/>
    <w:rsid w:val="2C4A6A34"/>
    <w:rsid w:val="2C4A72ED"/>
    <w:rsid w:val="2C4BCB01"/>
    <w:rsid w:val="2C4EEBD6"/>
    <w:rsid w:val="2C577267"/>
    <w:rsid w:val="2C5A6CAE"/>
    <w:rsid w:val="2C5AC908"/>
    <w:rsid w:val="2C5B244C"/>
    <w:rsid w:val="2C5BA751"/>
    <w:rsid w:val="2C5E1255"/>
    <w:rsid w:val="2C662D76"/>
    <w:rsid w:val="2C6659FE"/>
    <w:rsid w:val="2C66A8D8"/>
    <w:rsid w:val="2C66E0DA"/>
    <w:rsid w:val="2C69B257"/>
    <w:rsid w:val="2C6BE83F"/>
    <w:rsid w:val="2C6C2565"/>
    <w:rsid w:val="2C6C6B74"/>
    <w:rsid w:val="2C6CCB64"/>
    <w:rsid w:val="2C6D93A6"/>
    <w:rsid w:val="2C6FACCA"/>
    <w:rsid w:val="2C707181"/>
    <w:rsid w:val="2C74552B"/>
    <w:rsid w:val="2C765032"/>
    <w:rsid w:val="2C76ABF4"/>
    <w:rsid w:val="2C77FABA"/>
    <w:rsid w:val="2C782803"/>
    <w:rsid w:val="2C790A81"/>
    <w:rsid w:val="2C795B31"/>
    <w:rsid w:val="2C7D137E"/>
    <w:rsid w:val="2C7E1D86"/>
    <w:rsid w:val="2C7E2B24"/>
    <w:rsid w:val="2C7E475D"/>
    <w:rsid w:val="2C7EA470"/>
    <w:rsid w:val="2C827176"/>
    <w:rsid w:val="2C84D6EB"/>
    <w:rsid w:val="2C84F952"/>
    <w:rsid w:val="2C861152"/>
    <w:rsid w:val="2C88E3E4"/>
    <w:rsid w:val="2C8B2889"/>
    <w:rsid w:val="2C91E842"/>
    <w:rsid w:val="2C930D0F"/>
    <w:rsid w:val="2C9383E4"/>
    <w:rsid w:val="2C93B3C0"/>
    <w:rsid w:val="2C94A234"/>
    <w:rsid w:val="2C94E870"/>
    <w:rsid w:val="2C953CD8"/>
    <w:rsid w:val="2C964FFC"/>
    <w:rsid w:val="2C97069E"/>
    <w:rsid w:val="2C9B5A56"/>
    <w:rsid w:val="2C9C5C33"/>
    <w:rsid w:val="2C9CF8A3"/>
    <w:rsid w:val="2C9DD274"/>
    <w:rsid w:val="2CA2A4E4"/>
    <w:rsid w:val="2CA715DA"/>
    <w:rsid w:val="2CA7782B"/>
    <w:rsid w:val="2CA90D06"/>
    <w:rsid w:val="2CAD7B40"/>
    <w:rsid w:val="2CAE2206"/>
    <w:rsid w:val="2CAE4F1A"/>
    <w:rsid w:val="2CAF17CA"/>
    <w:rsid w:val="2CAF6D0F"/>
    <w:rsid w:val="2CAF8999"/>
    <w:rsid w:val="2CB454D1"/>
    <w:rsid w:val="2CB67033"/>
    <w:rsid w:val="2CB9C280"/>
    <w:rsid w:val="2CBAC9A3"/>
    <w:rsid w:val="2CBBBF6E"/>
    <w:rsid w:val="2CBBD2CD"/>
    <w:rsid w:val="2CBE04E9"/>
    <w:rsid w:val="2CBE7DF3"/>
    <w:rsid w:val="2CC51DA8"/>
    <w:rsid w:val="2CC69BEA"/>
    <w:rsid w:val="2CC7D7EC"/>
    <w:rsid w:val="2CC854AC"/>
    <w:rsid w:val="2CCB77E0"/>
    <w:rsid w:val="2CCBBB3D"/>
    <w:rsid w:val="2CCEFB2C"/>
    <w:rsid w:val="2CCF53CE"/>
    <w:rsid w:val="2CD17A69"/>
    <w:rsid w:val="2CD36A5E"/>
    <w:rsid w:val="2CD45A13"/>
    <w:rsid w:val="2CD46BD4"/>
    <w:rsid w:val="2CD707B8"/>
    <w:rsid w:val="2CD7AC3C"/>
    <w:rsid w:val="2CD9135D"/>
    <w:rsid w:val="2CD97915"/>
    <w:rsid w:val="2CD9A7EC"/>
    <w:rsid w:val="2CDB6B9E"/>
    <w:rsid w:val="2CDC357C"/>
    <w:rsid w:val="2CDD5D7B"/>
    <w:rsid w:val="2CDE7EE5"/>
    <w:rsid w:val="2CE1081D"/>
    <w:rsid w:val="2CE1A047"/>
    <w:rsid w:val="2CE1FE12"/>
    <w:rsid w:val="2CE2D3C3"/>
    <w:rsid w:val="2CE56017"/>
    <w:rsid w:val="2CEA5065"/>
    <w:rsid w:val="2CEDBDA9"/>
    <w:rsid w:val="2CEE82BA"/>
    <w:rsid w:val="2CEFE453"/>
    <w:rsid w:val="2CF09EC8"/>
    <w:rsid w:val="2CF1FC24"/>
    <w:rsid w:val="2CF21355"/>
    <w:rsid w:val="2CF213E8"/>
    <w:rsid w:val="2CF3254E"/>
    <w:rsid w:val="2CF33520"/>
    <w:rsid w:val="2CF450EF"/>
    <w:rsid w:val="2CF6FCF6"/>
    <w:rsid w:val="2CF9593C"/>
    <w:rsid w:val="2CF9FAAD"/>
    <w:rsid w:val="2CFCF924"/>
    <w:rsid w:val="2CFDC659"/>
    <w:rsid w:val="2D03177D"/>
    <w:rsid w:val="2D0C1B3D"/>
    <w:rsid w:val="2D0D9C9B"/>
    <w:rsid w:val="2D0E1A75"/>
    <w:rsid w:val="2D1096BA"/>
    <w:rsid w:val="2D10DC35"/>
    <w:rsid w:val="2D13A06A"/>
    <w:rsid w:val="2D13B492"/>
    <w:rsid w:val="2D150626"/>
    <w:rsid w:val="2D16B2F9"/>
    <w:rsid w:val="2D181C76"/>
    <w:rsid w:val="2D184844"/>
    <w:rsid w:val="2D1D7E03"/>
    <w:rsid w:val="2D2019CD"/>
    <w:rsid w:val="2D20B9BB"/>
    <w:rsid w:val="2D266571"/>
    <w:rsid w:val="2D273F59"/>
    <w:rsid w:val="2D280AF0"/>
    <w:rsid w:val="2D298677"/>
    <w:rsid w:val="2D29B9C5"/>
    <w:rsid w:val="2D2A9F6A"/>
    <w:rsid w:val="2D2AFB86"/>
    <w:rsid w:val="2D2E410E"/>
    <w:rsid w:val="2D2E450B"/>
    <w:rsid w:val="2D2F56F6"/>
    <w:rsid w:val="2D2FC11D"/>
    <w:rsid w:val="2D309006"/>
    <w:rsid w:val="2D32DB89"/>
    <w:rsid w:val="2D33D1AE"/>
    <w:rsid w:val="2D340B9F"/>
    <w:rsid w:val="2D3A0A7A"/>
    <w:rsid w:val="2D3BF8B8"/>
    <w:rsid w:val="2D3D831D"/>
    <w:rsid w:val="2D3E197B"/>
    <w:rsid w:val="2D3F1254"/>
    <w:rsid w:val="2D3FBC01"/>
    <w:rsid w:val="2D402D4C"/>
    <w:rsid w:val="2D40336C"/>
    <w:rsid w:val="2D40671E"/>
    <w:rsid w:val="2D472371"/>
    <w:rsid w:val="2D486C9D"/>
    <w:rsid w:val="2D49155B"/>
    <w:rsid w:val="2D49C0C1"/>
    <w:rsid w:val="2D4B4AD8"/>
    <w:rsid w:val="2D4D96D3"/>
    <w:rsid w:val="2D4F364A"/>
    <w:rsid w:val="2D4FE8F2"/>
    <w:rsid w:val="2D50FFC5"/>
    <w:rsid w:val="2D515D26"/>
    <w:rsid w:val="2D5209B6"/>
    <w:rsid w:val="2D529E8B"/>
    <w:rsid w:val="2D55B9DD"/>
    <w:rsid w:val="2D569443"/>
    <w:rsid w:val="2D574B06"/>
    <w:rsid w:val="2D58FE3D"/>
    <w:rsid w:val="2D5A2C4F"/>
    <w:rsid w:val="2D5EC4AD"/>
    <w:rsid w:val="2D5F1153"/>
    <w:rsid w:val="2D5F666A"/>
    <w:rsid w:val="2D625EDB"/>
    <w:rsid w:val="2D6357CB"/>
    <w:rsid w:val="2D6363DD"/>
    <w:rsid w:val="2D63CE14"/>
    <w:rsid w:val="2D64675E"/>
    <w:rsid w:val="2D6697FD"/>
    <w:rsid w:val="2D67E14C"/>
    <w:rsid w:val="2D6B957F"/>
    <w:rsid w:val="2D6C769C"/>
    <w:rsid w:val="2D6CA48D"/>
    <w:rsid w:val="2D6CC632"/>
    <w:rsid w:val="2D6E45E6"/>
    <w:rsid w:val="2D6F5323"/>
    <w:rsid w:val="2D6FF5A6"/>
    <w:rsid w:val="2D7039A0"/>
    <w:rsid w:val="2D741676"/>
    <w:rsid w:val="2D786E56"/>
    <w:rsid w:val="2D7D3B41"/>
    <w:rsid w:val="2D7F200A"/>
    <w:rsid w:val="2D7F2ABE"/>
    <w:rsid w:val="2D7F7800"/>
    <w:rsid w:val="2D839A39"/>
    <w:rsid w:val="2D893E4B"/>
    <w:rsid w:val="2D8975E2"/>
    <w:rsid w:val="2D89C785"/>
    <w:rsid w:val="2D8C546B"/>
    <w:rsid w:val="2D8D6E19"/>
    <w:rsid w:val="2D8DE6C5"/>
    <w:rsid w:val="2D907B1D"/>
    <w:rsid w:val="2D9255A0"/>
    <w:rsid w:val="2D92748F"/>
    <w:rsid w:val="2D933542"/>
    <w:rsid w:val="2D9350E3"/>
    <w:rsid w:val="2D936F75"/>
    <w:rsid w:val="2D974870"/>
    <w:rsid w:val="2D97DE2D"/>
    <w:rsid w:val="2D98E760"/>
    <w:rsid w:val="2D9E3145"/>
    <w:rsid w:val="2DA17791"/>
    <w:rsid w:val="2DA252A8"/>
    <w:rsid w:val="2DA59C6F"/>
    <w:rsid w:val="2DAB65C3"/>
    <w:rsid w:val="2DAB971E"/>
    <w:rsid w:val="2DAC1200"/>
    <w:rsid w:val="2DB1A2D4"/>
    <w:rsid w:val="2DB35340"/>
    <w:rsid w:val="2DB3EFBE"/>
    <w:rsid w:val="2DBC5122"/>
    <w:rsid w:val="2DBE3663"/>
    <w:rsid w:val="2DBEC956"/>
    <w:rsid w:val="2DC02BAC"/>
    <w:rsid w:val="2DC38BCE"/>
    <w:rsid w:val="2DC413CA"/>
    <w:rsid w:val="2DC4F84D"/>
    <w:rsid w:val="2DC51418"/>
    <w:rsid w:val="2DC67BB3"/>
    <w:rsid w:val="2DC9F4D2"/>
    <w:rsid w:val="2DCC3AE6"/>
    <w:rsid w:val="2DCE2619"/>
    <w:rsid w:val="2DCE8F0C"/>
    <w:rsid w:val="2DD18003"/>
    <w:rsid w:val="2DD1881E"/>
    <w:rsid w:val="2DD3C5B4"/>
    <w:rsid w:val="2DD6111B"/>
    <w:rsid w:val="2DD7D237"/>
    <w:rsid w:val="2DDD3CF4"/>
    <w:rsid w:val="2DDDB360"/>
    <w:rsid w:val="2DDE8397"/>
    <w:rsid w:val="2DE061C9"/>
    <w:rsid w:val="2DE4EE95"/>
    <w:rsid w:val="2DE5714A"/>
    <w:rsid w:val="2DE5EFD1"/>
    <w:rsid w:val="2DE6DB3B"/>
    <w:rsid w:val="2DE7C922"/>
    <w:rsid w:val="2DEAAECD"/>
    <w:rsid w:val="2DEAD079"/>
    <w:rsid w:val="2DEAD99B"/>
    <w:rsid w:val="2DEC3CDA"/>
    <w:rsid w:val="2DEED243"/>
    <w:rsid w:val="2DF078C3"/>
    <w:rsid w:val="2DF0F3A9"/>
    <w:rsid w:val="2DF120AF"/>
    <w:rsid w:val="2DF1E951"/>
    <w:rsid w:val="2DF703B6"/>
    <w:rsid w:val="2DF750DF"/>
    <w:rsid w:val="2DFBF1BE"/>
    <w:rsid w:val="2DFD8325"/>
    <w:rsid w:val="2DFFC12F"/>
    <w:rsid w:val="2E0077FB"/>
    <w:rsid w:val="2E0081BF"/>
    <w:rsid w:val="2E00BF75"/>
    <w:rsid w:val="2E00C054"/>
    <w:rsid w:val="2E04E076"/>
    <w:rsid w:val="2E061D22"/>
    <w:rsid w:val="2E0883D9"/>
    <w:rsid w:val="2E08C289"/>
    <w:rsid w:val="2E0A2751"/>
    <w:rsid w:val="2E0B171E"/>
    <w:rsid w:val="2E0D1D8D"/>
    <w:rsid w:val="2E12FF1D"/>
    <w:rsid w:val="2E130568"/>
    <w:rsid w:val="2E168166"/>
    <w:rsid w:val="2E196EB5"/>
    <w:rsid w:val="2E1A4E97"/>
    <w:rsid w:val="2E1AC6CC"/>
    <w:rsid w:val="2E1BEEBA"/>
    <w:rsid w:val="2E1C02F6"/>
    <w:rsid w:val="2E1C6939"/>
    <w:rsid w:val="2E1C7C67"/>
    <w:rsid w:val="2E209BC6"/>
    <w:rsid w:val="2E23A196"/>
    <w:rsid w:val="2E2449F4"/>
    <w:rsid w:val="2E27A60B"/>
    <w:rsid w:val="2E288833"/>
    <w:rsid w:val="2E289112"/>
    <w:rsid w:val="2E2B407F"/>
    <w:rsid w:val="2E2C6B98"/>
    <w:rsid w:val="2E2F8E68"/>
    <w:rsid w:val="2E307485"/>
    <w:rsid w:val="2E309F15"/>
    <w:rsid w:val="2E333C8C"/>
    <w:rsid w:val="2E35E9B0"/>
    <w:rsid w:val="2E39A965"/>
    <w:rsid w:val="2E3CB500"/>
    <w:rsid w:val="2E3E26AC"/>
    <w:rsid w:val="2E3EADF5"/>
    <w:rsid w:val="2E3F084C"/>
    <w:rsid w:val="2E40046D"/>
    <w:rsid w:val="2E404B54"/>
    <w:rsid w:val="2E408ABE"/>
    <w:rsid w:val="2E42F210"/>
    <w:rsid w:val="2E44C54E"/>
    <w:rsid w:val="2E48A561"/>
    <w:rsid w:val="2E493894"/>
    <w:rsid w:val="2E4C1A9F"/>
    <w:rsid w:val="2E4F3C99"/>
    <w:rsid w:val="2E4F7269"/>
    <w:rsid w:val="2E525010"/>
    <w:rsid w:val="2E54649B"/>
    <w:rsid w:val="2E56F97E"/>
    <w:rsid w:val="2E5715B4"/>
    <w:rsid w:val="2E581EF7"/>
    <w:rsid w:val="2E58D726"/>
    <w:rsid w:val="2E59DA0D"/>
    <w:rsid w:val="2E5B16F4"/>
    <w:rsid w:val="2E5E1200"/>
    <w:rsid w:val="2E5F67EA"/>
    <w:rsid w:val="2E6046FE"/>
    <w:rsid w:val="2E61F277"/>
    <w:rsid w:val="2E64DC09"/>
    <w:rsid w:val="2E66856D"/>
    <w:rsid w:val="2E676377"/>
    <w:rsid w:val="2E6EFE98"/>
    <w:rsid w:val="2E7218FE"/>
    <w:rsid w:val="2E74EDB6"/>
    <w:rsid w:val="2E75279C"/>
    <w:rsid w:val="2E757FE6"/>
    <w:rsid w:val="2E772DE7"/>
    <w:rsid w:val="2E784D96"/>
    <w:rsid w:val="2E7AD40E"/>
    <w:rsid w:val="2E7CDA11"/>
    <w:rsid w:val="2E7CF917"/>
    <w:rsid w:val="2E7D4AAE"/>
    <w:rsid w:val="2E80A97C"/>
    <w:rsid w:val="2E827C95"/>
    <w:rsid w:val="2E82E6A6"/>
    <w:rsid w:val="2E835473"/>
    <w:rsid w:val="2E87B8D3"/>
    <w:rsid w:val="2E880B0F"/>
    <w:rsid w:val="2E892F78"/>
    <w:rsid w:val="2E8B58A2"/>
    <w:rsid w:val="2E8BE1BF"/>
    <w:rsid w:val="2E8C70C2"/>
    <w:rsid w:val="2E8CABC1"/>
    <w:rsid w:val="2E8DA37F"/>
    <w:rsid w:val="2E8F6983"/>
    <w:rsid w:val="2E905FBE"/>
    <w:rsid w:val="2E9107BA"/>
    <w:rsid w:val="2E9122AF"/>
    <w:rsid w:val="2E926071"/>
    <w:rsid w:val="2E9498EE"/>
    <w:rsid w:val="2E9BDA37"/>
    <w:rsid w:val="2E9D027F"/>
    <w:rsid w:val="2EA08DA7"/>
    <w:rsid w:val="2EA3DA12"/>
    <w:rsid w:val="2EA59F45"/>
    <w:rsid w:val="2EA7E806"/>
    <w:rsid w:val="2EA96D6D"/>
    <w:rsid w:val="2EA97FDE"/>
    <w:rsid w:val="2EAA960F"/>
    <w:rsid w:val="2EAB4415"/>
    <w:rsid w:val="2EABD47E"/>
    <w:rsid w:val="2EAE4BEB"/>
    <w:rsid w:val="2EAF09CD"/>
    <w:rsid w:val="2EB119F3"/>
    <w:rsid w:val="2EB27FAF"/>
    <w:rsid w:val="2EB35D09"/>
    <w:rsid w:val="2EB3870E"/>
    <w:rsid w:val="2EB45AEC"/>
    <w:rsid w:val="2EB48FB6"/>
    <w:rsid w:val="2EB5B77A"/>
    <w:rsid w:val="2EB87926"/>
    <w:rsid w:val="2EBBE92C"/>
    <w:rsid w:val="2EBF9620"/>
    <w:rsid w:val="2EC3F055"/>
    <w:rsid w:val="2EC48A2C"/>
    <w:rsid w:val="2EC4B79D"/>
    <w:rsid w:val="2EC5F311"/>
    <w:rsid w:val="2EC780D7"/>
    <w:rsid w:val="2EC992A7"/>
    <w:rsid w:val="2ECCEC84"/>
    <w:rsid w:val="2ECE472B"/>
    <w:rsid w:val="2ECEC207"/>
    <w:rsid w:val="2ECED116"/>
    <w:rsid w:val="2ECFA986"/>
    <w:rsid w:val="2ED23FED"/>
    <w:rsid w:val="2ED86B58"/>
    <w:rsid w:val="2ED91615"/>
    <w:rsid w:val="2EDB3849"/>
    <w:rsid w:val="2EDBFF8E"/>
    <w:rsid w:val="2EDCD9B7"/>
    <w:rsid w:val="2EDF354E"/>
    <w:rsid w:val="2EE102A0"/>
    <w:rsid w:val="2EE167C6"/>
    <w:rsid w:val="2EE1AB47"/>
    <w:rsid w:val="2EE34748"/>
    <w:rsid w:val="2EE6D62A"/>
    <w:rsid w:val="2EE6F018"/>
    <w:rsid w:val="2EEA6A28"/>
    <w:rsid w:val="2EEB9447"/>
    <w:rsid w:val="2EEC6C37"/>
    <w:rsid w:val="2EED2AE6"/>
    <w:rsid w:val="2EEDFD41"/>
    <w:rsid w:val="2EF29A99"/>
    <w:rsid w:val="2EF37407"/>
    <w:rsid w:val="2EF58CB1"/>
    <w:rsid w:val="2EF76D05"/>
    <w:rsid w:val="2EF92660"/>
    <w:rsid w:val="2EFC29EE"/>
    <w:rsid w:val="2EFC5FB2"/>
    <w:rsid w:val="2EFD6FE2"/>
    <w:rsid w:val="2EFE5826"/>
    <w:rsid w:val="2F005324"/>
    <w:rsid w:val="2F010E10"/>
    <w:rsid w:val="2F02BE97"/>
    <w:rsid w:val="2F02D53A"/>
    <w:rsid w:val="2F04753B"/>
    <w:rsid w:val="2F04C6C8"/>
    <w:rsid w:val="2F0522B3"/>
    <w:rsid w:val="2F064A3B"/>
    <w:rsid w:val="2F0C0100"/>
    <w:rsid w:val="2F0CA0A5"/>
    <w:rsid w:val="2F0DE6CC"/>
    <w:rsid w:val="2F0E1F5A"/>
    <w:rsid w:val="2F0F4C9A"/>
    <w:rsid w:val="2F0F7270"/>
    <w:rsid w:val="2F0FF25A"/>
    <w:rsid w:val="2F10E2B7"/>
    <w:rsid w:val="2F119E3B"/>
    <w:rsid w:val="2F15274A"/>
    <w:rsid w:val="2F173B51"/>
    <w:rsid w:val="2F1B6289"/>
    <w:rsid w:val="2F1DEC39"/>
    <w:rsid w:val="2F22DFC7"/>
    <w:rsid w:val="2F232E3E"/>
    <w:rsid w:val="2F257D6D"/>
    <w:rsid w:val="2F25EE04"/>
    <w:rsid w:val="2F2648A4"/>
    <w:rsid w:val="2F27F660"/>
    <w:rsid w:val="2F2A33A8"/>
    <w:rsid w:val="2F2B1C1E"/>
    <w:rsid w:val="2F2F990B"/>
    <w:rsid w:val="2F2FA756"/>
    <w:rsid w:val="2F2FE308"/>
    <w:rsid w:val="2F303B6C"/>
    <w:rsid w:val="2F31621E"/>
    <w:rsid w:val="2F37AE2A"/>
    <w:rsid w:val="2F382086"/>
    <w:rsid w:val="2F398581"/>
    <w:rsid w:val="2F398B64"/>
    <w:rsid w:val="2F3BC2C1"/>
    <w:rsid w:val="2F3FDF60"/>
    <w:rsid w:val="2F401980"/>
    <w:rsid w:val="2F4149E5"/>
    <w:rsid w:val="2F44565B"/>
    <w:rsid w:val="2F4560CB"/>
    <w:rsid w:val="2F4909CC"/>
    <w:rsid w:val="2F490D1C"/>
    <w:rsid w:val="2F4A15AC"/>
    <w:rsid w:val="2F4D6BD3"/>
    <w:rsid w:val="2F4FC58B"/>
    <w:rsid w:val="2F4FE36D"/>
    <w:rsid w:val="2F512E32"/>
    <w:rsid w:val="2F517EAF"/>
    <w:rsid w:val="2F52067C"/>
    <w:rsid w:val="2F523688"/>
    <w:rsid w:val="2F52B0DF"/>
    <w:rsid w:val="2F557EF8"/>
    <w:rsid w:val="2F55869B"/>
    <w:rsid w:val="2F5807E1"/>
    <w:rsid w:val="2F588B49"/>
    <w:rsid w:val="2F58A8AB"/>
    <w:rsid w:val="2F5B8A90"/>
    <w:rsid w:val="2F5D1A11"/>
    <w:rsid w:val="2F5D7C1E"/>
    <w:rsid w:val="2F5E0C17"/>
    <w:rsid w:val="2F600CC0"/>
    <w:rsid w:val="2F6213AD"/>
    <w:rsid w:val="2F627C34"/>
    <w:rsid w:val="2F62BD7E"/>
    <w:rsid w:val="2F62C57B"/>
    <w:rsid w:val="2F6760B6"/>
    <w:rsid w:val="2F6803FC"/>
    <w:rsid w:val="2F682662"/>
    <w:rsid w:val="2F683391"/>
    <w:rsid w:val="2F69F2A2"/>
    <w:rsid w:val="2F6BAEA0"/>
    <w:rsid w:val="2F7152A5"/>
    <w:rsid w:val="2F731F8E"/>
    <w:rsid w:val="2F781BBD"/>
    <w:rsid w:val="2F78949F"/>
    <w:rsid w:val="2F78EBDF"/>
    <w:rsid w:val="2F7955E6"/>
    <w:rsid w:val="2F7A8F5D"/>
    <w:rsid w:val="2F7C946C"/>
    <w:rsid w:val="2F7D0F5D"/>
    <w:rsid w:val="2F7DBBD1"/>
    <w:rsid w:val="2F82C9BB"/>
    <w:rsid w:val="2F85EB8C"/>
    <w:rsid w:val="2F8890CB"/>
    <w:rsid w:val="2F88CF0C"/>
    <w:rsid w:val="2F8C78CD"/>
    <w:rsid w:val="2F8C8927"/>
    <w:rsid w:val="2F92A1D4"/>
    <w:rsid w:val="2F945CA8"/>
    <w:rsid w:val="2F95D4FF"/>
    <w:rsid w:val="2F95FAEC"/>
    <w:rsid w:val="2F9684EB"/>
    <w:rsid w:val="2F96FAD0"/>
    <w:rsid w:val="2F97688E"/>
    <w:rsid w:val="2F9780F8"/>
    <w:rsid w:val="2F999EDC"/>
    <w:rsid w:val="2F9BD88A"/>
    <w:rsid w:val="2F9D9170"/>
    <w:rsid w:val="2F9F881B"/>
    <w:rsid w:val="2F9FAC8D"/>
    <w:rsid w:val="2F9FCBD6"/>
    <w:rsid w:val="2FA2F599"/>
    <w:rsid w:val="2FA474D9"/>
    <w:rsid w:val="2FA5C2D9"/>
    <w:rsid w:val="2FA66DC9"/>
    <w:rsid w:val="2FA76BCA"/>
    <w:rsid w:val="2FA778E4"/>
    <w:rsid w:val="2FACE5D3"/>
    <w:rsid w:val="2FAD415D"/>
    <w:rsid w:val="2FB10A3D"/>
    <w:rsid w:val="2FB22607"/>
    <w:rsid w:val="2FB2BCE3"/>
    <w:rsid w:val="2FB3086D"/>
    <w:rsid w:val="2FB4EDE3"/>
    <w:rsid w:val="2FB8A370"/>
    <w:rsid w:val="2FBBBE58"/>
    <w:rsid w:val="2FBC94C9"/>
    <w:rsid w:val="2FBCCCCF"/>
    <w:rsid w:val="2FBD3E0F"/>
    <w:rsid w:val="2FC0B650"/>
    <w:rsid w:val="2FC46833"/>
    <w:rsid w:val="2FC7FA99"/>
    <w:rsid w:val="2FC9D7DD"/>
    <w:rsid w:val="2FCA7D9F"/>
    <w:rsid w:val="2FCB7FDA"/>
    <w:rsid w:val="2FCBB041"/>
    <w:rsid w:val="2FCE6B36"/>
    <w:rsid w:val="2FD04FBF"/>
    <w:rsid w:val="2FD0749C"/>
    <w:rsid w:val="2FD19D13"/>
    <w:rsid w:val="2FD1B861"/>
    <w:rsid w:val="2FD64A59"/>
    <w:rsid w:val="2FDCC821"/>
    <w:rsid w:val="2FDDEB77"/>
    <w:rsid w:val="2FDEF741"/>
    <w:rsid w:val="2FDF056B"/>
    <w:rsid w:val="2FE29737"/>
    <w:rsid w:val="2FE2DE63"/>
    <w:rsid w:val="2FE35A88"/>
    <w:rsid w:val="2FE3B1B5"/>
    <w:rsid w:val="2FE7E840"/>
    <w:rsid w:val="2FEDC3D8"/>
    <w:rsid w:val="2FEE3DC6"/>
    <w:rsid w:val="2FF258E7"/>
    <w:rsid w:val="2FF6389E"/>
    <w:rsid w:val="2FF6534B"/>
    <w:rsid w:val="2FF6D99B"/>
    <w:rsid w:val="2FF6EF47"/>
    <w:rsid w:val="2FF7026A"/>
    <w:rsid w:val="2FF74018"/>
    <w:rsid w:val="2FF83E11"/>
    <w:rsid w:val="2FF8FD2B"/>
    <w:rsid w:val="2FF90490"/>
    <w:rsid w:val="2FF9447E"/>
    <w:rsid w:val="2FF9A78D"/>
    <w:rsid w:val="2FF9C5FA"/>
    <w:rsid w:val="3004A65E"/>
    <w:rsid w:val="3005FF81"/>
    <w:rsid w:val="3006BB56"/>
    <w:rsid w:val="3007C414"/>
    <w:rsid w:val="30099FDC"/>
    <w:rsid w:val="300BDBB1"/>
    <w:rsid w:val="300C4051"/>
    <w:rsid w:val="300DF6C1"/>
    <w:rsid w:val="300F3792"/>
    <w:rsid w:val="300F8A50"/>
    <w:rsid w:val="3011675D"/>
    <w:rsid w:val="3014016D"/>
    <w:rsid w:val="3015167B"/>
    <w:rsid w:val="3015D0D1"/>
    <w:rsid w:val="3015EF32"/>
    <w:rsid w:val="3016A043"/>
    <w:rsid w:val="301A2A18"/>
    <w:rsid w:val="301A2ECE"/>
    <w:rsid w:val="301E50CD"/>
    <w:rsid w:val="301EAC18"/>
    <w:rsid w:val="3022073F"/>
    <w:rsid w:val="302224C5"/>
    <w:rsid w:val="3025CD15"/>
    <w:rsid w:val="3027529E"/>
    <w:rsid w:val="30290289"/>
    <w:rsid w:val="3029F6A5"/>
    <w:rsid w:val="302A8533"/>
    <w:rsid w:val="302C3F20"/>
    <w:rsid w:val="302E8C00"/>
    <w:rsid w:val="302F338F"/>
    <w:rsid w:val="3033658B"/>
    <w:rsid w:val="303397FA"/>
    <w:rsid w:val="3033BAF4"/>
    <w:rsid w:val="30379B0A"/>
    <w:rsid w:val="303A72B8"/>
    <w:rsid w:val="303AA3AE"/>
    <w:rsid w:val="303B9C15"/>
    <w:rsid w:val="303D5BCD"/>
    <w:rsid w:val="303E092A"/>
    <w:rsid w:val="303F423D"/>
    <w:rsid w:val="303F8006"/>
    <w:rsid w:val="30409A19"/>
    <w:rsid w:val="30414CA0"/>
    <w:rsid w:val="3041EB8B"/>
    <w:rsid w:val="3042EFE4"/>
    <w:rsid w:val="304372C8"/>
    <w:rsid w:val="304491B5"/>
    <w:rsid w:val="3045E6F8"/>
    <w:rsid w:val="304672D9"/>
    <w:rsid w:val="3047AE08"/>
    <w:rsid w:val="304A31F5"/>
    <w:rsid w:val="304A6B1A"/>
    <w:rsid w:val="304ADF30"/>
    <w:rsid w:val="304BE060"/>
    <w:rsid w:val="3053724B"/>
    <w:rsid w:val="305419EE"/>
    <w:rsid w:val="305599EC"/>
    <w:rsid w:val="3058F1E4"/>
    <w:rsid w:val="30593E42"/>
    <w:rsid w:val="305A0329"/>
    <w:rsid w:val="305C69BA"/>
    <w:rsid w:val="305D3068"/>
    <w:rsid w:val="305FCAC2"/>
    <w:rsid w:val="30641F82"/>
    <w:rsid w:val="3065AD63"/>
    <w:rsid w:val="3067A464"/>
    <w:rsid w:val="3067CD64"/>
    <w:rsid w:val="306921C9"/>
    <w:rsid w:val="30713254"/>
    <w:rsid w:val="3074BCD7"/>
    <w:rsid w:val="3076D481"/>
    <w:rsid w:val="30779CD2"/>
    <w:rsid w:val="30781BA2"/>
    <w:rsid w:val="3078B9E4"/>
    <w:rsid w:val="3079151D"/>
    <w:rsid w:val="307A2BA3"/>
    <w:rsid w:val="307D9232"/>
    <w:rsid w:val="307EFCEF"/>
    <w:rsid w:val="30835649"/>
    <w:rsid w:val="30843A2A"/>
    <w:rsid w:val="308616EC"/>
    <w:rsid w:val="30897931"/>
    <w:rsid w:val="3089C40F"/>
    <w:rsid w:val="308A3CF6"/>
    <w:rsid w:val="308B8489"/>
    <w:rsid w:val="308BB9E2"/>
    <w:rsid w:val="308C3A37"/>
    <w:rsid w:val="308EA167"/>
    <w:rsid w:val="30926F26"/>
    <w:rsid w:val="30945EB7"/>
    <w:rsid w:val="309683EC"/>
    <w:rsid w:val="3097F997"/>
    <w:rsid w:val="3099D788"/>
    <w:rsid w:val="309C5379"/>
    <w:rsid w:val="30A02D10"/>
    <w:rsid w:val="30A18E88"/>
    <w:rsid w:val="30A53CE0"/>
    <w:rsid w:val="30A63877"/>
    <w:rsid w:val="30A70DA0"/>
    <w:rsid w:val="30A778B6"/>
    <w:rsid w:val="30A8DE44"/>
    <w:rsid w:val="30AB1E34"/>
    <w:rsid w:val="30AD0FE5"/>
    <w:rsid w:val="30B0A74F"/>
    <w:rsid w:val="30B0C087"/>
    <w:rsid w:val="30B18386"/>
    <w:rsid w:val="30B1BF98"/>
    <w:rsid w:val="30B27797"/>
    <w:rsid w:val="30B794E9"/>
    <w:rsid w:val="30B8EBF7"/>
    <w:rsid w:val="30BD8113"/>
    <w:rsid w:val="30BDBE47"/>
    <w:rsid w:val="30BF8988"/>
    <w:rsid w:val="30C0317D"/>
    <w:rsid w:val="30C1E9A0"/>
    <w:rsid w:val="30C2F32D"/>
    <w:rsid w:val="30C79F95"/>
    <w:rsid w:val="30CAC691"/>
    <w:rsid w:val="30CB061A"/>
    <w:rsid w:val="30CE5594"/>
    <w:rsid w:val="30D05D5A"/>
    <w:rsid w:val="30D24AA8"/>
    <w:rsid w:val="30D3BD6B"/>
    <w:rsid w:val="30D5B309"/>
    <w:rsid w:val="30D7CBC5"/>
    <w:rsid w:val="30DA811F"/>
    <w:rsid w:val="30DB6E2E"/>
    <w:rsid w:val="30DD9B78"/>
    <w:rsid w:val="30E06D98"/>
    <w:rsid w:val="30E10012"/>
    <w:rsid w:val="30E17864"/>
    <w:rsid w:val="30E5D89A"/>
    <w:rsid w:val="30E5DCB8"/>
    <w:rsid w:val="30E823E5"/>
    <w:rsid w:val="30E87F3D"/>
    <w:rsid w:val="30E947D8"/>
    <w:rsid w:val="30E9D271"/>
    <w:rsid w:val="30EAD0AF"/>
    <w:rsid w:val="30EB8EAC"/>
    <w:rsid w:val="30EBE904"/>
    <w:rsid w:val="30EF4A61"/>
    <w:rsid w:val="30EFB2BE"/>
    <w:rsid w:val="30F04AE3"/>
    <w:rsid w:val="30F35EE3"/>
    <w:rsid w:val="30F7F8B8"/>
    <w:rsid w:val="30F81A7F"/>
    <w:rsid w:val="30F8F7F5"/>
    <w:rsid w:val="30F9434D"/>
    <w:rsid w:val="30FAEE70"/>
    <w:rsid w:val="30FFDE6B"/>
    <w:rsid w:val="31012BFA"/>
    <w:rsid w:val="3102EC2E"/>
    <w:rsid w:val="31097C34"/>
    <w:rsid w:val="310B2717"/>
    <w:rsid w:val="310D916E"/>
    <w:rsid w:val="310F67C6"/>
    <w:rsid w:val="3112EEEE"/>
    <w:rsid w:val="3113D9BD"/>
    <w:rsid w:val="31158297"/>
    <w:rsid w:val="3115EE2A"/>
    <w:rsid w:val="3118C0D3"/>
    <w:rsid w:val="311ADC5C"/>
    <w:rsid w:val="311BEA58"/>
    <w:rsid w:val="311D72A0"/>
    <w:rsid w:val="31210383"/>
    <w:rsid w:val="31210F94"/>
    <w:rsid w:val="312319A2"/>
    <w:rsid w:val="31253696"/>
    <w:rsid w:val="3125901F"/>
    <w:rsid w:val="3125A13F"/>
    <w:rsid w:val="31262EED"/>
    <w:rsid w:val="3127AAC6"/>
    <w:rsid w:val="312987C0"/>
    <w:rsid w:val="312A93AB"/>
    <w:rsid w:val="312AAB64"/>
    <w:rsid w:val="312AD2C1"/>
    <w:rsid w:val="312CF007"/>
    <w:rsid w:val="312D5885"/>
    <w:rsid w:val="3130788B"/>
    <w:rsid w:val="3130AAFD"/>
    <w:rsid w:val="3134F7DB"/>
    <w:rsid w:val="3138D29F"/>
    <w:rsid w:val="313A1B34"/>
    <w:rsid w:val="313A65BD"/>
    <w:rsid w:val="313B2DC9"/>
    <w:rsid w:val="313D7758"/>
    <w:rsid w:val="314060CE"/>
    <w:rsid w:val="3145E538"/>
    <w:rsid w:val="3148B591"/>
    <w:rsid w:val="314BE5B0"/>
    <w:rsid w:val="314D00E5"/>
    <w:rsid w:val="314DFE74"/>
    <w:rsid w:val="314E7CAA"/>
    <w:rsid w:val="314F8907"/>
    <w:rsid w:val="315284FC"/>
    <w:rsid w:val="315371AA"/>
    <w:rsid w:val="3155FFA7"/>
    <w:rsid w:val="315BC0A3"/>
    <w:rsid w:val="315CE0E7"/>
    <w:rsid w:val="315ED874"/>
    <w:rsid w:val="315FE7E7"/>
    <w:rsid w:val="3160EF8E"/>
    <w:rsid w:val="31625784"/>
    <w:rsid w:val="31629325"/>
    <w:rsid w:val="31645514"/>
    <w:rsid w:val="31652F21"/>
    <w:rsid w:val="3165FA69"/>
    <w:rsid w:val="3167B53E"/>
    <w:rsid w:val="316A9E22"/>
    <w:rsid w:val="316BB338"/>
    <w:rsid w:val="316C698B"/>
    <w:rsid w:val="316CD98B"/>
    <w:rsid w:val="316E4CB5"/>
    <w:rsid w:val="316FC4A6"/>
    <w:rsid w:val="31757F97"/>
    <w:rsid w:val="317584AF"/>
    <w:rsid w:val="3177127E"/>
    <w:rsid w:val="31772977"/>
    <w:rsid w:val="31777D49"/>
    <w:rsid w:val="31779E05"/>
    <w:rsid w:val="317AAE05"/>
    <w:rsid w:val="317AB3C8"/>
    <w:rsid w:val="317BA31E"/>
    <w:rsid w:val="317C2997"/>
    <w:rsid w:val="317C3035"/>
    <w:rsid w:val="317FE295"/>
    <w:rsid w:val="3181447D"/>
    <w:rsid w:val="31825E1B"/>
    <w:rsid w:val="3184E862"/>
    <w:rsid w:val="31862465"/>
    <w:rsid w:val="3186C4E8"/>
    <w:rsid w:val="31872A21"/>
    <w:rsid w:val="31894583"/>
    <w:rsid w:val="318A7445"/>
    <w:rsid w:val="31900F47"/>
    <w:rsid w:val="31944773"/>
    <w:rsid w:val="3194F0CB"/>
    <w:rsid w:val="3197602F"/>
    <w:rsid w:val="3198098C"/>
    <w:rsid w:val="319BB368"/>
    <w:rsid w:val="319EA189"/>
    <w:rsid w:val="319FA8FE"/>
    <w:rsid w:val="31A63BCD"/>
    <w:rsid w:val="31A6FFD5"/>
    <w:rsid w:val="31A9CFB6"/>
    <w:rsid w:val="31AC6048"/>
    <w:rsid w:val="31AD6391"/>
    <w:rsid w:val="31AEC2D3"/>
    <w:rsid w:val="31AFB2C0"/>
    <w:rsid w:val="31B37EB5"/>
    <w:rsid w:val="31B6C481"/>
    <w:rsid w:val="31BA7613"/>
    <w:rsid w:val="31BB79D7"/>
    <w:rsid w:val="31BBE190"/>
    <w:rsid w:val="31BDE380"/>
    <w:rsid w:val="31C029B5"/>
    <w:rsid w:val="31C200AF"/>
    <w:rsid w:val="31C22344"/>
    <w:rsid w:val="31C5C1FE"/>
    <w:rsid w:val="31C6E63B"/>
    <w:rsid w:val="31C6FC7A"/>
    <w:rsid w:val="31C8156B"/>
    <w:rsid w:val="31C86CD9"/>
    <w:rsid w:val="31C98B37"/>
    <w:rsid w:val="31CA1A24"/>
    <w:rsid w:val="31CBFE92"/>
    <w:rsid w:val="31CF5EBD"/>
    <w:rsid w:val="31D0155A"/>
    <w:rsid w:val="31D1CF53"/>
    <w:rsid w:val="31D28CE8"/>
    <w:rsid w:val="31D91E0D"/>
    <w:rsid w:val="31D9D364"/>
    <w:rsid w:val="31DA5E4E"/>
    <w:rsid w:val="31DABA61"/>
    <w:rsid w:val="31DB9301"/>
    <w:rsid w:val="31DC5F43"/>
    <w:rsid w:val="31DD94A6"/>
    <w:rsid w:val="31E24BFD"/>
    <w:rsid w:val="31E2AB52"/>
    <w:rsid w:val="31E315A7"/>
    <w:rsid w:val="31E54CEC"/>
    <w:rsid w:val="31E584BC"/>
    <w:rsid w:val="31E763F2"/>
    <w:rsid w:val="31E921C8"/>
    <w:rsid w:val="31E9E459"/>
    <w:rsid w:val="31EA4473"/>
    <w:rsid w:val="31EC518F"/>
    <w:rsid w:val="31EF6C5A"/>
    <w:rsid w:val="31F08ED6"/>
    <w:rsid w:val="31F1CE7A"/>
    <w:rsid w:val="31F54DBF"/>
    <w:rsid w:val="31F8485F"/>
    <w:rsid w:val="31FA0A04"/>
    <w:rsid w:val="31FA8D0E"/>
    <w:rsid w:val="31FB1933"/>
    <w:rsid w:val="31FB4EE1"/>
    <w:rsid w:val="31FCA227"/>
    <w:rsid w:val="31FDAA79"/>
    <w:rsid w:val="31FE2B1C"/>
    <w:rsid w:val="31FE6C8B"/>
    <w:rsid w:val="32004C97"/>
    <w:rsid w:val="32030348"/>
    <w:rsid w:val="3203194A"/>
    <w:rsid w:val="3203D615"/>
    <w:rsid w:val="32057D71"/>
    <w:rsid w:val="32067AFC"/>
    <w:rsid w:val="32085E13"/>
    <w:rsid w:val="32097F8A"/>
    <w:rsid w:val="320CADE8"/>
    <w:rsid w:val="32161631"/>
    <w:rsid w:val="32164248"/>
    <w:rsid w:val="321723A3"/>
    <w:rsid w:val="32180DD8"/>
    <w:rsid w:val="32195499"/>
    <w:rsid w:val="321A4BBC"/>
    <w:rsid w:val="321D19B9"/>
    <w:rsid w:val="321D4165"/>
    <w:rsid w:val="32210201"/>
    <w:rsid w:val="3223A587"/>
    <w:rsid w:val="32260A20"/>
    <w:rsid w:val="322866F6"/>
    <w:rsid w:val="322B94AA"/>
    <w:rsid w:val="32309CCA"/>
    <w:rsid w:val="32313A3C"/>
    <w:rsid w:val="323184E1"/>
    <w:rsid w:val="3231DDC0"/>
    <w:rsid w:val="3233001B"/>
    <w:rsid w:val="32338EA0"/>
    <w:rsid w:val="323588CE"/>
    <w:rsid w:val="32359DED"/>
    <w:rsid w:val="323663C4"/>
    <w:rsid w:val="323738BF"/>
    <w:rsid w:val="323804B2"/>
    <w:rsid w:val="323888D5"/>
    <w:rsid w:val="32390ADD"/>
    <w:rsid w:val="323A51DD"/>
    <w:rsid w:val="323D1F2B"/>
    <w:rsid w:val="323F15BC"/>
    <w:rsid w:val="3243CB24"/>
    <w:rsid w:val="32468DE1"/>
    <w:rsid w:val="3247931C"/>
    <w:rsid w:val="3248D622"/>
    <w:rsid w:val="324A565E"/>
    <w:rsid w:val="324B13FD"/>
    <w:rsid w:val="324B75E0"/>
    <w:rsid w:val="324D858B"/>
    <w:rsid w:val="324E2414"/>
    <w:rsid w:val="32503192"/>
    <w:rsid w:val="3251B724"/>
    <w:rsid w:val="3253E09B"/>
    <w:rsid w:val="32542D5D"/>
    <w:rsid w:val="32564AAA"/>
    <w:rsid w:val="3258FBDE"/>
    <w:rsid w:val="325A6EBD"/>
    <w:rsid w:val="325AD5FE"/>
    <w:rsid w:val="325BE172"/>
    <w:rsid w:val="325C7450"/>
    <w:rsid w:val="325CC67B"/>
    <w:rsid w:val="325D3B9F"/>
    <w:rsid w:val="32619FCD"/>
    <w:rsid w:val="32624270"/>
    <w:rsid w:val="3262F9D3"/>
    <w:rsid w:val="32632144"/>
    <w:rsid w:val="32638D89"/>
    <w:rsid w:val="3265FBBC"/>
    <w:rsid w:val="32677D1F"/>
    <w:rsid w:val="326859ED"/>
    <w:rsid w:val="3268F2C0"/>
    <w:rsid w:val="326D11BF"/>
    <w:rsid w:val="326D8BB5"/>
    <w:rsid w:val="326DC398"/>
    <w:rsid w:val="326DDB80"/>
    <w:rsid w:val="326DF981"/>
    <w:rsid w:val="327110BF"/>
    <w:rsid w:val="32727B02"/>
    <w:rsid w:val="32755C7C"/>
    <w:rsid w:val="327C38D9"/>
    <w:rsid w:val="327E8EC0"/>
    <w:rsid w:val="3281FCA4"/>
    <w:rsid w:val="32831640"/>
    <w:rsid w:val="3283F934"/>
    <w:rsid w:val="3284B095"/>
    <w:rsid w:val="328879E4"/>
    <w:rsid w:val="3288B5FB"/>
    <w:rsid w:val="328AD290"/>
    <w:rsid w:val="328AED3F"/>
    <w:rsid w:val="328B55AA"/>
    <w:rsid w:val="328CE71A"/>
    <w:rsid w:val="328EFB00"/>
    <w:rsid w:val="329042B6"/>
    <w:rsid w:val="3294DB0F"/>
    <w:rsid w:val="3297181B"/>
    <w:rsid w:val="32992779"/>
    <w:rsid w:val="329A557F"/>
    <w:rsid w:val="329AF738"/>
    <w:rsid w:val="329B2E80"/>
    <w:rsid w:val="329C3E41"/>
    <w:rsid w:val="32A0452C"/>
    <w:rsid w:val="32A089E5"/>
    <w:rsid w:val="32A0AF3B"/>
    <w:rsid w:val="32A1A0A9"/>
    <w:rsid w:val="32A22C99"/>
    <w:rsid w:val="32A30C2E"/>
    <w:rsid w:val="32A4E427"/>
    <w:rsid w:val="32A7FF13"/>
    <w:rsid w:val="32A81AAE"/>
    <w:rsid w:val="32A85966"/>
    <w:rsid w:val="32AA344F"/>
    <w:rsid w:val="32B0747A"/>
    <w:rsid w:val="32B08AF3"/>
    <w:rsid w:val="32B3E6DE"/>
    <w:rsid w:val="32B663CE"/>
    <w:rsid w:val="32B82E91"/>
    <w:rsid w:val="32BB1B3A"/>
    <w:rsid w:val="32BC20C6"/>
    <w:rsid w:val="32BEB16A"/>
    <w:rsid w:val="32C0DBB3"/>
    <w:rsid w:val="32C2AC3B"/>
    <w:rsid w:val="32C424B5"/>
    <w:rsid w:val="32C52608"/>
    <w:rsid w:val="32C73A5F"/>
    <w:rsid w:val="32C84C7C"/>
    <w:rsid w:val="32CA0D1E"/>
    <w:rsid w:val="32CEB5A4"/>
    <w:rsid w:val="32CECF06"/>
    <w:rsid w:val="32D1E386"/>
    <w:rsid w:val="32D4DC14"/>
    <w:rsid w:val="32D4DC63"/>
    <w:rsid w:val="32D525FD"/>
    <w:rsid w:val="32D5809D"/>
    <w:rsid w:val="32D6FD88"/>
    <w:rsid w:val="32D706CA"/>
    <w:rsid w:val="32D790F0"/>
    <w:rsid w:val="32DA9603"/>
    <w:rsid w:val="32DC0CE2"/>
    <w:rsid w:val="32DD23FE"/>
    <w:rsid w:val="32DF9DFA"/>
    <w:rsid w:val="32E2D441"/>
    <w:rsid w:val="32E37CC9"/>
    <w:rsid w:val="32E505ED"/>
    <w:rsid w:val="32E55180"/>
    <w:rsid w:val="32E684BC"/>
    <w:rsid w:val="32E7BDFF"/>
    <w:rsid w:val="32EC335D"/>
    <w:rsid w:val="32ECD517"/>
    <w:rsid w:val="32ED46AA"/>
    <w:rsid w:val="32ED777D"/>
    <w:rsid w:val="32EE0917"/>
    <w:rsid w:val="32EE13F4"/>
    <w:rsid w:val="32F384F2"/>
    <w:rsid w:val="32F470B3"/>
    <w:rsid w:val="32F76183"/>
    <w:rsid w:val="32F7805F"/>
    <w:rsid w:val="32F85E9F"/>
    <w:rsid w:val="32F9CD59"/>
    <w:rsid w:val="32FB4199"/>
    <w:rsid w:val="32FB5DE9"/>
    <w:rsid w:val="32FBC5A0"/>
    <w:rsid w:val="3300501A"/>
    <w:rsid w:val="3300949B"/>
    <w:rsid w:val="33021E61"/>
    <w:rsid w:val="3303ADCA"/>
    <w:rsid w:val="3305BCBD"/>
    <w:rsid w:val="33075E63"/>
    <w:rsid w:val="330A5E01"/>
    <w:rsid w:val="330B6F07"/>
    <w:rsid w:val="330C22FE"/>
    <w:rsid w:val="330ED049"/>
    <w:rsid w:val="33120A5F"/>
    <w:rsid w:val="331A28FE"/>
    <w:rsid w:val="331A2ACB"/>
    <w:rsid w:val="331AAB27"/>
    <w:rsid w:val="331B76FD"/>
    <w:rsid w:val="331ED8BD"/>
    <w:rsid w:val="331FC01C"/>
    <w:rsid w:val="331FF93A"/>
    <w:rsid w:val="33215B2F"/>
    <w:rsid w:val="3322821A"/>
    <w:rsid w:val="33252DCC"/>
    <w:rsid w:val="33286DF1"/>
    <w:rsid w:val="33290578"/>
    <w:rsid w:val="3329D4D3"/>
    <w:rsid w:val="332B6765"/>
    <w:rsid w:val="332C1984"/>
    <w:rsid w:val="332C662B"/>
    <w:rsid w:val="332E197B"/>
    <w:rsid w:val="332EBA74"/>
    <w:rsid w:val="3331960D"/>
    <w:rsid w:val="33326E6C"/>
    <w:rsid w:val="3335E63F"/>
    <w:rsid w:val="333769BB"/>
    <w:rsid w:val="3338510B"/>
    <w:rsid w:val="33388421"/>
    <w:rsid w:val="33389C44"/>
    <w:rsid w:val="3338E7CA"/>
    <w:rsid w:val="333D4197"/>
    <w:rsid w:val="333E0843"/>
    <w:rsid w:val="333F367E"/>
    <w:rsid w:val="333FC1E8"/>
    <w:rsid w:val="3341DDD2"/>
    <w:rsid w:val="3344E327"/>
    <w:rsid w:val="3344E7E9"/>
    <w:rsid w:val="3346328C"/>
    <w:rsid w:val="3348869C"/>
    <w:rsid w:val="33499D63"/>
    <w:rsid w:val="334BDE4D"/>
    <w:rsid w:val="334C13A2"/>
    <w:rsid w:val="334FF5CA"/>
    <w:rsid w:val="3354B3D6"/>
    <w:rsid w:val="3355D483"/>
    <w:rsid w:val="3359A244"/>
    <w:rsid w:val="335AEB13"/>
    <w:rsid w:val="335BAACB"/>
    <w:rsid w:val="335CE806"/>
    <w:rsid w:val="335EF1B3"/>
    <w:rsid w:val="335F8D5D"/>
    <w:rsid w:val="336118A9"/>
    <w:rsid w:val="336511EC"/>
    <w:rsid w:val="33670CFA"/>
    <w:rsid w:val="33680F86"/>
    <w:rsid w:val="3368CEE9"/>
    <w:rsid w:val="33690552"/>
    <w:rsid w:val="33706A22"/>
    <w:rsid w:val="33708F11"/>
    <w:rsid w:val="3372744D"/>
    <w:rsid w:val="3373A115"/>
    <w:rsid w:val="33742AF4"/>
    <w:rsid w:val="33745D71"/>
    <w:rsid w:val="33749AE0"/>
    <w:rsid w:val="3375B125"/>
    <w:rsid w:val="337688AA"/>
    <w:rsid w:val="337C35C0"/>
    <w:rsid w:val="337CF24C"/>
    <w:rsid w:val="338001A8"/>
    <w:rsid w:val="338077FA"/>
    <w:rsid w:val="3380ABB7"/>
    <w:rsid w:val="3386C642"/>
    <w:rsid w:val="33870B04"/>
    <w:rsid w:val="3389A514"/>
    <w:rsid w:val="338B08CF"/>
    <w:rsid w:val="338D28F7"/>
    <w:rsid w:val="3390D42C"/>
    <w:rsid w:val="3391396D"/>
    <w:rsid w:val="33928A7C"/>
    <w:rsid w:val="33957C67"/>
    <w:rsid w:val="33979FD8"/>
    <w:rsid w:val="3398B480"/>
    <w:rsid w:val="3399B607"/>
    <w:rsid w:val="339B02DF"/>
    <w:rsid w:val="339CBFD7"/>
    <w:rsid w:val="339E7B73"/>
    <w:rsid w:val="339F9CE1"/>
    <w:rsid w:val="33A1023A"/>
    <w:rsid w:val="33A23334"/>
    <w:rsid w:val="33A27E9C"/>
    <w:rsid w:val="33A36D93"/>
    <w:rsid w:val="33A64ADC"/>
    <w:rsid w:val="33A7ECB0"/>
    <w:rsid w:val="33A91123"/>
    <w:rsid w:val="33AB7EC2"/>
    <w:rsid w:val="33AB978C"/>
    <w:rsid w:val="33AC8A8F"/>
    <w:rsid w:val="33ACA7D7"/>
    <w:rsid w:val="33AF6EF2"/>
    <w:rsid w:val="33AF89EE"/>
    <w:rsid w:val="33B08EAD"/>
    <w:rsid w:val="33B12A65"/>
    <w:rsid w:val="33B1B5DA"/>
    <w:rsid w:val="33B43A3A"/>
    <w:rsid w:val="33B46018"/>
    <w:rsid w:val="33B54BE5"/>
    <w:rsid w:val="33B5D3F5"/>
    <w:rsid w:val="33B753A5"/>
    <w:rsid w:val="33B9F874"/>
    <w:rsid w:val="33BA859F"/>
    <w:rsid w:val="33BAB1AE"/>
    <w:rsid w:val="33BAF702"/>
    <w:rsid w:val="33C31ECB"/>
    <w:rsid w:val="33C46495"/>
    <w:rsid w:val="33C6B0B1"/>
    <w:rsid w:val="33C6C9A1"/>
    <w:rsid w:val="33CD2FB8"/>
    <w:rsid w:val="33CDCFE7"/>
    <w:rsid w:val="33CDE43A"/>
    <w:rsid w:val="33CE1EE9"/>
    <w:rsid w:val="33D10F63"/>
    <w:rsid w:val="33D12B11"/>
    <w:rsid w:val="33D3BFB5"/>
    <w:rsid w:val="33D6063D"/>
    <w:rsid w:val="33D6350D"/>
    <w:rsid w:val="33D7C82D"/>
    <w:rsid w:val="33D9CDBE"/>
    <w:rsid w:val="33DD1970"/>
    <w:rsid w:val="33DD4FEA"/>
    <w:rsid w:val="33E05DB6"/>
    <w:rsid w:val="33E144D9"/>
    <w:rsid w:val="33E59666"/>
    <w:rsid w:val="33E66A6E"/>
    <w:rsid w:val="33EAD08E"/>
    <w:rsid w:val="33EB4DD1"/>
    <w:rsid w:val="33EDDB9E"/>
    <w:rsid w:val="33F09D0B"/>
    <w:rsid w:val="33F19BFC"/>
    <w:rsid w:val="33F1F4F9"/>
    <w:rsid w:val="33F25EE6"/>
    <w:rsid w:val="33F2E81A"/>
    <w:rsid w:val="33F67A02"/>
    <w:rsid w:val="33F7BDF9"/>
    <w:rsid w:val="33F9C4F3"/>
    <w:rsid w:val="33FA75F8"/>
    <w:rsid w:val="33FD4436"/>
    <w:rsid w:val="33FFD231"/>
    <w:rsid w:val="3400E3E1"/>
    <w:rsid w:val="3401411C"/>
    <w:rsid w:val="3405E2E7"/>
    <w:rsid w:val="3407C184"/>
    <w:rsid w:val="3409E996"/>
    <w:rsid w:val="340BF6F5"/>
    <w:rsid w:val="340C61E2"/>
    <w:rsid w:val="340D1879"/>
    <w:rsid w:val="340DF2F2"/>
    <w:rsid w:val="34135E45"/>
    <w:rsid w:val="3413600E"/>
    <w:rsid w:val="34139132"/>
    <w:rsid w:val="3416E7A4"/>
    <w:rsid w:val="3418C96C"/>
    <w:rsid w:val="34194A9E"/>
    <w:rsid w:val="341984F7"/>
    <w:rsid w:val="341A83B2"/>
    <w:rsid w:val="341B8C4C"/>
    <w:rsid w:val="341C757D"/>
    <w:rsid w:val="341D53A4"/>
    <w:rsid w:val="341E6E31"/>
    <w:rsid w:val="3421A91A"/>
    <w:rsid w:val="34220CE1"/>
    <w:rsid w:val="342263C0"/>
    <w:rsid w:val="34237EA5"/>
    <w:rsid w:val="3426CCEE"/>
    <w:rsid w:val="342B0127"/>
    <w:rsid w:val="342C44F0"/>
    <w:rsid w:val="342E7908"/>
    <w:rsid w:val="342F0F6B"/>
    <w:rsid w:val="342FF5A8"/>
    <w:rsid w:val="34320729"/>
    <w:rsid w:val="3435E1DE"/>
    <w:rsid w:val="34363E9A"/>
    <w:rsid w:val="3437563D"/>
    <w:rsid w:val="34383BA9"/>
    <w:rsid w:val="3439629B"/>
    <w:rsid w:val="3439C8EE"/>
    <w:rsid w:val="343CD0B0"/>
    <w:rsid w:val="343E55B8"/>
    <w:rsid w:val="343F12EE"/>
    <w:rsid w:val="343F6427"/>
    <w:rsid w:val="34406046"/>
    <w:rsid w:val="3441844F"/>
    <w:rsid w:val="344486AB"/>
    <w:rsid w:val="3444BEEE"/>
    <w:rsid w:val="344561EA"/>
    <w:rsid w:val="344AF3F9"/>
    <w:rsid w:val="344C56A2"/>
    <w:rsid w:val="34517396"/>
    <w:rsid w:val="3451B05C"/>
    <w:rsid w:val="34526A57"/>
    <w:rsid w:val="345290EF"/>
    <w:rsid w:val="345BA65F"/>
    <w:rsid w:val="345FC49B"/>
    <w:rsid w:val="3460FA93"/>
    <w:rsid w:val="34614840"/>
    <w:rsid w:val="34619264"/>
    <w:rsid w:val="34624A99"/>
    <w:rsid w:val="3464D35E"/>
    <w:rsid w:val="346628C8"/>
    <w:rsid w:val="346A465E"/>
    <w:rsid w:val="346B7ABA"/>
    <w:rsid w:val="346F27C7"/>
    <w:rsid w:val="346F61B2"/>
    <w:rsid w:val="34702FA7"/>
    <w:rsid w:val="347118C6"/>
    <w:rsid w:val="3474A793"/>
    <w:rsid w:val="3477E7EB"/>
    <w:rsid w:val="347BFB8E"/>
    <w:rsid w:val="347C3027"/>
    <w:rsid w:val="347C3ECB"/>
    <w:rsid w:val="34802FAD"/>
    <w:rsid w:val="3482374E"/>
    <w:rsid w:val="34823B3D"/>
    <w:rsid w:val="34831725"/>
    <w:rsid w:val="34864613"/>
    <w:rsid w:val="34889526"/>
    <w:rsid w:val="34895C92"/>
    <w:rsid w:val="3489AD54"/>
    <w:rsid w:val="348ACF19"/>
    <w:rsid w:val="348D7D39"/>
    <w:rsid w:val="348D9610"/>
    <w:rsid w:val="348E4875"/>
    <w:rsid w:val="3492189E"/>
    <w:rsid w:val="34925621"/>
    <w:rsid w:val="349263C0"/>
    <w:rsid w:val="34926C77"/>
    <w:rsid w:val="34934F7A"/>
    <w:rsid w:val="34936BF8"/>
    <w:rsid w:val="349420BA"/>
    <w:rsid w:val="349780EC"/>
    <w:rsid w:val="34996672"/>
    <w:rsid w:val="349983F6"/>
    <w:rsid w:val="349BFABA"/>
    <w:rsid w:val="349C2DE1"/>
    <w:rsid w:val="349DA923"/>
    <w:rsid w:val="349F1748"/>
    <w:rsid w:val="34A30FB6"/>
    <w:rsid w:val="34A38A0D"/>
    <w:rsid w:val="34A3B758"/>
    <w:rsid w:val="34A3F24F"/>
    <w:rsid w:val="34A69E23"/>
    <w:rsid w:val="34A75C9F"/>
    <w:rsid w:val="34A83C6C"/>
    <w:rsid w:val="34A88A2B"/>
    <w:rsid w:val="34A9A9EC"/>
    <w:rsid w:val="34AB1198"/>
    <w:rsid w:val="34AED656"/>
    <w:rsid w:val="34B27EC2"/>
    <w:rsid w:val="34B85ABA"/>
    <w:rsid w:val="34B93E7A"/>
    <w:rsid w:val="34BE3D6D"/>
    <w:rsid w:val="34BE963F"/>
    <w:rsid w:val="34C458DC"/>
    <w:rsid w:val="34C59686"/>
    <w:rsid w:val="34C6550F"/>
    <w:rsid w:val="34C81482"/>
    <w:rsid w:val="34CAE120"/>
    <w:rsid w:val="34CE35A7"/>
    <w:rsid w:val="34CF8A00"/>
    <w:rsid w:val="34D02FDB"/>
    <w:rsid w:val="34D0E2A9"/>
    <w:rsid w:val="34D6E690"/>
    <w:rsid w:val="34D9617C"/>
    <w:rsid w:val="34D99751"/>
    <w:rsid w:val="34D9B828"/>
    <w:rsid w:val="34DA30ED"/>
    <w:rsid w:val="34DB9AF0"/>
    <w:rsid w:val="34DDEFAF"/>
    <w:rsid w:val="34DF68A8"/>
    <w:rsid w:val="34E026C7"/>
    <w:rsid w:val="34E52557"/>
    <w:rsid w:val="34EA6540"/>
    <w:rsid w:val="34EE6B14"/>
    <w:rsid w:val="34F00784"/>
    <w:rsid w:val="34F107D2"/>
    <w:rsid w:val="34F7A341"/>
    <w:rsid w:val="34F90599"/>
    <w:rsid w:val="34FBB190"/>
    <w:rsid w:val="34FBDE32"/>
    <w:rsid w:val="35021370"/>
    <w:rsid w:val="350245E3"/>
    <w:rsid w:val="3503DCDE"/>
    <w:rsid w:val="35042F12"/>
    <w:rsid w:val="35045735"/>
    <w:rsid w:val="3504ADB9"/>
    <w:rsid w:val="35060232"/>
    <w:rsid w:val="35060E98"/>
    <w:rsid w:val="35069BAF"/>
    <w:rsid w:val="3507804A"/>
    <w:rsid w:val="3507CF85"/>
    <w:rsid w:val="3508396E"/>
    <w:rsid w:val="350AEA9F"/>
    <w:rsid w:val="350C7C80"/>
    <w:rsid w:val="350E7627"/>
    <w:rsid w:val="350EF8C6"/>
    <w:rsid w:val="3510FAF2"/>
    <w:rsid w:val="35114AEA"/>
    <w:rsid w:val="35127AB6"/>
    <w:rsid w:val="35153505"/>
    <w:rsid w:val="35158E91"/>
    <w:rsid w:val="351726B9"/>
    <w:rsid w:val="35174D6D"/>
    <w:rsid w:val="351A25FB"/>
    <w:rsid w:val="351A90AA"/>
    <w:rsid w:val="351C06DC"/>
    <w:rsid w:val="351D0F5E"/>
    <w:rsid w:val="351D8AFF"/>
    <w:rsid w:val="351DB1A2"/>
    <w:rsid w:val="3521E3B5"/>
    <w:rsid w:val="3522B7BA"/>
    <w:rsid w:val="3523EC4C"/>
    <w:rsid w:val="352625F3"/>
    <w:rsid w:val="3526D4E8"/>
    <w:rsid w:val="35271230"/>
    <w:rsid w:val="3527E501"/>
    <w:rsid w:val="3528C2B0"/>
    <w:rsid w:val="352B3428"/>
    <w:rsid w:val="352BB2AE"/>
    <w:rsid w:val="352D232B"/>
    <w:rsid w:val="352E41B0"/>
    <w:rsid w:val="3533BC49"/>
    <w:rsid w:val="35368900"/>
    <w:rsid w:val="35372D9C"/>
    <w:rsid w:val="353DA5BB"/>
    <w:rsid w:val="353DAA05"/>
    <w:rsid w:val="353F5EB9"/>
    <w:rsid w:val="353F87FC"/>
    <w:rsid w:val="3541160D"/>
    <w:rsid w:val="354149A5"/>
    <w:rsid w:val="35424F90"/>
    <w:rsid w:val="35441B39"/>
    <w:rsid w:val="35457D2A"/>
    <w:rsid w:val="3546275E"/>
    <w:rsid w:val="354C87F5"/>
    <w:rsid w:val="354D4353"/>
    <w:rsid w:val="354FA863"/>
    <w:rsid w:val="3550A0D5"/>
    <w:rsid w:val="3555A051"/>
    <w:rsid w:val="3556090B"/>
    <w:rsid w:val="355820CF"/>
    <w:rsid w:val="355ADBCC"/>
    <w:rsid w:val="355C4300"/>
    <w:rsid w:val="355D697E"/>
    <w:rsid w:val="35607DB0"/>
    <w:rsid w:val="35639853"/>
    <w:rsid w:val="3564F96B"/>
    <w:rsid w:val="3565F5DC"/>
    <w:rsid w:val="3566BF7A"/>
    <w:rsid w:val="3568E633"/>
    <w:rsid w:val="356E298A"/>
    <w:rsid w:val="356E4538"/>
    <w:rsid w:val="356FB117"/>
    <w:rsid w:val="356FED25"/>
    <w:rsid w:val="3572030D"/>
    <w:rsid w:val="3576DFB2"/>
    <w:rsid w:val="35789C04"/>
    <w:rsid w:val="357C1E24"/>
    <w:rsid w:val="357C98D3"/>
    <w:rsid w:val="357FAB8F"/>
    <w:rsid w:val="35839F1E"/>
    <w:rsid w:val="3585CA6D"/>
    <w:rsid w:val="35887B69"/>
    <w:rsid w:val="35893DF5"/>
    <w:rsid w:val="358E3570"/>
    <w:rsid w:val="358E86A9"/>
    <w:rsid w:val="358FD3B3"/>
    <w:rsid w:val="3590AF02"/>
    <w:rsid w:val="3596F33D"/>
    <w:rsid w:val="35981BFC"/>
    <w:rsid w:val="359A991E"/>
    <w:rsid w:val="359AF0D0"/>
    <w:rsid w:val="359BBBF0"/>
    <w:rsid w:val="359E1894"/>
    <w:rsid w:val="359F80DD"/>
    <w:rsid w:val="359FBFC7"/>
    <w:rsid w:val="359FC64F"/>
    <w:rsid w:val="35A0B460"/>
    <w:rsid w:val="35A1BA4C"/>
    <w:rsid w:val="35A1D0F8"/>
    <w:rsid w:val="35A26671"/>
    <w:rsid w:val="35A4497B"/>
    <w:rsid w:val="35A6623C"/>
    <w:rsid w:val="35A866C9"/>
    <w:rsid w:val="35A8AE33"/>
    <w:rsid w:val="35A99D38"/>
    <w:rsid w:val="35A9F26D"/>
    <w:rsid w:val="35AAE54B"/>
    <w:rsid w:val="35ADDF2D"/>
    <w:rsid w:val="35B191B5"/>
    <w:rsid w:val="35B1DBDD"/>
    <w:rsid w:val="35B46EA9"/>
    <w:rsid w:val="35B56618"/>
    <w:rsid w:val="35B8851A"/>
    <w:rsid w:val="35BA06E3"/>
    <w:rsid w:val="35BA2736"/>
    <w:rsid w:val="35BE4CFB"/>
    <w:rsid w:val="35BE5D03"/>
    <w:rsid w:val="35BF6514"/>
    <w:rsid w:val="35BFD76A"/>
    <w:rsid w:val="35C50299"/>
    <w:rsid w:val="35C52606"/>
    <w:rsid w:val="35C5FC33"/>
    <w:rsid w:val="35C9EA2E"/>
    <w:rsid w:val="35CE5131"/>
    <w:rsid w:val="35CEF2AE"/>
    <w:rsid w:val="35CEF79D"/>
    <w:rsid w:val="35CFF990"/>
    <w:rsid w:val="35D2D1E1"/>
    <w:rsid w:val="35D4CC1A"/>
    <w:rsid w:val="35D6CDB3"/>
    <w:rsid w:val="35DAC910"/>
    <w:rsid w:val="35DC3071"/>
    <w:rsid w:val="35E1AED3"/>
    <w:rsid w:val="35E38358"/>
    <w:rsid w:val="35E44F33"/>
    <w:rsid w:val="35E5AB3D"/>
    <w:rsid w:val="35E5BF19"/>
    <w:rsid w:val="35E8FDF8"/>
    <w:rsid w:val="35E935DD"/>
    <w:rsid w:val="35E93CCF"/>
    <w:rsid w:val="35EC4B58"/>
    <w:rsid w:val="35ED0A58"/>
    <w:rsid w:val="35ED5A2E"/>
    <w:rsid w:val="35EF4223"/>
    <w:rsid w:val="35EFABC9"/>
    <w:rsid w:val="35F41717"/>
    <w:rsid w:val="35F43B65"/>
    <w:rsid w:val="35F6312B"/>
    <w:rsid w:val="35F71934"/>
    <w:rsid w:val="35F78DA5"/>
    <w:rsid w:val="35F8749F"/>
    <w:rsid w:val="35FBF9E2"/>
    <w:rsid w:val="35FFB333"/>
    <w:rsid w:val="36019EDF"/>
    <w:rsid w:val="36040C0B"/>
    <w:rsid w:val="3604B955"/>
    <w:rsid w:val="3605CD54"/>
    <w:rsid w:val="36092CE5"/>
    <w:rsid w:val="360DB603"/>
    <w:rsid w:val="36140A5B"/>
    <w:rsid w:val="3614A23A"/>
    <w:rsid w:val="36154D68"/>
    <w:rsid w:val="36191037"/>
    <w:rsid w:val="3619902F"/>
    <w:rsid w:val="361AD86F"/>
    <w:rsid w:val="36206761"/>
    <w:rsid w:val="362096FC"/>
    <w:rsid w:val="36209DD4"/>
    <w:rsid w:val="3622B652"/>
    <w:rsid w:val="3622F20C"/>
    <w:rsid w:val="36231CD5"/>
    <w:rsid w:val="362CC20D"/>
    <w:rsid w:val="362D723F"/>
    <w:rsid w:val="36322F9C"/>
    <w:rsid w:val="3633837F"/>
    <w:rsid w:val="36351BA6"/>
    <w:rsid w:val="3635ADE3"/>
    <w:rsid w:val="36363B3E"/>
    <w:rsid w:val="3636DEEE"/>
    <w:rsid w:val="3638EF27"/>
    <w:rsid w:val="3638F37D"/>
    <w:rsid w:val="363C35B1"/>
    <w:rsid w:val="363E5EFE"/>
    <w:rsid w:val="3640092E"/>
    <w:rsid w:val="3640FFE6"/>
    <w:rsid w:val="36411D97"/>
    <w:rsid w:val="3641FAA0"/>
    <w:rsid w:val="364375DF"/>
    <w:rsid w:val="364404A0"/>
    <w:rsid w:val="3644D802"/>
    <w:rsid w:val="3645F94A"/>
    <w:rsid w:val="36478A46"/>
    <w:rsid w:val="36482D9D"/>
    <w:rsid w:val="3648A12B"/>
    <w:rsid w:val="364BC2ED"/>
    <w:rsid w:val="364C4618"/>
    <w:rsid w:val="364DFA66"/>
    <w:rsid w:val="364F8EE4"/>
    <w:rsid w:val="364F94E6"/>
    <w:rsid w:val="3651721A"/>
    <w:rsid w:val="3651AD20"/>
    <w:rsid w:val="365311B3"/>
    <w:rsid w:val="3655F124"/>
    <w:rsid w:val="365B4E37"/>
    <w:rsid w:val="365C1AD5"/>
    <w:rsid w:val="365C6FBB"/>
    <w:rsid w:val="365E7E6E"/>
    <w:rsid w:val="365FE10B"/>
    <w:rsid w:val="365FE6CD"/>
    <w:rsid w:val="366205E6"/>
    <w:rsid w:val="3664A23D"/>
    <w:rsid w:val="3665468E"/>
    <w:rsid w:val="3666015C"/>
    <w:rsid w:val="36672D48"/>
    <w:rsid w:val="3669BFF3"/>
    <w:rsid w:val="366A76D5"/>
    <w:rsid w:val="366AB13A"/>
    <w:rsid w:val="366CFFB2"/>
    <w:rsid w:val="366EA660"/>
    <w:rsid w:val="366ECBA7"/>
    <w:rsid w:val="366ED134"/>
    <w:rsid w:val="36701D12"/>
    <w:rsid w:val="36710B85"/>
    <w:rsid w:val="3671E62E"/>
    <w:rsid w:val="36760548"/>
    <w:rsid w:val="36769A08"/>
    <w:rsid w:val="3677278E"/>
    <w:rsid w:val="36778730"/>
    <w:rsid w:val="3678A99E"/>
    <w:rsid w:val="3679480B"/>
    <w:rsid w:val="367BE598"/>
    <w:rsid w:val="367D52A4"/>
    <w:rsid w:val="367E9C7D"/>
    <w:rsid w:val="367EF40D"/>
    <w:rsid w:val="36809369"/>
    <w:rsid w:val="3682ED2C"/>
    <w:rsid w:val="3684E23C"/>
    <w:rsid w:val="3687AD9E"/>
    <w:rsid w:val="368A78C2"/>
    <w:rsid w:val="368AB4A9"/>
    <w:rsid w:val="368C4DBF"/>
    <w:rsid w:val="368E8DAC"/>
    <w:rsid w:val="368F1AA0"/>
    <w:rsid w:val="3691AAF1"/>
    <w:rsid w:val="3691DD4F"/>
    <w:rsid w:val="3692686F"/>
    <w:rsid w:val="3694C400"/>
    <w:rsid w:val="3694E325"/>
    <w:rsid w:val="369630F6"/>
    <w:rsid w:val="3698A151"/>
    <w:rsid w:val="3699F62C"/>
    <w:rsid w:val="369A7D6C"/>
    <w:rsid w:val="369BCF6A"/>
    <w:rsid w:val="369E1995"/>
    <w:rsid w:val="36A00226"/>
    <w:rsid w:val="36A0B1A1"/>
    <w:rsid w:val="36A3A76F"/>
    <w:rsid w:val="36A5213B"/>
    <w:rsid w:val="36A7BC86"/>
    <w:rsid w:val="36A7CBF4"/>
    <w:rsid w:val="36AA6C24"/>
    <w:rsid w:val="36AA77F7"/>
    <w:rsid w:val="36AC1869"/>
    <w:rsid w:val="36AD6B4D"/>
    <w:rsid w:val="36AF1BA9"/>
    <w:rsid w:val="36B00578"/>
    <w:rsid w:val="36B008E2"/>
    <w:rsid w:val="36B4BCD4"/>
    <w:rsid w:val="36BAE834"/>
    <w:rsid w:val="36C0F40A"/>
    <w:rsid w:val="36C23C37"/>
    <w:rsid w:val="36C542BF"/>
    <w:rsid w:val="36C688A1"/>
    <w:rsid w:val="36C76837"/>
    <w:rsid w:val="36C8A88A"/>
    <w:rsid w:val="36C8DBA6"/>
    <w:rsid w:val="36CA18C9"/>
    <w:rsid w:val="36CD8B4B"/>
    <w:rsid w:val="36CEB54E"/>
    <w:rsid w:val="36CF4529"/>
    <w:rsid w:val="36D297AB"/>
    <w:rsid w:val="36D6184C"/>
    <w:rsid w:val="36D637B2"/>
    <w:rsid w:val="36D9F064"/>
    <w:rsid w:val="36DC7AB1"/>
    <w:rsid w:val="36DE1F74"/>
    <w:rsid w:val="36DF274F"/>
    <w:rsid w:val="36E17768"/>
    <w:rsid w:val="36E21090"/>
    <w:rsid w:val="36E2B47F"/>
    <w:rsid w:val="36E34ADD"/>
    <w:rsid w:val="36E357C3"/>
    <w:rsid w:val="36E455C4"/>
    <w:rsid w:val="36E7432C"/>
    <w:rsid w:val="36E94B49"/>
    <w:rsid w:val="36EA0A88"/>
    <w:rsid w:val="36EBF50C"/>
    <w:rsid w:val="36EC5A8D"/>
    <w:rsid w:val="36EF0083"/>
    <w:rsid w:val="36EF99CB"/>
    <w:rsid w:val="36F206F7"/>
    <w:rsid w:val="36F44970"/>
    <w:rsid w:val="36F829B2"/>
    <w:rsid w:val="36F9E8C3"/>
    <w:rsid w:val="36FA9FD4"/>
    <w:rsid w:val="36FBB6F0"/>
    <w:rsid w:val="36FF52A5"/>
    <w:rsid w:val="3700B16C"/>
    <w:rsid w:val="37015DD5"/>
    <w:rsid w:val="3701CE6B"/>
    <w:rsid w:val="37030F24"/>
    <w:rsid w:val="3703D74D"/>
    <w:rsid w:val="3703EC2B"/>
    <w:rsid w:val="3703F892"/>
    <w:rsid w:val="37044659"/>
    <w:rsid w:val="3705CF5B"/>
    <w:rsid w:val="3706681F"/>
    <w:rsid w:val="3708524E"/>
    <w:rsid w:val="370AA561"/>
    <w:rsid w:val="370C6C2A"/>
    <w:rsid w:val="370DB6CE"/>
    <w:rsid w:val="3710DCBD"/>
    <w:rsid w:val="37127CC3"/>
    <w:rsid w:val="37179AFB"/>
    <w:rsid w:val="37188B8A"/>
    <w:rsid w:val="37195326"/>
    <w:rsid w:val="371BDFC4"/>
    <w:rsid w:val="371CA73E"/>
    <w:rsid w:val="371DFC76"/>
    <w:rsid w:val="371F7799"/>
    <w:rsid w:val="371FAC6E"/>
    <w:rsid w:val="3720B8AC"/>
    <w:rsid w:val="3721F77E"/>
    <w:rsid w:val="3722DC5F"/>
    <w:rsid w:val="37255617"/>
    <w:rsid w:val="3725688D"/>
    <w:rsid w:val="37258CBE"/>
    <w:rsid w:val="3726830F"/>
    <w:rsid w:val="37278132"/>
    <w:rsid w:val="372B4FED"/>
    <w:rsid w:val="37328063"/>
    <w:rsid w:val="3732C5F9"/>
    <w:rsid w:val="3735FB11"/>
    <w:rsid w:val="37379E9A"/>
    <w:rsid w:val="3738B9CA"/>
    <w:rsid w:val="373EEEE0"/>
    <w:rsid w:val="37430657"/>
    <w:rsid w:val="37449973"/>
    <w:rsid w:val="3744EAE3"/>
    <w:rsid w:val="3744F9AA"/>
    <w:rsid w:val="37452793"/>
    <w:rsid w:val="374BD74D"/>
    <w:rsid w:val="374C61E5"/>
    <w:rsid w:val="374FF1BB"/>
    <w:rsid w:val="3751184D"/>
    <w:rsid w:val="37519266"/>
    <w:rsid w:val="37546FC6"/>
    <w:rsid w:val="37580AB0"/>
    <w:rsid w:val="37594DCF"/>
    <w:rsid w:val="375B1EDA"/>
    <w:rsid w:val="375B3575"/>
    <w:rsid w:val="375B5433"/>
    <w:rsid w:val="375E6067"/>
    <w:rsid w:val="375F4BD2"/>
    <w:rsid w:val="3760F1BF"/>
    <w:rsid w:val="37615B3C"/>
    <w:rsid w:val="3761D7A1"/>
    <w:rsid w:val="376424DC"/>
    <w:rsid w:val="3764903E"/>
    <w:rsid w:val="3764CD83"/>
    <w:rsid w:val="3767C43F"/>
    <w:rsid w:val="37682D9F"/>
    <w:rsid w:val="3769A9FE"/>
    <w:rsid w:val="376A9687"/>
    <w:rsid w:val="376CFE8F"/>
    <w:rsid w:val="37702884"/>
    <w:rsid w:val="3770CC43"/>
    <w:rsid w:val="37716F0F"/>
    <w:rsid w:val="37729AC8"/>
    <w:rsid w:val="3772CF69"/>
    <w:rsid w:val="3775DEC5"/>
    <w:rsid w:val="37773B96"/>
    <w:rsid w:val="3778CA9E"/>
    <w:rsid w:val="3778FDC2"/>
    <w:rsid w:val="3779AE2B"/>
    <w:rsid w:val="377DBCFF"/>
    <w:rsid w:val="377E52B4"/>
    <w:rsid w:val="3780CD5B"/>
    <w:rsid w:val="3781240C"/>
    <w:rsid w:val="3782A810"/>
    <w:rsid w:val="3783AF22"/>
    <w:rsid w:val="3785D964"/>
    <w:rsid w:val="3787EDC4"/>
    <w:rsid w:val="378A4301"/>
    <w:rsid w:val="378C4D22"/>
    <w:rsid w:val="378ECF0E"/>
    <w:rsid w:val="378FC380"/>
    <w:rsid w:val="3790A392"/>
    <w:rsid w:val="37927B39"/>
    <w:rsid w:val="3792ED34"/>
    <w:rsid w:val="379390BD"/>
    <w:rsid w:val="3793D99A"/>
    <w:rsid w:val="3794B4BE"/>
    <w:rsid w:val="3797642E"/>
    <w:rsid w:val="3798470D"/>
    <w:rsid w:val="379B1261"/>
    <w:rsid w:val="379C4D6B"/>
    <w:rsid w:val="379C9734"/>
    <w:rsid w:val="379DA868"/>
    <w:rsid w:val="37A20DF2"/>
    <w:rsid w:val="37A35599"/>
    <w:rsid w:val="37A363D9"/>
    <w:rsid w:val="37AB1B3D"/>
    <w:rsid w:val="37AD3E70"/>
    <w:rsid w:val="37ADB55E"/>
    <w:rsid w:val="37ADE486"/>
    <w:rsid w:val="37AE8CA5"/>
    <w:rsid w:val="37AFB8DC"/>
    <w:rsid w:val="37AFD808"/>
    <w:rsid w:val="37B0CA79"/>
    <w:rsid w:val="37B29FF4"/>
    <w:rsid w:val="37B31C05"/>
    <w:rsid w:val="37B51D8F"/>
    <w:rsid w:val="37B78306"/>
    <w:rsid w:val="37B8AD40"/>
    <w:rsid w:val="37B9150B"/>
    <w:rsid w:val="37BDF416"/>
    <w:rsid w:val="37BE4878"/>
    <w:rsid w:val="37C0316D"/>
    <w:rsid w:val="37C3049E"/>
    <w:rsid w:val="37C48F1B"/>
    <w:rsid w:val="37C7CFB2"/>
    <w:rsid w:val="37C7F192"/>
    <w:rsid w:val="37C9AFD1"/>
    <w:rsid w:val="37CC3E44"/>
    <w:rsid w:val="37CD12DE"/>
    <w:rsid w:val="37D0D4E3"/>
    <w:rsid w:val="37D41317"/>
    <w:rsid w:val="37D442EC"/>
    <w:rsid w:val="37D465E3"/>
    <w:rsid w:val="37D62046"/>
    <w:rsid w:val="37D7B08E"/>
    <w:rsid w:val="37D89957"/>
    <w:rsid w:val="37D8E6E3"/>
    <w:rsid w:val="37DA4C1D"/>
    <w:rsid w:val="37DF0465"/>
    <w:rsid w:val="37DFC970"/>
    <w:rsid w:val="37E01B74"/>
    <w:rsid w:val="37E1A46D"/>
    <w:rsid w:val="37E498B8"/>
    <w:rsid w:val="37E515A5"/>
    <w:rsid w:val="37E57284"/>
    <w:rsid w:val="37E676FE"/>
    <w:rsid w:val="37E70E14"/>
    <w:rsid w:val="37E99C74"/>
    <w:rsid w:val="37EAF96B"/>
    <w:rsid w:val="37EB69AF"/>
    <w:rsid w:val="37EBE2AD"/>
    <w:rsid w:val="37EC386D"/>
    <w:rsid w:val="37ED06D1"/>
    <w:rsid w:val="37ED0CA3"/>
    <w:rsid w:val="37EE7344"/>
    <w:rsid w:val="37F4BFDA"/>
    <w:rsid w:val="37F76D8D"/>
    <w:rsid w:val="37F9BCE5"/>
    <w:rsid w:val="37FF1743"/>
    <w:rsid w:val="37FF6CC6"/>
    <w:rsid w:val="380406C8"/>
    <w:rsid w:val="38043F5B"/>
    <w:rsid w:val="38050823"/>
    <w:rsid w:val="3805FA00"/>
    <w:rsid w:val="38075267"/>
    <w:rsid w:val="380846D6"/>
    <w:rsid w:val="380F7569"/>
    <w:rsid w:val="38110A10"/>
    <w:rsid w:val="3812D903"/>
    <w:rsid w:val="3813D59D"/>
    <w:rsid w:val="3814785F"/>
    <w:rsid w:val="3817A1A7"/>
    <w:rsid w:val="381A3013"/>
    <w:rsid w:val="381B8CE9"/>
    <w:rsid w:val="381BCF6E"/>
    <w:rsid w:val="381E6FF5"/>
    <w:rsid w:val="38205093"/>
    <w:rsid w:val="382070DB"/>
    <w:rsid w:val="3822B177"/>
    <w:rsid w:val="3823BB86"/>
    <w:rsid w:val="3824EE19"/>
    <w:rsid w:val="38251BD5"/>
    <w:rsid w:val="3825F82C"/>
    <w:rsid w:val="38261270"/>
    <w:rsid w:val="382EE688"/>
    <w:rsid w:val="382FBD44"/>
    <w:rsid w:val="3835E41B"/>
    <w:rsid w:val="3835F883"/>
    <w:rsid w:val="38364320"/>
    <w:rsid w:val="38378A26"/>
    <w:rsid w:val="3838A684"/>
    <w:rsid w:val="3838BD6E"/>
    <w:rsid w:val="38392180"/>
    <w:rsid w:val="383AB979"/>
    <w:rsid w:val="383B0568"/>
    <w:rsid w:val="383DDE02"/>
    <w:rsid w:val="383E2177"/>
    <w:rsid w:val="383F12E8"/>
    <w:rsid w:val="3841229A"/>
    <w:rsid w:val="384207A7"/>
    <w:rsid w:val="384253C3"/>
    <w:rsid w:val="38429422"/>
    <w:rsid w:val="38443A04"/>
    <w:rsid w:val="3844C888"/>
    <w:rsid w:val="38457BF4"/>
    <w:rsid w:val="384627E0"/>
    <w:rsid w:val="3846FDBD"/>
    <w:rsid w:val="384DCFB0"/>
    <w:rsid w:val="384E3838"/>
    <w:rsid w:val="3851BCBB"/>
    <w:rsid w:val="3853BDAC"/>
    <w:rsid w:val="3853E8C3"/>
    <w:rsid w:val="38540FCD"/>
    <w:rsid w:val="3854D671"/>
    <w:rsid w:val="3856795B"/>
    <w:rsid w:val="385BAA18"/>
    <w:rsid w:val="385CFB26"/>
    <w:rsid w:val="385F43FD"/>
    <w:rsid w:val="385F8ECB"/>
    <w:rsid w:val="38641421"/>
    <w:rsid w:val="38642986"/>
    <w:rsid w:val="3864CBDE"/>
    <w:rsid w:val="38656C85"/>
    <w:rsid w:val="386604FF"/>
    <w:rsid w:val="386A762D"/>
    <w:rsid w:val="386E4C23"/>
    <w:rsid w:val="3870DB80"/>
    <w:rsid w:val="3870F09A"/>
    <w:rsid w:val="3872D4DB"/>
    <w:rsid w:val="387399B5"/>
    <w:rsid w:val="3876B7D1"/>
    <w:rsid w:val="3877746B"/>
    <w:rsid w:val="38797986"/>
    <w:rsid w:val="387B178E"/>
    <w:rsid w:val="38838738"/>
    <w:rsid w:val="3885E805"/>
    <w:rsid w:val="3887839C"/>
    <w:rsid w:val="388929B8"/>
    <w:rsid w:val="388BD513"/>
    <w:rsid w:val="388FA0B8"/>
    <w:rsid w:val="38909543"/>
    <w:rsid w:val="38929852"/>
    <w:rsid w:val="38937CA3"/>
    <w:rsid w:val="38942FB4"/>
    <w:rsid w:val="38944249"/>
    <w:rsid w:val="3895330F"/>
    <w:rsid w:val="3896A38E"/>
    <w:rsid w:val="3896BCDE"/>
    <w:rsid w:val="3896FFA3"/>
    <w:rsid w:val="3897DCE2"/>
    <w:rsid w:val="3898560D"/>
    <w:rsid w:val="389890D8"/>
    <w:rsid w:val="389F0EAF"/>
    <w:rsid w:val="389FCCD2"/>
    <w:rsid w:val="389FFD14"/>
    <w:rsid w:val="38A1AAB0"/>
    <w:rsid w:val="38A27C2F"/>
    <w:rsid w:val="38A35713"/>
    <w:rsid w:val="38A37AE7"/>
    <w:rsid w:val="38A6EE6A"/>
    <w:rsid w:val="38A76F76"/>
    <w:rsid w:val="38A8599B"/>
    <w:rsid w:val="38A94B60"/>
    <w:rsid w:val="38AB5913"/>
    <w:rsid w:val="38ABC3C8"/>
    <w:rsid w:val="38AE698F"/>
    <w:rsid w:val="38AE9B5B"/>
    <w:rsid w:val="38AEBFFB"/>
    <w:rsid w:val="38B00600"/>
    <w:rsid w:val="38B01EEA"/>
    <w:rsid w:val="38B05FD6"/>
    <w:rsid w:val="38B1B275"/>
    <w:rsid w:val="38B38451"/>
    <w:rsid w:val="38B54E42"/>
    <w:rsid w:val="38B6225D"/>
    <w:rsid w:val="38B62E42"/>
    <w:rsid w:val="38B7C726"/>
    <w:rsid w:val="38BA6093"/>
    <w:rsid w:val="38BB60CA"/>
    <w:rsid w:val="38BF1835"/>
    <w:rsid w:val="38C01A7A"/>
    <w:rsid w:val="38C05E31"/>
    <w:rsid w:val="38C15AC8"/>
    <w:rsid w:val="38C40B56"/>
    <w:rsid w:val="38C76890"/>
    <w:rsid w:val="38CB483E"/>
    <w:rsid w:val="38CE4ECF"/>
    <w:rsid w:val="38CF670F"/>
    <w:rsid w:val="38D00380"/>
    <w:rsid w:val="38D273CA"/>
    <w:rsid w:val="38D2D09B"/>
    <w:rsid w:val="38D6A831"/>
    <w:rsid w:val="38D706A2"/>
    <w:rsid w:val="38D7C324"/>
    <w:rsid w:val="38D80D7E"/>
    <w:rsid w:val="38D865D6"/>
    <w:rsid w:val="38D87E89"/>
    <w:rsid w:val="38D8D14B"/>
    <w:rsid w:val="38DA6E31"/>
    <w:rsid w:val="38DD1488"/>
    <w:rsid w:val="38DDB11B"/>
    <w:rsid w:val="38DE3A14"/>
    <w:rsid w:val="38DF47FC"/>
    <w:rsid w:val="38E0B2BF"/>
    <w:rsid w:val="38E10EB5"/>
    <w:rsid w:val="38E1E9A3"/>
    <w:rsid w:val="38E23699"/>
    <w:rsid w:val="38E2991E"/>
    <w:rsid w:val="38E300FD"/>
    <w:rsid w:val="38E4AB3E"/>
    <w:rsid w:val="38E51D5C"/>
    <w:rsid w:val="38E8BEC3"/>
    <w:rsid w:val="38EC187A"/>
    <w:rsid w:val="38EF4AB7"/>
    <w:rsid w:val="38F78561"/>
    <w:rsid w:val="38FB35C4"/>
    <w:rsid w:val="38FCA6BD"/>
    <w:rsid w:val="38FD222B"/>
    <w:rsid w:val="38FE813C"/>
    <w:rsid w:val="3905577D"/>
    <w:rsid w:val="390616D4"/>
    <w:rsid w:val="39065BB0"/>
    <w:rsid w:val="39067EA3"/>
    <w:rsid w:val="3907CA51"/>
    <w:rsid w:val="390895AA"/>
    <w:rsid w:val="3909376D"/>
    <w:rsid w:val="390A5D5C"/>
    <w:rsid w:val="390AE609"/>
    <w:rsid w:val="390B0172"/>
    <w:rsid w:val="390BC8B5"/>
    <w:rsid w:val="390C502D"/>
    <w:rsid w:val="391040AA"/>
    <w:rsid w:val="391074AF"/>
    <w:rsid w:val="39115053"/>
    <w:rsid w:val="3912336F"/>
    <w:rsid w:val="3913612F"/>
    <w:rsid w:val="39143882"/>
    <w:rsid w:val="3917F4E3"/>
    <w:rsid w:val="391A7C54"/>
    <w:rsid w:val="391D3950"/>
    <w:rsid w:val="3922E506"/>
    <w:rsid w:val="392515DB"/>
    <w:rsid w:val="39252093"/>
    <w:rsid w:val="3925CBEC"/>
    <w:rsid w:val="39269444"/>
    <w:rsid w:val="39292B9D"/>
    <w:rsid w:val="3929594A"/>
    <w:rsid w:val="392A1048"/>
    <w:rsid w:val="392CD8EB"/>
    <w:rsid w:val="392D108B"/>
    <w:rsid w:val="392EF79A"/>
    <w:rsid w:val="392FF255"/>
    <w:rsid w:val="3933C37F"/>
    <w:rsid w:val="393A6487"/>
    <w:rsid w:val="393FD709"/>
    <w:rsid w:val="39426AD2"/>
    <w:rsid w:val="39438497"/>
    <w:rsid w:val="39452D56"/>
    <w:rsid w:val="394927DA"/>
    <w:rsid w:val="394BBA6D"/>
    <w:rsid w:val="394CF121"/>
    <w:rsid w:val="394EBF39"/>
    <w:rsid w:val="3950A755"/>
    <w:rsid w:val="395C20D4"/>
    <w:rsid w:val="3962AFA3"/>
    <w:rsid w:val="396540F1"/>
    <w:rsid w:val="396A58F2"/>
    <w:rsid w:val="396AA831"/>
    <w:rsid w:val="396F20A6"/>
    <w:rsid w:val="396F51D7"/>
    <w:rsid w:val="3970E564"/>
    <w:rsid w:val="3970F403"/>
    <w:rsid w:val="39732972"/>
    <w:rsid w:val="397683A8"/>
    <w:rsid w:val="397824B2"/>
    <w:rsid w:val="39799402"/>
    <w:rsid w:val="3979F9F2"/>
    <w:rsid w:val="397B09F4"/>
    <w:rsid w:val="397C7222"/>
    <w:rsid w:val="397EAD41"/>
    <w:rsid w:val="397EB5CB"/>
    <w:rsid w:val="3982F7BC"/>
    <w:rsid w:val="3983EE4A"/>
    <w:rsid w:val="39841C18"/>
    <w:rsid w:val="3984B62A"/>
    <w:rsid w:val="398541B4"/>
    <w:rsid w:val="39869667"/>
    <w:rsid w:val="3986BBAB"/>
    <w:rsid w:val="398737D4"/>
    <w:rsid w:val="398DABA6"/>
    <w:rsid w:val="398FF8F1"/>
    <w:rsid w:val="3990BE39"/>
    <w:rsid w:val="3992316F"/>
    <w:rsid w:val="3993035F"/>
    <w:rsid w:val="399516D0"/>
    <w:rsid w:val="399D11CC"/>
    <w:rsid w:val="399D75E9"/>
    <w:rsid w:val="399D7A77"/>
    <w:rsid w:val="399EBB7A"/>
    <w:rsid w:val="399FF654"/>
    <w:rsid w:val="39A0F73C"/>
    <w:rsid w:val="39A1ED06"/>
    <w:rsid w:val="39A2EB41"/>
    <w:rsid w:val="39A3281E"/>
    <w:rsid w:val="39A5599C"/>
    <w:rsid w:val="39A69678"/>
    <w:rsid w:val="39A7C213"/>
    <w:rsid w:val="39A97267"/>
    <w:rsid w:val="39A9C229"/>
    <w:rsid w:val="39AA836A"/>
    <w:rsid w:val="39AAD65F"/>
    <w:rsid w:val="39B0F788"/>
    <w:rsid w:val="39B23AF0"/>
    <w:rsid w:val="39B5CBE7"/>
    <w:rsid w:val="39B6B84A"/>
    <w:rsid w:val="39BC7E66"/>
    <w:rsid w:val="39BD6E59"/>
    <w:rsid w:val="39BFCB91"/>
    <w:rsid w:val="39C2568F"/>
    <w:rsid w:val="39C2D086"/>
    <w:rsid w:val="39C46396"/>
    <w:rsid w:val="39C4924F"/>
    <w:rsid w:val="39C70FA7"/>
    <w:rsid w:val="39C8199D"/>
    <w:rsid w:val="39CB4C74"/>
    <w:rsid w:val="39CBF5C3"/>
    <w:rsid w:val="39CC592F"/>
    <w:rsid w:val="39CC8C25"/>
    <w:rsid w:val="39CD6D92"/>
    <w:rsid w:val="39CF4F55"/>
    <w:rsid w:val="39D12459"/>
    <w:rsid w:val="39D16358"/>
    <w:rsid w:val="39D3A87C"/>
    <w:rsid w:val="39D5D942"/>
    <w:rsid w:val="39D72D58"/>
    <w:rsid w:val="39D977AF"/>
    <w:rsid w:val="39DAD87E"/>
    <w:rsid w:val="39DB953D"/>
    <w:rsid w:val="39DE71AB"/>
    <w:rsid w:val="39DFA1F0"/>
    <w:rsid w:val="39E1E16E"/>
    <w:rsid w:val="39E1E40D"/>
    <w:rsid w:val="39E1FC13"/>
    <w:rsid w:val="39E4AAF4"/>
    <w:rsid w:val="39E4B4F7"/>
    <w:rsid w:val="39E5EEAB"/>
    <w:rsid w:val="39E810E6"/>
    <w:rsid w:val="39E9D886"/>
    <w:rsid w:val="39EA7A88"/>
    <w:rsid w:val="39EAA586"/>
    <w:rsid w:val="39EAD6DD"/>
    <w:rsid w:val="39ED81F6"/>
    <w:rsid w:val="39EE7E9F"/>
    <w:rsid w:val="39F3AB8A"/>
    <w:rsid w:val="39F5A0CC"/>
    <w:rsid w:val="39F5B4A5"/>
    <w:rsid w:val="39FE9099"/>
    <w:rsid w:val="39FEE4CF"/>
    <w:rsid w:val="3A0025F9"/>
    <w:rsid w:val="3A0258B0"/>
    <w:rsid w:val="3A02731A"/>
    <w:rsid w:val="3A047ECC"/>
    <w:rsid w:val="3A079DB6"/>
    <w:rsid w:val="3A0939C9"/>
    <w:rsid w:val="3A09BBCF"/>
    <w:rsid w:val="3A0A5D3C"/>
    <w:rsid w:val="3A0CC0A9"/>
    <w:rsid w:val="3A0FE8D9"/>
    <w:rsid w:val="3A13C538"/>
    <w:rsid w:val="3A147E11"/>
    <w:rsid w:val="3A17C389"/>
    <w:rsid w:val="3A1832F8"/>
    <w:rsid w:val="3A18435C"/>
    <w:rsid w:val="3A189AD7"/>
    <w:rsid w:val="3A1A920B"/>
    <w:rsid w:val="3A201C51"/>
    <w:rsid w:val="3A202AF6"/>
    <w:rsid w:val="3A2063D2"/>
    <w:rsid w:val="3A215D4E"/>
    <w:rsid w:val="3A239410"/>
    <w:rsid w:val="3A24D34E"/>
    <w:rsid w:val="3A28DA2B"/>
    <w:rsid w:val="3A29C80D"/>
    <w:rsid w:val="3A2A4AC7"/>
    <w:rsid w:val="3A2A4D2E"/>
    <w:rsid w:val="3A2AD377"/>
    <w:rsid w:val="3A2EF335"/>
    <w:rsid w:val="3A2F9FD0"/>
    <w:rsid w:val="3A30641C"/>
    <w:rsid w:val="3A30D399"/>
    <w:rsid w:val="3A334C9A"/>
    <w:rsid w:val="3A37A881"/>
    <w:rsid w:val="3A3F4855"/>
    <w:rsid w:val="3A43859F"/>
    <w:rsid w:val="3A4416E3"/>
    <w:rsid w:val="3A44AF98"/>
    <w:rsid w:val="3A44BDFA"/>
    <w:rsid w:val="3A4531AB"/>
    <w:rsid w:val="3A456ECF"/>
    <w:rsid w:val="3A48EA41"/>
    <w:rsid w:val="3A496CC4"/>
    <w:rsid w:val="3A4AE142"/>
    <w:rsid w:val="3A4C7DE8"/>
    <w:rsid w:val="3A4E0483"/>
    <w:rsid w:val="3A5034B3"/>
    <w:rsid w:val="3A50A755"/>
    <w:rsid w:val="3A50B687"/>
    <w:rsid w:val="3A51BE0F"/>
    <w:rsid w:val="3A532C70"/>
    <w:rsid w:val="3A5356BE"/>
    <w:rsid w:val="3A542496"/>
    <w:rsid w:val="3A5570F8"/>
    <w:rsid w:val="3A557902"/>
    <w:rsid w:val="3A58F46B"/>
    <w:rsid w:val="3A59885E"/>
    <w:rsid w:val="3A5A582B"/>
    <w:rsid w:val="3A5B6417"/>
    <w:rsid w:val="3A5BEC39"/>
    <w:rsid w:val="3A5C8486"/>
    <w:rsid w:val="3A5E5544"/>
    <w:rsid w:val="3A60495D"/>
    <w:rsid w:val="3A651BD9"/>
    <w:rsid w:val="3A670B08"/>
    <w:rsid w:val="3A69333E"/>
    <w:rsid w:val="3A711A1D"/>
    <w:rsid w:val="3A749AB7"/>
    <w:rsid w:val="3A76560C"/>
    <w:rsid w:val="3A7971FA"/>
    <w:rsid w:val="3A79DDAA"/>
    <w:rsid w:val="3A7C7197"/>
    <w:rsid w:val="3A844BB3"/>
    <w:rsid w:val="3A866A46"/>
    <w:rsid w:val="3A8A6C66"/>
    <w:rsid w:val="3A8B4FEE"/>
    <w:rsid w:val="3A8CB25E"/>
    <w:rsid w:val="3A92A553"/>
    <w:rsid w:val="3A92F55D"/>
    <w:rsid w:val="3A94EEF6"/>
    <w:rsid w:val="3A966577"/>
    <w:rsid w:val="3A96859F"/>
    <w:rsid w:val="3A989786"/>
    <w:rsid w:val="3A98AAA0"/>
    <w:rsid w:val="3A98CFC9"/>
    <w:rsid w:val="3A9B70B8"/>
    <w:rsid w:val="3A9BD24D"/>
    <w:rsid w:val="3AA1C0D9"/>
    <w:rsid w:val="3AA30132"/>
    <w:rsid w:val="3AA34329"/>
    <w:rsid w:val="3AA64A92"/>
    <w:rsid w:val="3AAB3432"/>
    <w:rsid w:val="3AAB4EDA"/>
    <w:rsid w:val="3AACAC72"/>
    <w:rsid w:val="3AAE61AB"/>
    <w:rsid w:val="3AAEBFDB"/>
    <w:rsid w:val="3AAF5A91"/>
    <w:rsid w:val="3AB21A56"/>
    <w:rsid w:val="3AB2A51D"/>
    <w:rsid w:val="3AB2FE36"/>
    <w:rsid w:val="3AB3FBA3"/>
    <w:rsid w:val="3AB5B2B6"/>
    <w:rsid w:val="3AB78891"/>
    <w:rsid w:val="3AB7B61C"/>
    <w:rsid w:val="3AB9243F"/>
    <w:rsid w:val="3ABB66DF"/>
    <w:rsid w:val="3ABBBE6E"/>
    <w:rsid w:val="3ABC4745"/>
    <w:rsid w:val="3ABE9816"/>
    <w:rsid w:val="3AC019FB"/>
    <w:rsid w:val="3AC14B54"/>
    <w:rsid w:val="3AC18139"/>
    <w:rsid w:val="3AC1A479"/>
    <w:rsid w:val="3AC467D6"/>
    <w:rsid w:val="3AC50E09"/>
    <w:rsid w:val="3AC6231B"/>
    <w:rsid w:val="3AC71BA0"/>
    <w:rsid w:val="3AC76869"/>
    <w:rsid w:val="3ACE937C"/>
    <w:rsid w:val="3AD148AA"/>
    <w:rsid w:val="3AD19671"/>
    <w:rsid w:val="3AD498A3"/>
    <w:rsid w:val="3AD8AB70"/>
    <w:rsid w:val="3AD93113"/>
    <w:rsid w:val="3AD95742"/>
    <w:rsid w:val="3AD968F6"/>
    <w:rsid w:val="3AD9AC55"/>
    <w:rsid w:val="3ADADCFA"/>
    <w:rsid w:val="3ADD10BF"/>
    <w:rsid w:val="3ADD9C5F"/>
    <w:rsid w:val="3ADFEE31"/>
    <w:rsid w:val="3AE28D7F"/>
    <w:rsid w:val="3AE2C1FD"/>
    <w:rsid w:val="3AE67465"/>
    <w:rsid w:val="3AE76727"/>
    <w:rsid w:val="3AE77625"/>
    <w:rsid w:val="3AE8DE05"/>
    <w:rsid w:val="3AECE10E"/>
    <w:rsid w:val="3AEE667F"/>
    <w:rsid w:val="3AEF0869"/>
    <w:rsid w:val="3AF42CCA"/>
    <w:rsid w:val="3AF82C0F"/>
    <w:rsid w:val="3AFB13FB"/>
    <w:rsid w:val="3AFE36B9"/>
    <w:rsid w:val="3AFEF9D3"/>
    <w:rsid w:val="3AFF1C02"/>
    <w:rsid w:val="3B004272"/>
    <w:rsid w:val="3B005F58"/>
    <w:rsid w:val="3B013717"/>
    <w:rsid w:val="3B031978"/>
    <w:rsid w:val="3B035F07"/>
    <w:rsid w:val="3B040290"/>
    <w:rsid w:val="3B04D346"/>
    <w:rsid w:val="3B086239"/>
    <w:rsid w:val="3B087161"/>
    <w:rsid w:val="3B096351"/>
    <w:rsid w:val="3B0A28B3"/>
    <w:rsid w:val="3B0D263C"/>
    <w:rsid w:val="3B0DD45F"/>
    <w:rsid w:val="3B0DEB68"/>
    <w:rsid w:val="3B0EB49C"/>
    <w:rsid w:val="3B11C90C"/>
    <w:rsid w:val="3B125D59"/>
    <w:rsid w:val="3B12DEF3"/>
    <w:rsid w:val="3B138D2A"/>
    <w:rsid w:val="3B185B22"/>
    <w:rsid w:val="3B1A8333"/>
    <w:rsid w:val="3B1AB20A"/>
    <w:rsid w:val="3B1E4A57"/>
    <w:rsid w:val="3B1E7593"/>
    <w:rsid w:val="3B1EADB8"/>
    <w:rsid w:val="3B23E0BB"/>
    <w:rsid w:val="3B246E28"/>
    <w:rsid w:val="3B268580"/>
    <w:rsid w:val="3B27A7BD"/>
    <w:rsid w:val="3B27CA72"/>
    <w:rsid w:val="3B28E3EF"/>
    <w:rsid w:val="3B2930E6"/>
    <w:rsid w:val="3B2A6D71"/>
    <w:rsid w:val="3B2A94C5"/>
    <w:rsid w:val="3B2B891F"/>
    <w:rsid w:val="3B2C8A5F"/>
    <w:rsid w:val="3B2CD85D"/>
    <w:rsid w:val="3B2E2E3A"/>
    <w:rsid w:val="3B323ABC"/>
    <w:rsid w:val="3B324FA1"/>
    <w:rsid w:val="3B32781A"/>
    <w:rsid w:val="3B3426B0"/>
    <w:rsid w:val="3B34AEA3"/>
    <w:rsid w:val="3B34DC70"/>
    <w:rsid w:val="3B362A82"/>
    <w:rsid w:val="3B369C03"/>
    <w:rsid w:val="3B36D57E"/>
    <w:rsid w:val="3B383313"/>
    <w:rsid w:val="3B385BD6"/>
    <w:rsid w:val="3B399FA6"/>
    <w:rsid w:val="3B3F031B"/>
    <w:rsid w:val="3B42981B"/>
    <w:rsid w:val="3B4783F1"/>
    <w:rsid w:val="3B49058C"/>
    <w:rsid w:val="3B4D8DF1"/>
    <w:rsid w:val="3B4FB20B"/>
    <w:rsid w:val="3B51E07D"/>
    <w:rsid w:val="3B521A4B"/>
    <w:rsid w:val="3B5257F6"/>
    <w:rsid w:val="3B552A20"/>
    <w:rsid w:val="3B56DB9B"/>
    <w:rsid w:val="3B59B7E3"/>
    <w:rsid w:val="3B5A4E51"/>
    <w:rsid w:val="3B5BD95C"/>
    <w:rsid w:val="3B5CD9E9"/>
    <w:rsid w:val="3B5F28B9"/>
    <w:rsid w:val="3B5FADFE"/>
    <w:rsid w:val="3B652B69"/>
    <w:rsid w:val="3B6628A1"/>
    <w:rsid w:val="3B685719"/>
    <w:rsid w:val="3B6D7C05"/>
    <w:rsid w:val="3B6FFFFF"/>
    <w:rsid w:val="3B7169B9"/>
    <w:rsid w:val="3B721AAC"/>
    <w:rsid w:val="3B742846"/>
    <w:rsid w:val="3B75B0B5"/>
    <w:rsid w:val="3B76633E"/>
    <w:rsid w:val="3B76C9F3"/>
    <w:rsid w:val="3B775DBC"/>
    <w:rsid w:val="3B77B51A"/>
    <w:rsid w:val="3B7BD462"/>
    <w:rsid w:val="3B7D823A"/>
    <w:rsid w:val="3B7EFB98"/>
    <w:rsid w:val="3B8161CB"/>
    <w:rsid w:val="3B82247A"/>
    <w:rsid w:val="3B84D3CC"/>
    <w:rsid w:val="3B85E751"/>
    <w:rsid w:val="3B87CD28"/>
    <w:rsid w:val="3B883258"/>
    <w:rsid w:val="3B88F350"/>
    <w:rsid w:val="3B8A12DA"/>
    <w:rsid w:val="3B8BFA39"/>
    <w:rsid w:val="3B8D442D"/>
    <w:rsid w:val="3B9079D1"/>
    <w:rsid w:val="3B91EA54"/>
    <w:rsid w:val="3B92E599"/>
    <w:rsid w:val="3B97C440"/>
    <w:rsid w:val="3B9CDC16"/>
    <w:rsid w:val="3B9D8E81"/>
    <w:rsid w:val="3B9E8DD3"/>
    <w:rsid w:val="3BA07329"/>
    <w:rsid w:val="3BA38F0C"/>
    <w:rsid w:val="3BA3B04C"/>
    <w:rsid w:val="3BA48DC3"/>
    <w:rsid w:val="3BA5A720"/>
    <w:rsid w:val="3BA6867F"/>
    <w:rsid w:val="3BA7E0EB"/>
    <w:rsid w:val="3BA8F8E6"/>
    <w:rsid w:val="3BA90FDE"/>
    <w:rsid w:val="3BA9A5C9"/>
    <w:rsid w:val="3BAB2D6E"/>
    <w:rsid w:val="3BADA4E3"/>
    <w:rsid w:val="3BB131D0"/>
    <w:rsid w:val="3BB2411A"/>
    <w:rsid w:val="3BB6848B"/>
    <w:rsid w:val="3BB88C20"/>
    <w:rsid w:val="3BB963F3"/>
    <w:rsid w:val="3BBA3DC7"/>
    <w:rsid w:val="3BBA664C"/>
    <w:rsid w:val="3BBF5B4B"/>
    <w:rsid w:val="3BC15D19"/>
    <w:rsid w:val="3BC2A9BF"/>
    <w:rsid w:val="3BC3F91D"/>
    <w:rsid w:val="3BC533A8"/>
    <w:rsid w:val="3BC53662"/>
    <w:rsid w:val="3BCB14C3"/>
    <w:rsid w:val="3BD061ED"/>
    <w:rsid w:val="3BD1B15C"/>
    <w:rsid w:val="3BD21D14"/>
    <w:rsid w:val="3BD2ED29"/>
    <w:rsid w:val="3BD5795B"/>
    <w:rsid w:val="3BD62F2F"/>
    <w:rsid w:val="3BD71311"/>
    <w:rsid w:val="3BD71FFD"/>
    <w:rsid w:val="3BD7CBE6"/>
    <w:rsid w:val="3BD814CF"/>
    <w:rsid w:val="3BDBF518"/>
    <w:rsid w:val="3BDC298B"/>
    <w:rsid w:val="3BDC33FD"/>
    <w:rsid w:val="3BDD1B67"/>
    <w:rsid w:val="3BDF45B9"/>
    <w:rsid w:val="3BDFCFDF"/>
    <w:rsid w:val="3BE1DBB9"/>
    <w:rsid w:val="3BE36342"/>
    <w:rsid w:val="3BE75555"/>
    <w:rsid w:val="3BE770BA"/>
    <w:rsid w:val="3BE99DF4"/>
    <w:rsid w:val="3BEAE058"/>
    <w:rsid w:val="3BEB08DE"/>
    <w:rsid w:val="3BEB700D"/>
    <w:rsid w:val="3BECF2AD"/>
    <w:rsid w:val="3BEFAE07"/>
    <w:rsid w:val="3BF09F70"/>
    <w:rsid w:val="3BF36F92"/>
    <w:rsid w:val="3BF4DE46"/>
    <w:rsid w:val="3BF82529"/>
    <w:rsid w:val="3BF8D4CC"/>
    <w:rsid w:val="3BFAAB55"/>
    <w:rsid w:val="3BFB856D"/>
    <w:rsid w:val="3BFC6A8A"/>
    <w:rsid w:val="3BFCB7B0"/>
    <w:rsid w:val="3BFCE445"/>
    <w:rsid w:val="3BFD77A8"/>
    <w:rsid w:val="3BFF1ED8"/>
    <w:rsid w:val="3C041FEF"/>
    <w:rsid w:val="3C08BA40"/>
    <w:rsid w:val="3C08CC83"/>
    <w:rsid w:val="3C123904"/>
    <w:rsid w:val="3C1384F2"/>
    <w:rsid w:val="3C13CCC1"/>
    <w:rsid w:val="3C13E84E"/>
    <w:rsid w:val="3C152C32"/>
    <w:rsid w:val="3C16B85B"/>
    <w:rsid w:val="3C1D8C3C"/>
    <w:rsid w:val="3C1F7E42"/>
    <w:rsid w:val="3C22F824"/>
    <w:rsid w:val="3C2358EC"/>
    <w:rsid w:val="3C26B56F"/>
    <w:rsid w:val="3C27A984"/>
    <w:rsid w:val="3C282D78"/>
    <w:rsid w:val="3C284EDA"/>
    <w:rsid w:val="3C2CF01B"/>
    <w:rsid w:val="3C2DFB53"/>
    <w:rsid w:val="3C2E4506"/>
    <w:rsid w:val="3C32112F"/>
    <w:rsid w:val="3C326CCC"/>
    <w:rsid w:val="3C332DB7"/>
    <w:rsid w:val="3C34EB7D"/>
    <w:rsid w:val="3C356CBE"/>
    <w:rsid w:val="3C362775"/>
    <w:rsid w:val="3C37A3B2"/>
    <w:rsid w:val="3C3BA635"/>
    <w:rsid w:val="3C484616"/>
    <w:rsid w:val="3C492ADF"/>
    <w:rsid w:val="3C49E756"/>
    <w:rsid w:val="3C4A70BB"/>
    <w:rsid w:val="3C4A936F"/>
    <w:rsid w:val="3C4B0DF1"/>
    <w:rsid w:val="3C4C1F03"/>
    <w:rsid w:val="3C4DBCAE"/>
    <w:rsid w:val="3C4E7456"/>
    <w:rsid w:val="3C4E9FF5"/>
    <w:rsid w:val="3C51E609"/>
    <w:rsid w:val="3C52A073"/>
    <w:rsid w:val="3C549840"/>
    <w:rsid w:val="3C57957E"/>
    <w:rsid w:val="3C583D16"/>
    <w:rsid w:val="3C58B4D1"/>
    <w:rsid w:val="3C5B7898"/>
    <w:rsid w:val="3C5D7650"/>
    <w:rsid w:val="3C5E267B"/>
    <w:rsid w:val="3C603ACB"/>
    <w:rsid w:val="3C60522C"/>
    <w:rsid w:val="3C619AD0"/>
    <w:rsid w:val="3C627A11"/>
    <w:rsid w:val="3C62EFF9"/>
    <w:rsid w:val="3C668D73"/>
    <w:rsid w:val="3C680754"/>
    <w:rsid w:val="3C6970B9"/>
    <w:rsid w:val="3C6C9CF5"/>
    <w:rsid w:val="3C6D590E"/>
    <w:rsid w:val="3C704F10"/>
    <w:rsid w:val="3C73AA83"/>
    <w:rsid w:val="3C755A65"/>
    <w:rsid w:val="3C778791"/>
    <w:rsid w:val="3C796D46"/>
    <w:rsid w:val="3C79A545"/>
    <w:rsid w:val="3C7A351A"/>
    <w:rsid w:val="3C7D5B5E"/>
    <w:rsid w:val="3C7ECF59"/>
    <w:rsid w:val="3C7F63A3"/>
    <w:rsid w:val="3C7F87B8"/>
    <w:rsid w:val="3C81B0EA"/>
    <w:rsid w:val="3C81BF34"/>
    <w:rsid w:val="3C81EFCC"/>
    <w:rsid w:val="3C8204A8"/>
    <w:rsid w:val="3C840488"/>
    <w:rsid w:val="3C8548A3"/>
    <w:rsid w:val="3C8566CB"/>
    <w:rsid w:val="3C858FE1"/>
    <w:rsid w:val="3C85F9A0"/>
    <w:rsid w:val="3C87522F"/>
    <w:rsid w:val="3C8752B7"/>
    <w:rsid w:val="3C898522"/>
    <w:rsid w:val="3C8B6A82"/>
    <w:rsid w:val="3C8B88B9"/>
    <w:rsid w:val="3C8DB3D9"/>
    <w:rsid w:val="3C8EF796"/>
    <w:rsid w:val="3C90CC95"/>
    <w:rsid w:val="3C911F37"/>
    <w:rsid w:val="3C94FEAA"/>
    <w:rsid w:val="3C966182"/>
    <w:rsid w:val="3C98A0D0"/>
    <w:rsid w:val="3C9908AD"/>
    <w:rsid w:val="3C9A5E59"/>
    <w:rsid w:val="3C9D2BF4"/>
    <w:rsid w:val="3C9D7DD7"/>
    <w:rsid w:val="3C9ED984"/>
    <w:rsid w:val="3CA29046"/>
    <w:rsid w:val="3CA2C5F0"/>
    <w:rsid w:val="3CA2FBF6"/>
    <w:rsid w:val="3CA3267E"/>
    <w:rsid w:val="3CA3693C"/>
    <w:rsid w:val="3CA3A065"/>
    <w:rsid w:val="3CA4C72F"/>
    <w:rsid w:val="3CA57554"/>
    <w:rsid w:val="3CA5EB2B"/>
    <w:rsid w:val="3CA7D1B7"/>
    <w:rsid w:val="3CA88590"/>
    <w:rsid w:val="3CAAAC7C"/>
    <w:rsid w:val="3CAC54E1"/>
    <w:rsid w:val="3CADE6C7"/>
    <w:rsid w:val="3CAFEE51"/>
    <w:rsid w:val="3CB09046"/>
    <w:rsid w:val="3CB12832"/>
    <w:rsid w:val="3CB1A1C9"/>
    <w:rsid w:val="3CBA8016"/>
    <w:rsid w:val="3CBB6477"/>
    <w:rsid w:val="3CBB9643"/>
    <w:rsid w:val="3CBEF520"/>
    <w:rsid w:val="3CC3B4AE"/>
    <w:rsid w:val="3CC3E6C0"/>
    <w:rsid w:val="3CC431C0"/>
    <w:rsid w:val="3CC66302"/>
    <w:rsid w:val="3CC70EBC"/>
    <w:rsid w:val="3CC77512"/>
    <w:rsid w:val="3CC7A9E2"/>
    <w:rsid w:val="3CC8C179"/>
    <w:rsid w:val="3CCAA327"/>
    <w:rsid w:val="3CCBE1CC"/>
    <w:rsid w:val="3CCC2164"/>
    <w:rsid w:val="3CCCCE73"/>
    <w:rsid w:val="3CCF8416"/>
    <w:rsid w:val="3CD368DB"/>
    <w:rsid w:val="3CD446ED"/>
    <w:rsid w:val="3CD850C0"/>
    <w:rsid w:val="3CDE02F6"/>
    <w:rsid w:val="3CDEC794"/>
    <w:rsid w:val="3CDF201C"/>
    <w:rsid w:val="3CDFC9B3"/>
    <w:rsid w:val="3CE07C37"/>
    <w:rsid w:val="3CE0C17D"/>
    <w:rsid w:val="3CE23008"/>
    <w:rsid w:val="3CEA0ED4"/>
    <w:rsid w:val="3CEAECC5"/>
    <w:rsid w:val="3CEBA40E"/>
    <w:rsid w:val="3CEC0B95"/>
    <w:rsid w:val="3CEC9AD4"/>
    <w:rsid w:val="3CED3A9C"/>
    <w:rsid w:val="3CF05805"/>
    <w:rsid w:val="3CF18390"/>
    <w:rsid w:val="3CF334A7"/>
    <w:rsid w:val="3CF3BA3A"/>
    <w:rsid w:val="3CF3FB69"/>
    <w:rsid w:val="3CF454C6"/>
    <w:rsid w:val="3CF47185"/>
    <w:rsid w:val="3CF704D8"/>
    <w:rsid w:val="3CF7808F"/>
    <w:rsid w:val="3CFAB702"/>
    <w:rsid w:val="3CFCA064"/>
    <w:rsid w:val="3CFCE9D3"/>
    <w:rsid w:val="3CFD424C"/>
    <w:rsid w:val="3CFD63AC"/>
    <w:rsid w:val="3D002514"/>
    <w:rsid w:val="3D01439C"/>
    <w:rsid w:val="3D02BD2B"/>
    <w:rsid w:val="3D033BE5"/>
    <w:rsid w:val="3D0445B6"/>
    <w:rsid w:val="3D04764E"/>
    <w:rsid w:val="3D056B9B"/>
    <w:rsid w:val="3D06025C"/>
    <w:rsid w:val="3D083944"/>
    <w:rsid w:val="3D08F670"/>
    <w:rsid w:val="3D09C67C"/>
    <w:rsid w:val="3D0B53EF"/>
    <w:rsid w:val="3D0C27C4"/>
    <w:rsid w:val="3D11DA91"/>
    <w:rsid w:val="3D126135"/>
    <w:rsid w:val="3D15309A"/>
    <w:rsid w:val="3D1670ED"/>
    <w:rsid w:val="3D1ACCF7"/>
    <w:rsid w:val="3D1B7A3B"/>
    <w:rsid w:val="3D1D0A15"/>
    <w:rsid w:val="3D1F9C26"/>
    <w:rsid w:val="3D1FAC6B"/>
    <w:rsid w:val="3D2057B3"/>
    <w:rsid w:val="3D2263FA"/>
    <w:rsid w:val="3D2422D4"/>
    <w:rsid w:val="3D25BEAF"/>
    <w:rsid w:val="3D262084"/>
    <w:rsid w:val="3D262CB0"/>
    <w:rsid w:val="3D2963D0"/>
    <w:rsid w:val="3D2AD1B6"/>
    <w:rsid w:val="3D2C4E2D"/>
    <w:rsid w:val="3D2F4530"/>
    <w:rsid w:val="3D2F7158"/>
    <w:rsid w:val="3D311185"/>
    <w:rsid w:val="3D31272A"/>
    <w:rsid w:val="3D31D2A3"/>
    <w:rsid w:val="3D33C6EC"/>
    <w:rsid w:val="3D35D626"/>
    <w:rsid w:val="3D39971F"/>
    <w:rsid w:val="3D3FE6F2"/>
    <w:rsid w:val="3D402B9E"/>
    <w:rsid w:val="3D41D684"/>
    <w:rsid w:val="3D43BD3F"/>
    <w:rsid w:val="3D43D320"/>
    <w:rsid w:val="3D4A1606"/>
    <w:rsid w:val="3D512D2E"/>
    <w:rsid w:val="3D517A42"/>
    <w:rsid w:val="3D52CD29"/>
    <w:rsid w:val="3D52ECE1"/>
    <w:rsid w:val="3D537CAC"/>
    <w:rsid w:val="3D542A07"/>
    <w:rsid w:val="3D5597C2"/>
    <w:rsid w:val="3D5A8773"/>
    <w:rsid w:val="3D60EA61"/>
    <w:rsid w:val="3D61F058"/>
    <w:rsid w:val="3D65DFE2"/>
    <w:rsid w:val="3D66A443"/>
    <w:rsid w:val="3D675FC1"/>
    <w:rsid w:val="3D67EC43"/>
    <w:rsid w:val="3D69A1F3"/>
    <w:rsid w:val="3D6A2ECF"/>
    <w:rsid w:val="3D6AC6BC"/>
    <w:rsid w:val="3D6BE5F4"/>
    <w:rsid w:val="3D6DD4C9"/>
    <w:rsid w:val="3D6ECF76"/>
    <w:rsid w:val="3D7013BE"/>
    <w:rsid w:val="3D72CD59"/>
    <w:rsid w:val="3D74DB3E"/>
    <w:rsid w:val="3D757ADF"/>
    <w:rsid w:val="3D7EE924"/>
    <w:rsid w:val="3D7F024D"/>
    <w:rsid w:val="3D82E7C9"/>
    <w:rsid w:val="3D82EADA"/>
    <w:rsid w:val="3D853D7E"/>
    <w:rsid w:val="3D85E4DB"/>
    <w:rsid w:val="3D883202"/>
    <w:rsid w:val="3D8C97FF"/>
    <w:rsid w:val="3D8E05AD"/>
    <w:rsid w:val="3D9021C7"/>
    <w:rsid w:val="3D921D1E"/>
    <w:rsid w:val="3D98ACF1"/>
    <w:rsid w:val="3D9A5FDC"/>
    <w:rsid w:val="3D9B5101"/>
    <w:rsid w:val="3D9F3C36"/>
    <w:rsid w:val="3D9F6DD4"/>
    <w:rsid w:val="3DA13E4A"/>
    <w:rsid w:val="3DA2CB59"/>
    <w:rsid w:val="3DA37B37"/>
    <w:rsid w:val="3DA3916E"/>
    <w:rsid w:val="3DA39AD7"/>
    <w:rsid w:val="3DA4BF36"/>
    <w:rsid w:val="3DA9A9BD"/>
    <w:rsid w:val="3DAB842B"/>
    <w:rsid w:val="3DABBF10"/>
    <w:rsid w:val="3DAC6633"/>
    <w:rsid w:val="3DAEF78F"/>
    <w:rsid w:val="3DB32107"/>
    <w:rsid w:val="3DB3B1CF"/>
    <w:rsid w:val="3DB49BFA"/>
    <w:rsid w:val="3DB4DB60"/>
    <w:rsid w:val="3DB77E5C"/>
    <w:rsid w:val="3DB8DF25"/>
    <w:rsid w:val="3DBCBE55"/>
    <w:rsid w:val="3DBDA18F"/>
    <w:rsid w:val="3DBE5A63"/>
    <w:rsid w:val="3DC2B05C"/>
    <w:rsid w:val="3DC2FD77"/>
    <w:rsid w:val="3DC34709"/>
    <w:rsid w:val="3DC45809"/>
    <w:rsid w:val="3DC666A2"/>
    <w:rsid w:val="3DC78320"/>
    <w:rsid w:val="3DC8A773"/>
    <w:rsid w:val="3DC92970"/>
    <w:rsid w:val="3DC9493F"/>
    <w:rsid w:val="3DCA78C7"/>
    <w:rsid w:val="3DCB6ECB"/>
    <w:rsid w:val="3DCCA622"/>
    <w:rsid w:val="3DD09DCD"/>
    <w:rsid w:val="3DD1860B"/>
    <w:rsid w:val="3DD58D4F"/>
    <w:rsid w:val="3DD63378"/>
    <w:rsid w:val="3DD66238"/>
    <w:rsid w:val="3DDBE442"/>
    <w:rsid w:val="3DDD3A23"/>
    <w:rsid w:val="3DDEA4DC"/>
    <w:rsid w:val="3DDEF978"/>
    <w:rsid w:val="3DE0EBEF"/>
    <w:rsid w:val="3DE2DA6C"/>
    <w:rsid w:val="3DE31C53"/>
    <w:rsid w:val="3DE3A9A8"/>
    <w:rsid w:val="3DE3C3AD"/>
    <w:rsid w:val="3DE452C4"/>
    <w:rsid w:val="3DE4F598"/>
    <w:rsid w:val="3DE64A11"/>
    <w:rsid w:val="3DE78E5A"/>
    <w:rsid w:val="3DEA85E8"/>
    <w:rsid w:val="3DEAD38D"/>
    <w:rsid w:val="3DEB99D1"/>
    <w:rsid w:val="3DEBB2E7"/>
    <w:rsid w:val="3DEFAB24"/>
    <w:rsid w:val="3DF23327"/>
    <w:rsid w:val="3DF401B5"/>
    <w:rsid w:val="3DF41A5D"/>
    <w:rsid w:val="3DF433EB"/>
    <w:rsid w:val="3DF54E26"/>
    <w:rsid w:val="3DF5A8F1"/>
    <w:rsid w:val="3DF7BDC5"/>
    <w:rsid w:val="3DF7D921"/>
    <w:rsid w:val="3DFA4410"/>
    <w:rsid w:val="3DFAD7D1"/>
    <w:rsid w:val="3DFBD28C"/>
    <w:rsid w:val="3DFC8B67"/>
    <w:rsid w:val="3DFEA5BA"/>
    <w:rsid w:val="3E0845AF"/>
    <w:rsid w:val="3E08BF8A"/>
    <w:rsid w:val="3E0A58FE"/>
    <w:rsid w:val="3E0AA1D0"/>
    <w:rsid w:val="3E0B7586"/>
    <w:rsid w:val="3E0BE14D"/>
    <w:rsid w:val="3E0CB75E"/>
    <w:rsid w:val="3E102F1C"/>
    <w:rsid w:val="3E12BBBE"/>
    <w:rsid w:val="3E18DC5C"/>
    <w:rsid w:val="3E192DD1"/>
    <w:rsid w:val="3E20115F"/>
    <w:rsid w:val="3E207A97"/>
    <w:rsid w:val="3E2310B1"/>
    <w:rsid w:val="3E23CF84"/>
    <w:rsid w:val="3E277D28"/>
    <w:rsid w:val="3E27FBCE"/>
    <w:rsid w:val="3E2867C0"/>
    <w:rsid w:val="3E293CD3"/>
    <w:rsid w:val="3E2C058A"/>
    <w:rsid w:val="3E339616"/>
    <w:rsid w:val="3E355CD9"/>
    <w:rsid w:val="3E35D6EA"/>
    <w:rsid w:val="3E39DAE4"/>
    <w:rsid w:val="3E39EC64"/>
    <w:rsid w:val="3E3CBD22"/>
    <w:rsid w:val="3E3E5A2F"/>
    <w:rsid w:val="3E40404C"/>
    <w:rsid w:val="3E411A42"/>
    <w:rsid w:val="3E427FC1"/>
    <w:rsid w:val="3E44CD47"/>
    <w:rsid w:val="3E45C883"/>
    <w:rsid w:val="3E463846"/>
    <w:rsid w:val="3E49842A"/>
    <w:rsid w:val="3E4C2D1B"/>
    <w:rsid w:val="3E4C9A6B"/>
    <w:rsid w:val="3E4FE5D9"/>
    <w:rsid w:val="3E50ECD1"/>
    <w:rsid w:val="3E5111E7"/>
    <w:rsid w:val="3E531661"/>
    <w:rsid w:val="3E543B58"/>
    <w:rsid w:val="3E590DE7"/>
    <w:rsid w:val="3E59F8C7"/>
    <w:rsid w:val="3E5A1BDD"/>
    <w:rsid w:val="3E5D3A29"/>
    <w:rsid w:val="3E5FA222"/>
    <w:rsid w:val="3E628BF1"/>
    <w:rsid w:val="3E64D1FA"/>
    <w:rsid w:val="3E680AE1"/>
    <w:rsid w:val="3E6B1CA7"/>
    <w:rsid w:val="3E6B6E20"/>
    <w:rsid w:val="3E6BDD31"/>
    <w:rsid w:val="3E6C2ADF"/>
    <w:rsid w:val="3E6EA40D"/>
    <w:rsid w:val="3E71EDD6"/>
    <w:rsid w:val="3E72E08E"/>
    <w:rsid w:val="3E7390C8"/>
    <w:rsid w:val="3E7488EF"/>
    <w:rsid w:val="3E74F341"/>
    <w:rsid w:val="3E77323E"/>
    <w:rsid w:val="3E7A0478"/>
    <w:rsid w:val="3E7E25C7"/>
    <w:rsid w:val="3E7FC8C5"/>
    <w:rsid w:val="3E80E9E6"/>
    <w:rsid w:val="3E83A176"/>
    <w:rsid w:val="3E870DAA"/>
    <w:rsid w:val="3E884AF7"/>
    <w:rsid w:val="3E8877E8"/>
    <w:rsid w:val="3E8C097D"/>
    <w:rsid w:val="3E931853"/>
    <w:rsid w:val="3E93CF9B"/>
    <w:rsid w:val="3E950ED0"/>
    <w:rsid w:val="3E955329"/>
    <w:rsid w:val="3E961786"/>
    <w:rsid w:val="3E97E380"/>
    <w:rsid w:val="3E986165"/>
    <w:rsid w:val="3E9ADD21"/>
    <w:rsid w:val="3E9B3670"/>
    <w:rsid w:val="3E9C8E5B"/>
    <w:rsid w:val="3E9DC0F0"/>
    <w:rsid w:val="3E9FC4D2"/>
    <w:rsid w:val="3EA01DCF"/>
    <w:rsid w:val="3EA1E38B"/>
    <w:rsid w:val="3EA3DAC9"/>
    <w:rsid w:val="3EA4B065"/>
    <w:rsid w:val="3EA606BD"/>
    <w:rsid w:val="3EA80913"/>
    <w:rsid w:val="3EA888A6"/>
    <w:rsid w:val="3EA9989F"/>
    <w:rsid w:val="3EA9B97D"/>
    <w:rsid w:val="3EAADA68"/>
    <w:rsid w:val="3EAD9374"/>
    <w:rsid w:val="3EAF254C"/>
    <w:rsid w:val="3EAF53AB"/>
    <w:rsid w:val="3EAF91BA"/>
    <w:rsid w:val="3EB32674"/>
    <w:rsid w:val="3EB33A8B"/>
    <w:rsid w:val="3EB807B6"/>
    <w:rsid w:val="3EB89CF3"/>
    <w:rsid w:val="3EB9EE76"/>
    <w:rsid w:val="3EBB7BB7"/>
    <w:rsid w:val="3EBC1CFE"/>
    <w:rsid w:val="3EC2908A"/>
    <w:rsid w:val="3EC2A027"/>
    <w:rsid w:val="3EC39ECE"/>
    <w:rsid w:val="3EC50464"/>
    <w:rsid w:val="3EC72F3B"/>
    <w:rsid w:val="3EC86487"/>
    <w:rsid w:val="3EC8A0F0"/>
    <w:rsid w:val="3ECE0A2A"/>
    <w:rsid w:val="3ECF2116"/>
    <w:rsid w:val="3ED472C3"/>
    <w:rsid w:val="3ED51F75"/>
    <w:rsid w:val="3EDA31E9"/>
    <w:rsid w:val="3EDA7406"/>
    <w:rsid w:val="3EDCE8E7"/>
    <w:rsid w:val="3EDD4485"/>
    <w:rsid w:val="3EDDDAEB"/>
    <w:rsid w:val="3EDE2D0F"/>
    <w:rsid w:val="3EDFA2F2"/>
    <w:rsid w:val="3EDFA3AE"/>
    <w:rsid w:val="3EE107F5"/>
    <w:rsid w:val="3EE28BB4"/>
    <w:rsid w:val="3EE4540F"/>
    <w:rsid w:val="3EE4F1EB"/>
    <w:rsid w:val="3EE59A1A"/>
    <w:rsid w:val="3EE5B4A0"/>
    <w:rsid w:val="3EE62345"/>
    <w:rsid w:val="3EE67DFF"/>
    <w:rsid w:val="3EE78123"/>
    <w:rsid w:val="3EE8B9D6"/>
    <w:rsid w:val="3EEC3CA2"/>
    <w:rsid w:val="3EEE763A"/>
    <w:rsid w:val="3EF23DCF"/>
    <w:rsid w:val="3EF6B90F"/>
    <w:rsid w:val="3EFAD3EC"/>
    <w:rsid w:val="3EFB2EDC"/>
    <w:rsid w:val="3F004C33"/>
    <w:rsid w:val="3F00B2F8"/>
    <w:rsid w:val="3F0235FF"/>
    <w:rsid w:val="3F0296A9"/>
    <w:rsid w:val="3F02A042"/>
    <w:rsid w:val="3F04B461"/>
    <w:rsid w:val="3F04EBDB"/>
    <w:rsid w:val="3F0751CD"/>
    <w:rsid w:val="3F08E0FA"/>
    <w:rsid w:val="3F0990C9"/>
    <w:rsid w:val="3F0C63B7"/>
    <w:rsid w:val="3F0CF60B"/>
    <w:rsid w:val="3F104560"/>
    <w:rsid w:val="3F10B09A"/>
    <w:rsid w:val="3F124672"/>
    <w:rsid w:val="3F1443AE"/>
    <w:rsid w:val="3F15A032"/>
    <w:rsid w:val="3F15F526"/>
    <w:rsid w:val="3F160561"/>
    <w:rsid w:val="3F163A8A"/>
    <w:rsid w:val="3F1773B2"/>
    <w:rsid w:val="3F17B0E1"/>
    <w:rsid w:val="3F1C3858"/>
    <w:rsid w:val="3F1E1421"/>
    <w:rsid w:val="3F23979E"/>
    <w:rsid w:val="3F2AC7A8"/>
    <w:rsid w:val="3F2C1C3B"/>
    <w:rsid w:val="3F2CC715"/>
    <w:rsid w:val="3F2EDC28"/>
    <w:rsid w:val="3F2FEA5B"/>
    <w:rsid w:val="3F34E944"/>
    <w:rsid w:val="3F36E9A3"/>
    <w:rsid w:val="3F398A0C"/>
    <w:rsid w:val="3F3AF435"/>
    <w:rsid w:val="3F3B36C3"/>
    <w:rsid w:val="3F3BCE21"/>
    <w:rsid w:val="3F3CE4AF"/>
    <w:rsid w:val="3F3D2559"/>
    <w:rsid w:val="3F3DCCA9"/>
    <w:rsid w:val="3F401F52"/>
    <w:rsid w:val="3F40FD40"/>
    <w:rsid w:val="3F411587"/>
    <w:rsid w:val="3F41E1ED"/>
    <w:rsid w:val="3F41F85A"/>
    <w:rsid w:val="3F440F84"/>
    <w:rsid w:val="3F44694B"/>
    <w:rsid w:val="3F4660A5"/>
    <w:rsid w:val="3F46A6BA"/>
    <w:rsid w:val="3F497B3B"/>
    <w:rsid w:val="3F4A310A"/>
    <w:rsid w:val="3F4D2636"/>
    <w:rsid w:val="3F512CB2"/>
    <w:rsid w:val="3F532FF7"/>
    <w:rsid w:val="3F5468A2"/>
    <w:rsid w:val="3F560408"/>
    <w:rsid w:val="3F566E7F"/>
    <w:rsid w:val="3F577948"/>
    <w:rsid w:val="3F5A6FB4"/>
    <w:rsid w:val="3F5ADBB1"/>
    <w:rsid w:val="3F5CECC4"/>
    <w:rsid w:val="3F5DE932"/>
    <w:rsid w:val="3F60914B"/>
    <w:rsid w:val="3F61F44A"/>
    <w:rsid w:val="3F62D623"/>
    <w:rsid w:val="3F64BB4F"/>
    <w:rsid w:val="3F64BE1E"/>
    <w:rsid w:val="3F6886F0"/>
    <w:rsid w:val="3F6B3626"/>
    <w:rsid w:val="3F6B944C"/>
    <w:rsid w:val="3F6EE1EE"/>
    <w:rsid w:val="3F6F5D22"/>
    <w:rsid w:val="3F6FF3BB"/>
    <w:rsid w:val="3F71E036"/>
    <w:rsid w:val="3F74293A"/>
    <w:rsid w:val="3F75C878"/>
    <w:rsid w:val="3F765442"/>
    <w:rsid w:val="3F76A45B"/>
    <w:rsid w:val="3F76E13A"/>
    <w:rsid w:val="3F7B0F44"/>
    <w:rsid w:val="3F7C2963"/>
    <w:rsid w:val="3F7E3EB7"/>
    <w:rsid w:val="3F807B54"/>
    <w:rsid w:val="3F82A8C5"/>
    <w:rsid w:val="3F889074"/>
    <w:rsid w:val="3F889309"/>
    <w:rsid w:val="3F8DFF55"/>
    <w:rsid w:val="3F8E682C"/>
    <w:rsid w:val="3F8EFFA9"/>
    <w:rsid w:val="3F8F8C4D"/>
    <w:rsid w:val="3F8FC55E"/>
    <w:rsid w:val="3F8FE6F3"/>
    <w:rsid w:val="3F91B5CC"/>
    <w:rsid w:val="3F91C805"/>
    <w:rsid w:val="3F921AC3"/>
    <w:rsid w:val="3F965389"/>
    <w:rsid w:val="3F992C76"/>
    <w:rsid w:val="3F99540C"/>
    <w:rsid w:val="3F9AD9EC"/>
    <w:rsid w:val="3F9BE954"/>
    <w:rsid w:val="3F9EE764"/>
    <w:rsid w:val="3FA132A7"/>
    <w:rsid w:val="3FA175C7"/>
    <w:rsid w:val="3FA4BF54"/>
    <w:rsid w:val="3FA5DE00"/>
    <w:rsid w:val="3FA63BA8"/>
    <w:rsid w:val="3FA989F1"/>
    <w:rsid w:val="3FA9B327"/>
    <w:rsid w:val="3FAA49BF"/>
    <w:rsid w:val="3FAB7F16"/>
    <w:rsid w:val="3FAFBFBF"/>
    <w:rsid w:val="3FB0A2E0"/>
    <w:rsid w:val="3FB0F41F"/>
    <w:rsid w:val="3FBC6E6F"/>
    <w:rsid w:val="3FBD45BB"/>
    <w:rsid w:val="3FBE2BD0"/>
    <w:rsid w:val="3FBF3F8F"/>
    <w:rsid w:val="3FC03B8F"/>
    <w:rsid w:val="3FC1129A"/>
    <w:rsid w:val="3FC116BF"/>
    <w:rsid w:val="3FC2B58D"/>
    <w:rsid w:val="3FC4E7F7"/>
    <w:rsid w:val="3FC86A6C"/>
    <w:rsid w:val="3FCA4F47"/>
    <w:rsid w:val="3FCD5F58"/>
    <w:rsid w:val="3FCEC800"/>
    <w:rsid w:val="3FCF3E59"/>
    <w:rsid w:val="3FD014DD"/>
    <w:rsid w:val="3FD384B7"/>
    <w:rsid w:val="3FD5C056"/>
    <w:rsid w:val="3FD7D415"/>
    <w:rsid w:val="3FD86805"/>
    <w:rsid w:val="3FD8DE5C"/>
    <w:rsid w:val="3FDA51BF"/>
    <w:rsid w:val="3FDAAFA4"/>
    <w:rsid w:val="3FDD1995"/>
    <w:rsid w:val="3FE17607"/>
    <w:rsid w:val="3FE18D43"/>
    <w:rsid w:val="3FE1DAF1"/>
    <w:rsid w:val="3FE269D7"/>
    <w:rsid w:val="3FEB9700"/>
    <w:rsid w:val="3FED84DC"/>
    <w:rsid w:val="3FEF7D94"/>
    <w:rsid w:val="3FEFC485"/>
    <w:rsid w:val="3FF1D3C6"/>
    <w:rsid w:val="3FF3F0B0"/>
    <w:rsid w:val="3FF491C6"/>
    <w:rsid w:val="3FF6F9A7"/>
    <w:rsid w:val="3FFECF46"/>
    <w:rsid w:val="4004A64D"/>
    <w:rsid w:val="4004DD80"/>
    <w:rsid w:val="400685AF"/>
    <w:rsid w:val="40068B96"/>
    <w:rsid w:val="400707F5"/>
    <w:rsid w:val="400C458A"/>
    <w:rsid w:val="40114684"/>
    <w:rsid w:val="40127E8A"/>
    <w:rsid w:val="4012A18E"/>
    <w:rsid w:val="401330CA"/>
    <w:rsid w:val="40143B6F"/>
    <w:rsid w:val="4014BB9D"/>
    <w:rsid w:val="40167688"/>
    <w:rsid w:val="4016D060"/>
    <w:rsid w:val="4016E89E"/>
    <w:rsid w:val="40183BC7"/>
    <w:rsid w:val="4019D4A0"/>
    <w:rsid w:val="401A897E"/>
    <w:rsid w:val="401AC92B"/>
    <w:rsid w:val="401DD4A7"/>
    <w:rsid w:val="401F7AA5"/>
    <w:rsid w:val="40249FDB"/>
    <w:rsid w:val="402611F7"/>
    <w:rsid w:val="40265B8C"/>
    <w:rsid w:val="4026D798"/>
    <w:rsid w:val="40289403"/>
    <w:rsid w:val="4028969A"/>
    <w:rsid w:val="402B111E"/>
    <w:rsid w:val="402B8724"/>
    <w:rsid w:val="402C3CB9"/>
    <w:rsid w:val="40308E75"/>
    <w:rsid w:val="403489D7"/>
    <w:rsid w:val="4036E1C7"/>
    <w:rsid w:val="403786DB"/>
    <w:rsid w:val="403837E5"/>
    <w:rsid w:val="40386FC8"/>
    <w:rsid w:val="4039B1AC"/>
    <w:rsid w:val="403B880E"/>
    <w:rsid w:val="403BB153"/>
    <w:rsid w:val="403CF2D7"/>
    <w:rsid w:val="403D9810"/>
    <w:rsid w:val="403F623A"/>
    <w:rsid w:val="404670F3"/>
    <w:rsid w:val="404872D4"/>
    <w:rsid w:val="4048818A"/>
    <w:rsid w:val="40498DF1"/>
    <w:rsid w:val="404B0063"/>
    <w:rsid w:val="404CFD25"/>
    <w:rsid w:val="404EBA7D"/>
    <w:rsid w:val="404FD6D0"/>
    <w:rsid w:val="40526D2E"/>
    <w:rsid w:val="4053BF46"/>
    <w:rsid w:val="40573F7E"/>
    <w:rsid w:val="4058AB93"/>
    <w:rsid w:val="405AAD93"/>
    <w:rsid w:val="405D0B6A"/>
    <w:rsid w:val="405F9A67"/>
    <w:rsid w:val="4066B80A"/>
    <w:rsid w:val="406A567D"/>
    <w:rsid w:val="406AA253"/>
    <w:rsid w:val="406C3BDC"/>
    <w:rsid w:val="406C5D5E"/>
    <w:rsid w:val="406E40EA"/>
    <w:rsid w:val="4072AC31"/>
    <w:rsid w:val="4073943B"/>
    <w:rsid w:val="40753411"/>
    <w:rsid w:val="40774701"/>
    <w:rsid w:val="40788897"/>
    <w:rsid w:val="407D53B4"/>
    <w:rsid w:val="407EFBE4"/>
    <w:rsid w:val="4081A5DE"/>
    <w:rsid w:val="4089C85C"/>
    <w:rsid w:val="408B47C3"/>
    <w:rsid w:val="408FCE7D"/>
    <w:rsid w:val="40924670"/>
    <w:rsid w:val="4092CF16"/>
    <w:rsid w:val="409496AA"/>
    <w:rsid w:val="4098F4A4"/>
    <w:rsid w:val="409A2776"/>
    <w:rsid w:val="409CAF1B"/>
    <w:rsid w:val="409E974C"/>
    <w:rsid w:val="40A1DA69"/>
    <w:rsid w:val="40A4E3EB"/>
    <w:rsid w:val="40A58586"/>
    <w:rsid w:val="40A8B476"/>
    <w:rsid w:val="40AABA54"/>
    <w:rsid w:val="40ABD205"/>
    <w:rsid w:val="40ADC3BE"/>
    <w:rsid w:val="40AE1AEA"/>
    <w:rsid w:val="40B20D4B"/>
    <w:rsid w:val="40B39E70"/>
    <w:rsid w:val="40BA0521"/>
    <w:rsid w:val="40BADA68"/>
    <w:rsid w:val="40BC0F6C"/>
    <w:rsid w:val="40BC29EF"/>
    <w:rsid w:val="40BF1E16"/>
    <w:rsid w:val="40C02FAC"/>
    <w:rsid w:val="40C1181C"/>
    <w:rsid w:val="40C12B55"/>
    <w:rsid w:val="40C29AE0"/>
    <w:rsid w:val="40C4EEE0"/>
    <w:rsid w:val="40C58DE8"/>
    <w:rsid w:val="40C61412"/>
    <w:rsid w:val="40C66233"/>
    <w:rsid w:val="40C757F9"/>
    <w:rsid w:val="40C9074B"/>
    <w:rsid w:val="40CA6E0C"/>
    <w:rsid w:val="40CADEB8"/>
    <w:rsid w:val="40CB6156"/>
    <w:rsid w:val="40CBFF42"/>
    <w:rsid w:val="40D0CD29"/>
    <w:rsid w:val="40D2C9F5"/>
    <w:rsid w:val="40DA83D7"/>
    <w:rsid w:val="40DD4608"/>
    <w:rsid w:val="40E13D32"/>
    <w:rsid w:val="40E3DBF9"/>
    <w:rsid w:val="40E49067"/>
    <w:rsid w:val="40E84B8C"/>
    <w:rsid w:val="40E92633"/>
    <w:rsid w:val="40EAA7A5"/>
    <w:rsid w:val="40EB31E1"/>
    <w:rsid w:val="40EBA80D"/>
    <w:rsid w:val="40EC0504"/>
    <w:rsid w:val="40ED0C2D"/>
    <w:rsid w:val="40F468A0"/>
    <w:rsid w:val="40F4F6B6"/>
    <w:rsid w:val="40F511B3"/>
    <w:rsid w:val="40F56A83"/>
    <w:rsid w:val="40F5C8B2"/>
    <w:rsid w:val="40F6CEF0"/>
    <w:rsid w:val="40F9B0DB"/>
    <w:rsid w:val="40FA0E96"/>
    <w:rsid w:val="40FB5E05"/>
    <w:rsid w:val="40FBEF4D"/>
    <w:rsid w:val="40FD4509"/>
    <w:rsid w:val="40FD7B6F"/>
    <w:rsid w:val="40FE48F7"/>
    <w:rsid w:val="4100D4B8"/>
    <w:rsid w:val="4102FF98"/>
    <w:rsid w:val="4104BA5F"/>
    <w:rsid w:val="41075CE4"/>
    <w:rsid w:val="410A8EAC"/>
    <w:rsid w:val="410C8612"/>
    <w:rsid w:val="410F7977"/>
    <w:rsid w:val="4111267B"/>
    <w:rsid w:val="4111E8AB"/>
    <w:rsid w:val="4112B460"/>
    <w:rsid w:val="41163EEE"/>
    <w:rsid w:val="41175B7E"/>
    <w:rsid w:val="411C2987"/>
    <w:rsid w:val="411C7F9F"/>
    <w:rsid w:val="4122648B"/>
    <w:rsid w:val="412355D1"/>
    <w:rsid w:val="41237FBB"/>
    <w:rsid w:val="41256E87"/>
    <w:rsid w:val="4125C4E2"/>
    <w:rsid w:val="4125E1C4"/>
    <w:rsid w:val="4126CFD9"/>
    <w:rsid w:val="412817BF"/>
    <w:rsid w:val="412F48DC"/>
    <w:rsid w:val="412FCDA4"/>
    <w:rsid w:val="412FF26E"/>
    <w:rsid w:val="4130F218"/>
    <w:rsid w:val="4131070A"/>
    <w:rsid w:val="41321273"/>
    <w:rsid w:val="413259DA"/>
    <w:rsid w:val="4132F595"/>
    <w:rsid w:val="4134EA3C"/>
    <w:rsid w:val="41361187"/>
    <w:rsid w:val="41384D09"/>
    <w:rsid w:val="41396FDC"/>
    <w:rsid w:val="413A8630"/>
    <w:rsid w:val="413BBC42"/>
    <w:rsid w:val="413D10F9"/>
    <w:rsid w:val="413D2B30"/>
    <w:rsid w:val="413DA867"/>
    <w:rsid w:val="413ED61F"/>
    <w:rsid w:val="413F2CB4"/>
    <w:rsid w:val="41406682"/>
    <w:rsid w:val="4140FB57"/>
    <w:rsid w:val="4141D77A"/>
    <w:rsid w:val="4142ED5D"/>
    <w:rsid w:val="41444C4D"/>
    <w:rsid w:val="41445950"/>
    <w:rsid w:val="4146DA97"/>
    <w:rsid w:val="41472D52"/>
    <w:rsid w:val="4149C125"/>
    <w:rsid w:val="414C03C6"/>
    <w:rsid w:val="414DF5CF"/>
    <w:rsid w:val="414E910D"/>
    <w:rsid w:val="414E9B04"/>
    <w:rsid w:val="4150EB3A"/>
    <w:rsid w:val="41513992"/>
    <w:rsid w:val="4151F300"/>
    <w:rsid w:val="415410A3"/>
    <w:rsid w:val="4154E7DF"/>
    <w:rsid w:val="41569AFF"/>
    <w:rsid w:val="415A6042"/>
    <w:rsid w:val="415AA12F"/>
    <w:rsid w:val="415ABBCD"/>
    <w:rsid w:val="415FBA2E"/>
    <w:rsid w:val="416203DB"/>
    <w:rsid w:val="4163036D"/>
    <w:rsid w:val="4164E98D"/>
    <w:rsid w:val="41653229"/>
    <w:rsid w:val="4165CE20"/>
    <w:rsid w:val="416DA87E"/>
    <w:rsid w:val="416E2CF5"/>
    <w:rsid w:val="41705FC7"/>
    <w:rsid w:val="4172B48E"/>
    <w:rsid w:val="4175E385"/>
    <w:rsid w:val="4177031F"/>
    <w:rsid w:val="417854F5"/>
    <w:rsid w:val="417D208A"/>
    <w:rsid w:val="417D564B"/>
    <w:rsid w:val="417EE30C"/>
    <w:rsid w:val="4182B972"/>
    <w:rsid w:val="4182CC60"/>
    <w:rsid w:val="4183287E"/>
    <w:rsid w:val="41837CB8"/>
    <w:rsid w:val="4185246D"/>
    <w:rsid w:val="4186D37D"/>
    <w:rsid w:val="41881558"/>
    <w:rsid w:val="418842E7"/>
    <w:rsid w:val="4189A35E"/>
    <w:rsid w:val="418FF3E9"/>
    <w:rsid w:val="41921337"/>
    <w:rsid w:val="41927D4B"/>
    <w:rsid w:val="4192AE4C"/>
    <w:rsid w:val="4196620F"/>
    <w:rsid w:val="4197E4A2"/>
    <w:rsid w:val="41996B37"/>
    <w:rsid w:val="4199C100"/>
    <w:rsid w:val="419EA92F"/>
    <w:rsid w:val="41A12E31"/>
    <w:rsid w:val="41A2078C"/>
    <w:rsid w:val="41A256C8"/>
    <w:rsid w:val="41A4B644"/>
    <w:rsid w:val="41A72554"/>
    <w:rsid w:val="41A95EBC"/>
    <w:rsid w:val="41AC5364"/>
    <w:rsid w:val="41AC78BF"/>
    <w:rsid w:val="41AE0E83"/>
    <w:rsid w:val="41AF5B6A"/>
    <w:rsid w:val="41B09CF9"/>
    <w:rsid w:val="41B0E553"/>
    <w:rsid w:val="41B18E3E"/>
    <w:rsid w:val="41B5A8F3"/>
    <w:rsid w:val="41B78462"/>
    <w:rsid w:val="41B933F9"/>
    <w:rsid w:val="41BBA3A0"/>
    <w:rsid w:val="41BBD5E7"/>
    <w:rsid w:val="41BC2308"/>
    <w:rsid w:val="41BCFDEC"/>
    <w:rsid w:val="41C289F2"/>
    <w:rsid w:val="41C2A87D"/>
    <w:rsid w:val="41C4B520"/>
    <w:rsid w:val="41C6723A"/>
    <w:rsid w:val="41C7863F"/>
    <w:rsid w:val="41C8620D"/>
    <w:rsid w:val="41C92799"/>
    <w:rsid w:val="41CB7987"/>
    <w:rsid w:val="41CDFA82"/>
    <w:rsid w:val="41D09857"/>
    <w:rsid w:val="41D0D101"/>
    <w:rsid w:val="41D0EE11"/>
    <w:rsid w:val="41D284B7"/>
    <w:rsid w:val="41D527B3"/>
    <w:rsid w:val="41D67DE1"/>
    <w:rsid w:val="41D8099D"/>
    <w:rsid w:val="41D860A8"/>
    <w:rsid w:val="41D91DBE"/>
    <w:rsid w:val="41D9EE0E"/>
    <w:rsid w:val="41DA3244"/>
    <w:rsid w:val="41DCF1E1"/>
    <w:rsid w:val="41DDD7BE"/>
    <w:rsid w:val="41DE3056"/>
    <w:rsid w:val="41DEF0D4"/>
    <w:rsid w:val="41E1D889"/>
    <w:rsid w:val="41E2D4B0"/>
    <w:rsid w:val="41E5C211"/>
    <w:rsid w:val="41E76D10"/>
    <w:rsid w:val="41E8B3B4"/>
    <w:rsid w:val="41E93A48"/>
    <w:rsid w:val="41E9CE34"/>
    <w:rsid w:val="41EA0E47"/>
    <w:rsid w:val="41EC7572"/>
    <w:rsid w:val="41EDDB73"/>
    <w:rsid w:val="41EFB375"/>
    <w:rsid w:val="41F116C1"/>
    <w:rsid w:val="41F2575C"/>
    <w:rsid w:val="41F3A1BE"/>
    <w:rsid w:val="41F45AD3"/>
    <w:rsid w:val="41F5E67C"/>
    <w:rsid w:val="41F5EC7B"/>
    <w:rsid w:val="41F84643"/>
    <w:rsid w:val="41F87BEB"/>
    <w:rsid w:val="41F8B9EC"/>
    <w:rsid w:val="4204ADB0"/>
    <w:rsid w:val="4206CC03"/>
    <w:rsid w:val="4208C17C"/>
    <w:rsid w:val="420AB3E1"/>
    <w:rsid w:val="420C71B9"/>
    <w:rsid w:val="420C92DA"/>
    <w:rsid w:val="420D0B91"/>
    <w:rsid w:val="420DBB11"/>
    <w:rsid w:val="420FF492"/>
    <w:rsid w:val="4210D151"/>
    <w:rsid w:val="4210E2EA"/>
    <w:rsid w:val="421155BC"/>
    <w:rsid w:val="4212FEEB"/>
    <w:rsid w:val="42145B21"/>
    <w:rsid w:val="4214BD7F"/>
    <w:rsid w:val="4214C902"/>
    <w:rsid w:val="421531AC"/>
    <w:rsid w:val="42180B63"/>
    <w:rsid w:val="421CB78D"/>
    <w:rsid w:val="42265ABC"/>
    <w:rsid w:val="42273104"/>
    <w:rsid w:val="42274B6A"/>
    <w:rsid w:val="42280465"/>
    <w:rsid w:val="42295240"/>
    <w:rsid w:val="42297ADA"/>
    <w:rsid w:val="4229CC7B"/>
    <w:rsid w:val="4229D6B9"/>
    <w:rsid w:val="422A4D79"/>
    <w:rsid w:val="422C612C"/>
    <w:rsid w:val="422E24CE"/>
    <w:rsid w:val="422EA130"/>
    <w:rsid w:val="42324FA0"/>
    <w:rsid w:val="42328E8A"/>
    <w:rsid w:val="4232AA4E"/>
    <w:rsid w:val="42355D44"/>
    <w:rsid w:val="42359B58"/>
    <w:rsid w:val="4236BD55"/>
    <w:rsid w:val="42378912"/>
    <w:rsid w:val="42381696"/>
    <w:rsid w:val="4238D1F7"/>
    <w:rsid w:val="42399813"/>
    <w:rsid w:val="423B248F"/>
    <w:rsid w:val="423BCF9B"/>
    <w:rsid w:val="42437BFD"/>
    <w:rsid w:val="4244E511"/>
    <w:rsid w:val="424FD34B"/>
    <w:rsid w:val="42579B19"/>
    <w:rsid w:val="425B4C34"/>
    <w:rsid w:val="425D2775"/>
    <w:rsid w:val="425D4F43"/>
    <w:rsid w:val="425E05A2"/>
    <w:rsid w:val="425EF4E3"/>
    <w:rsid w:val="425FB56B"/>
    <w:rsid w:val="426008C9"/>
    <w:rsid w:val="4260E22C"/>
    <w:rsid w:val="42615B66"/>
    <w:rsid w:val="42618E08"/>
    <w:rsid w:val="4266B225"/>
    <w:rsid w:val="42686653"/>
    <w:rsid w:val="4268C33E"/>
    <w:rsid w:val="426B2048"/>
    <w:rsid w:val="42715100"/>
    <w:rsid w:val="4271C5DD"/>
    <w:rsid w:val="42726644"/>
    <w:rsid w:val="4273F46A"/>
    <w:rsid w:val="42752FE0"/>
    <w:rsid w:val="427538FE"/>
    <w:rsid w:val="427A3163"/>
    <w:rsid w:val="427AD92D"/>
    <w:rsid w:val="427B264B"/>
    <w:rsid w:val="427D4DB3"/>
    <w:rsid w:val="427E883E"/>
    <w:rsid w:val="427F8362"/>
    <w:rsid w:val="42804378"/>
    <w:rsid w:val="4280E5D7"/>
    <w:rsid w:val="42838AB4"/>
    <w:rsid w:val="4284E426"/>
    <w:rsid w:val="4289E1E5"/>
    <w:rsid w:val="428F7064"/>
    <w:rsid w:val="428FA466"/>
    <w:rsid w:val="42917E12"/>
    <w:rsid w:val="42926870"/>
    <w:rsid w:val="42944A30"/>
    <w:rsid w:val="4297E2EA"/>
    <w:rsid w:val="4298C8B8"/>
    <w:rsid w:val="42993FA1"/>
    <w:rsid w:val="4299D193"/>
    <w:rsid w:val="429A55F9"/>
    <w:rsid w:val="429CC8CC"/>
    <w:rsid w:val="429DAC76"/>
    <w:rsid w:val="429E4010"/>
    <w:rsid w:val="42A31C98"/>
    <w:rsid w:val="42A56E23"/>
    <w:rsid w:val="42AA9E99"/>
    <w:rsid w:val="42AC566B"/>
    <w:rsid w:val="42AD51DA"/>
    <w:rsid w:val="42AF3926"/>
    <w:rsid w:val="42AFFB9B"/>
    <w:rsid w:val="42B25A13"/>
    <w:rsid w:val="42B34723"/>
    <w:rsid w:val="42B51708"/>
    <w:rsid w:val="42B6CA11"/>
    <w:rsid w:val="42B72B90"/>
    <w:rsid w:val="42B760F7"/>
    <w:rsid w:val="42B7943A"/>
    <w:rsid w:val="42B7B3CF"/>
    <w:rsid w:val="42B848F5"/>
    <w:rsid w:val="42BA2B30"/>
    <w:rsid w:val="42BAA294"/>
    <w:rsid w:val="42BB3978"/>
    <w:rsid w:val="42BD4CB1"/>
    <w:rsid w:val="42BDAB3E"/>
    <w:rsid w:val="42BE65CE"/>
    <w:rsid w:val="42BF104B"/>
    <w:rsid w:val="42BF9DF9"/>
    <w:rsid w:val="42C56E06"/>
    <w:rsid w:val="42C5DBFB"/>
    <w:rsid w:val="42C6281F"/>
    <w:rsid w:val="42C7B253"/>
    <w:rsid w:val="42C93316"/>
    <w:rsid w:val="42D07C6A"/>
    <w:rsid w:val="42D306B9"/>
    <w:rsid w:val="42D368FA"/>
    <w:rsid w:val="42D84934"/>
    <w:rsid w:val="42D94A73"/>
    <w:rsid w:val="42DC7B0F"/>
    <w:rsid w:val="42DD4844"/>
    <w:rsid w:val="42DEAB5F"/>
    <w:rsid w:val="42DFAA55"/>
    <w:rsid w:val="42E1F2C6"/>
    <w:rsid w:val="42E49A91"/>
    <w:rsid w:val="42E5EA4E"/>
    <w:rsid w:val="42E7EEFA"/>
    <w:rsid w:val="42E853B9"/>
    <w:rsid w:val="42E8A6C9"/>
    <w:rsid w:val="42E922F7"/>
    <w:rsid w:val="42E96EB4"/>
    <w:rsid w:val="42EA24B5"/>
    <w:rsid w:val="42EB0A35"/>
    <w:rsid w:val="42EB30DF"/>
    <w:rsid w:val="42EC3B97"/>
    <w:rsid w:val="42EDA48E"/>
    <w:rsid w:val="42EF4B74"/>
    <w:rsid w:val="42F0B009"/>
    <w:rsid w:val="42F1B6B6"/>
    <w:rsid w:val="42F666EA"/>
    <w:rsid w:val="42F6E307"/>
    <w:rsid w:val="42F70C7D"/>
    <w:rsid w:val="42F73FD6"/>
    <w:rsid w:val="42F86FAA"/>
    <w:rsid w:val="42F8BD28"/>
    <w:rsid w:val="42FA04B4"/>
    <w:rsid w:val="42FE7C37"/>
    <w:rsid w:val="42FF886D"/>
    <w:rsid w:val="43016C53"/>
    <w:rsid w:val="43031CC0"/>
    <w:rsid w:val="430341D7"/>
    <w:rsid w:val="430353DD"/>
    <w:rsid w:val="4303BB26"/>
    <w:rsid w:val="430576C9"/>
    <w:rsid w:val="430B0F3B"/>
    <w:rsid w:val="430CCD93"/>
    <w:rsid w:val="430FC22C"/>
    <w:rsid w:val="43125643"/>
    <w:rsid w:val="4312F284"/>
    <w:rsid w:val="4317F260"/>
    <w:rsid w:val="431825AB"/>
    <w:rsid w:val="4319D775"/>
    <w:rsid w:val="431B7609"/>
    <w:rsid w:val="431D0AF2"/>
    <w:rsid w:val="4320C069"/>
    <w:rsid w:val="4325C985"/>
    <w:rsid w:val="432981E4"/>
    <w:rsid w:val="432A3E89"/>
    <w:rsid w:val="432A7E70"/>
    <w:rsid w:val="432CEA39"/>
    <w:rsid w:val="432D10F0"/>
    <w:rsid w:val="432DB633"/>
    <w:rsid w:val="4331B3E6"/>
    <w:rsid w:val="433276E9"/>
    <w:rsid w:val="43331F98"/>
    <w:rsid w:val="43334655"/>
    <w:rsid w:val="43342470"/>
    <w:rsid w:val="43344AC5"/>
    <w:rsid w:val="43346D6A"/>
    <w:rsid w:val="43386907"/>
    <w:rsid w:val="4338C1D6"/>
    <w:rsid w:val="433B96FF"/>
    <w:rsid w:val="433C37DA"/>
    <w:rsid w:val="433EDEE1"/>
    <w:rsid w:val="433FFFBC"/>
    <w:rsid w:val="43401F42"/>
    <w:rsid w:val="43418821"/>
    <w:rsid w:val="434388E1"/>
    <w:rsid w:val="4344422C"/>
    <w:rsid w:val="4346A4A6"/>
    <w:rsid w:val="4347324F"/>
    <w:rsid w:val="4347C9B2"/>
    <w:rsid w:val="434A9D79"/>
    <w:rsid w:val="434B466F"/>
    <w:rsid w:val="434B5880"/>
    <w:rsid w:val="434D2B90"/>
    <w:rsid w:val="434D84BF"/>
    <w:rsid w:val="434E40A1"/>
    <w:rsid w:val="43500E45"/>
    <w:rsid w:val="43579391"/>
    <w:rsid w:val="4357E8BF"/>
    <w:rsid w:val="435CB827"/>
    <w:rsid w:val="435D0E27"/>
    <w:rsid w:val="435E119C"/>
    <w:rsid w:val="43600135"/>
    <w:rsid w:val="43605131"/>
    <w:rsid w:val="4362710B"/>
    <w:rsid w:val="436372E3"/>
    <w:rsid w:val="4366D0D5"/>
    <w:rsid w:val="4367754A"/>
    <w:rsid w:val="4368555F"/>
    <w:rsid w:val="436A150D"/>
    <w:rsid w:val="436EEF66"/>
    <w:rsid w:val="4370042F"/>
    <w:rsid w:val="43711E19"/>
    <w:rsid w:val="43725459"/>
    <w:rsid w:val="437386B6"/>
    <w:rsid w:val="4373FC21"/>
    <w:rsid w:val="43744183"/>
    <w:rsid w:val="43779553"/>
    <w:rsid w:val="437BA5DA"/>
    <w:rsid w:val="437E1465"/>
    <w:rsid w:val="437E2C65"/>
    <w:rsid w:val="43889197"/>
    <w:rsid w:val="43899FB3"/>
    <w:rsid w:val="438A62D1"/>
    <w:rsid w:val="438A6C15"/>
    <w:rsid w:val="438C5A8C"/>
    <w:rsid w:val="438CC86B"/>
    <w:rsid w:val="438D5AFE"/>
    <w:rsid w:val="438F5727"/>
    <w:rsid w:val="438F85E2"/>
    <w:rsid w:val="4392148E"/>
    <w:rsid w:val="43958CC1"/>
    <w:rsid w:val="4395F377"/>
    <w:rsid w:val="43960583"/>
    <w:rsid w:val="4396A4A0"/>
    <w:rsid w:val="439948D5"/>
    <w:rsid w:val="439D0F0E"/>
    <w:rsid w:val="439F0C03"/>
    <w:rsid w:val="439F5916"/>
    <w:rsid w:val="43A13AA7"/>
    <w:rsid w:val="43A2417F"/>
    <w:rsid w:val="43A2CA3B"/>
    <w:rsid w:val="43A3CF4E"/>
    <w:rsid w:val="43A891E6"/>
    <w:rsid w:val="43AA8C03"/>
    <w:rsid w:val="43ABF0BE"/>
    <w:rsid w:val="43AC9367"/>
    <w:rsid w:val="43AD8B6F"/>
    <w:rsid w:val="43AEE366"/>
    <w:rsid w:val="43B08942"/>
    <w:rsid w:val="43B1659A"/>
    <w:rsid w:val="43B1F8B8"/>
    <w:rsid w:val="43B36E5E"/>
    <w:rsid w:val="43B52A6A"/>
    <w:rsid w:val="43B5FD33"/>
    <w:rsid w:val="43B6CB53"/>
    <w:rsid w:val="43B6DF5D"/>
    <w:rsid w:val="43B85C15"/>
    <w:rsid w:val="43BA66A0"/>
    <w:rsid w:val="43BB93FB"/>
    <w:rsid w:val="43BDB3B7"/>
    <w:rsid w:val="43BEFD36"/>
    <w:rsid w:val="43C04C15"/>
    <w:rsid w:val="43C17E0D"/>
    <w:rsid w:val="43C4122F"/>
    <w:rsid w:val="43CA08E3"/>
    <w:rsid w:val="43CA71FC"/>
    <w:rsid w:val="43CBC6B1"/>
    <w:rsid w:val="43CC9A13"/>
    <w:rsid w:val="43CDA512"/>
    <w:rsid w:val="43D2A498"/>
    <w:rsid w:val="43D444FC"/>
    <w:rsid w:val="43D847E2"/>
    <w:rsid w:val="43DCC035"/>
    <w:rsid w:val="43DD0E1C"/>
    <w:rsid w:val="43DD850F"/>
    <w:rsid w:val="43DE2B73"/>
    <w:rsid w:val="43DE649B"/>
    <w:rsid w:val="43DF0BCF"/>
    <w:rsid w:val="43DFDA55"/>
    <w:rsid w:val="43E348CB"/>
    <w:rsid w:val="43E39CC0"/>
    <w:rsid w:val="43E3CAEA"/>
    <w:rsid w:val="43E62094"/>
    <w:rsid w:val="43E70703"/>
    <w:rsid w:val="43E71E01"/>
    <w:rsid w:val="43E76FC4"/>
    <w:rsid w:val="43E85537"/>
    <w:rsid w:val="43EFBEE8"/>
    <w:rsid w:val="43F122D5"/>
    <w:rsid w:val="43F3B9AE"/>
    <w:rsid w:val="43F64623"/>
    <w:rsid w:val="43F6C0F2"/>
    <w:rsid w:val="43F6D5B0"/>
    <w:rsid w:val="43FC89B2"/>
    <w:rsid w:val="43FF4277"/>
    <w:rsid w:val="43FF7BD1"/>
    <w:rsid w:val="4400ECED"/>
    <w:rsid w:val="440359AD"/>
    <w:rsid w:val="440361A1"/>
    <w:rsid w:val="44046592"/>
    <w:rsid w:val="440624C1"/>
    <w:rsid w:val="4407342E"/>
    <w:rsid w:val="4409AEC4"/>
    <w:rsid w:val="440B4CE0"/>
    <w:rsid w:val="440B4DAB"/>
    <w:rsid w:val="44103A62"/>
    <w:rsid w:val="4412E707"/>
    <w:rsid w:val="4414F523"/>
    <w:rsid w:val="44170D02"/>
    <w:rsid w:val="44195146"/>
    <w:rsid w:val="4419F1C2"/>
    <w:rsid w:val="441AB463"/>
    <w:rsid w:val="441B0CB7"/>
    <w:rsid w:val="441B677F"/>
    <w:rsid w:val="441C1CDC"/>
    <w:rsid w:val="441E1054"/>
    <w:rsid w:val="4420B8B2"/>
    <w:rsid w:val="4421B40E"/>
    <w:rsid w:val="44233E54"/>
    <w:rsid w:val="44235CC2"/>
    <w:rsid w:val="442429B9"/>
    <w:rsid w:val="44246310"/>
    <w:rsid w:val="44257061"/>
    <w:rsid w:val="4425D9B9"/>
    <w:rsid w:val="442642BA"/>
    <w:rsid w:val="4426DF7D"/>
    <w:rsid w:val="4427E57C"/>
    <w:rsid w:val="44298250"/>
    <w:rsid w:val="442D186C"/>
    <w:rsid w:val="442EF844"/>
    <w:rsid w:val="442F67A5"/>
    <w:rsid w:val="442FF83C"/>
    <w:rsid w:val="44309FF1"/>
    <w:rsid w:val="443224DB"/>
    <w:rsid w:val="44341E26"/>
    <w:rsid w:val="4434689E"/>
    <w:rsid w:val="44361895"/>
    <w:rsid w:val="4439267C"/>
    <w:rsid w:val="44398A00"/>
    <w:rsid w:val="443F80D9"/>
    <w:rsid w:val="443FD3B0"/>
    <w:rsid w:val="44411BD4"/>
    <w:rsid w:val="444121DF"/>
    <w:rsid w:val="44424CDD"/>
    <w:rsid w:val="44451E5E"/>
    <w:rsid w:val="4445FC3F"/>
    <w:rsid w:val="444659D5"/>
    <w:rsid w:val="444722D8"/>
    <w:rsid w:val="4448A3EE"/>
    <w:rsid w:val="444901AD"/>
    <w:rsid w:val="44498266"/>
    <w:rsid w:val="444AF8BB"/>
    <w:rsid w:val="444B448F"/>
    <w:rsid w:val="444BBAAD"/>
    <w:rsid w:val="444DA765"/>
    <w:rsid w:val="444FCEA7"/>
    <w:rsid w:val="44502A92"/>
    <w:rsid w:val="44523141"/>
    <w:rsid w:val="44525CC0"/>
    <w:rsid w:val="44544A6F"/>
    <w:rsid w:val="4454B109"/>
    <w:rsid w:val="445B147E"/>
    <w:rsid w:val="445EB937"/>
    <w:rsid w:val="445ED3AC"/>
    <w:rsid w:val="445F7D9C"/>
    <w:rsid w:val="445FBE69"/>
    <w:rsid w:val="44602446"/>
    <w:rsid w:val="44612051"/>
    <w:rsid w:val="44623040"/>
    <w:rsid w:val="4463113E"/>
    <w:rsid w:val="446761A7"/>
    <w:rsid w:val="4468537E"/>
    <w:rsid w:val="4468E6F8"/>
    <w:rsid w:val="446F3662"/>
    <w:rsid w:val="447101FB"/>
    <w:rsid w:val="44721521"/>
    <w:rsid w:val="44724D93"/>
    <w:rsid w:val="4472D0AB"/>
    <w:rsid w:val="44765509"/>
    <w:rsid w:val="4476D81B"/>
    <w:rsid w:val="44786C1F"/>
    <w:rsid w:val="447918A4"/>
    <w:rsid w:val="447991D1"/>
    <w:rsid w:val="447A7005"/>
    <w:rsid w:val="447C0A47"/>
    <w:rsid w:val="447D4A58"/>
    <w:rsid w:val="44823926"/>
    <w:rsid w:val="448320D3"/>
    <w:rsid w:val="44885C6D"/>
    <w:rsid w:val="448C0ED9"/>
    <w:rsid w:val="448D5424"/>
    <w:rsid w:val="448FF77E"/>
    <w:rsid w:val="4491E36D"/>
    <w:rsid w:val="4493BCCA"/>
    <w:rsid w:val="4493C127"/>
    <w:rsid w:val="44958704"/>
    <w:rsid w:val="4497E3C4"/>
    <w:rsid w:val="449B406B"/>
    <w:rsid w:val="449C5A8C"/>
    <w:rsid w:val="449C6BBF"/>
    <w:rsid w:val="449FA3B9"/>
    <w:rsid w:val="44A1EE38"/>
    <w:rsid w:val="44A44812"/>
    <w:rsid w:val="44A648D3"/>
    <w:rsid w:val="44AA0C02"/>
    <w:rsid w:val="44AC786C"/>
    <w:rsid w:val="44AD5C55"/>
    <w:rsid w:val="44B035F3"/>
    <w:rsid w:val="44B0E9D1"/>
    <w:rsid w:val="44B16B9E"/>
    <w:rsid w:val="44B25773"/>
    <w:rsid w:val="44B2BF9B"/>
    <w:rsid w:val="44B42085"/>
    <w:rsid w:val="44B4F1BF"/>
    <w:rsid w:val="44B57055"/>
    <w:rsid w:val="44B6261B"/>
    <w:rsid w:val="44BB77AA"/>
    <w:rsid w:val="44BC17BA"/>
    <w:rsid w:val="44BCFA5B"/>
    <w:rsid w:val="44BDEA82"/>
    <w:rsid w:val="44C01DC7"/>
    <w:rsid w:val="44C0A995"/>
    <w:rsid w:val="44C41BBB"/>
    <w:rsid w:val="44C58D90"/>
    <w:rsid w:val="44C7590B"/>
    <w:rsid w:val="44C7C63A"/>
    <w:rsid w:val="44C9849A"/>
    <w:rsid w:val="44CB102D"/>
    <w:rsid w:val="44D1D9E8"/>
    <w:rsid w:val="44D32420"/>
    <w:rsid w:val="44D41A60"/>
    <w:rsid w:val="44D4E49A"/>
    <w:rsid w:val="44D4E961"/>
    <w:rsid w:val="44DA4BA4"/>
    <w:rsid w:val="44DCE8A1"/>
    <w:rsid w:val="44DDBC80"/>
    <w:rsid w:val="44E09CA2"/>
    <w:rsid w:val="44E1A457"/>
    <w:rsid w:val="44E1A7DF"/>
    <w:rsid w:val="44E2C04B"/>
    <w:rsid w:val="44E7E0B0"/>
    <w:rsid w:val="44E8A703"/>
    <w:rsid w:val="44EBDA5C"/>
    <w:rsid w:val="44EC8E2D"/>
    <w:rsid w:val="44EE6AF9"/>
    <w:rsid w:val="44EF02AB"/>
    <w:rsid w:val="44EFE0FD"/>
    <w:rsid w:val="44F0724A"/>
    <w:rsid w:val="44F4C50F"/>
    <w:rsid w:val="44F54709"/>
    <w:rsid w:val="44F87CA3"/>
    <w:rsid w:val="44F893B6"/>
    <w:rsid w:val="44F9CD49"/>
    <w:rsid w:val="44FB8166"/>
    <w:rsid w:val="44FDCA53"/>
    <w:rsid w:val="44FDE013"/>
    <w:rsid w:val="44FE6AAA"/>
    <w:rsid w:val="44FE7B60"/>
    <w:rsid w:val="44FE99C3"/>
    <w:rsid w:val="44FF1956"/>
    <w:rsid w:val="450184FC"/>
    <w:rsid w:val="45019D89"/>
    <w:rsid w:val="4501B86B"/>
    <w:rsid w:val="4502B4B2"/>
    <w:rsid w:val="45030429"/>
    <w:rsid w:val="450890DA"/>
    <w:rsid w:val="45093517"/>
    <w:rsid w:val="450B54DE"/>
    <w:rsid w:val="450BA3E4"/>
    <w:rsid w:val="450C20F1"/>
    <w:rsid w:val="450CB76F"/>
    <w:rsid w:val="450FC802"/>
    <w:rsid w:val="45113954"/>
    <w:rsid w:val="45113FF3"/>
    <w:rsid w:val="45120A0A"/>
    <w:rsid w:val="4513247F"/>
    <w:rsid w:val="45139C0F"/>
    <w:rsid w:val="45163A10"/>
    <w:rsid w:val="45176EAC"/>
    <w:rsid w:val="451B1487"/>
    <w:rsid w:val="451BE2EC"/>
    <w:rsid w:val="451CEE56"/>
    <w:rsid w:val="452442BC"/>
    <w:rsid w:val="45248720"/>
    <w:rsid w:val="452699A4"/>
    <w:rsid w:val="4527FD41"/>
    <w:rsid w:val="45297A7B"/>
    <w:rsid w:val="452D8EB7"/>
    <w:rsid w:val="452F49E9"/>
    <w:rsid w:val="452F6D70"/>
    <w:rsid w:val="4531D3B8"/>
    <w:rsid w:val="453459D4"/>
    <w:rsid w:val="45346BE4"/>
    <w:rsid w:val="45348593"/>
    <w:rsid w:val="45356C82"/>
    <w:rsid w:val="4536B0D4"/>
    <w:rsid w:val="4538D95B"/>
    <w:rsid w:val="4539350A"/>
    <w:rsid w:val="453CA6D6"/>
    <w:rsid w:val="453D1D30"/>
    <w:rsid w:val="45418812"/>
    <w:rsid w:val="45421A17"/>
    <w:rsid w:val="4545B37C"/>
    <w:rsid w:val="4546025A"/>
    <w:rsid w:val="454670E3"/>
    <w:rsid w:val="454862BC"/>
    <w:rsid w:val="454DFA76"/>
    <w:rsid w:val="454EE751"/>
    <w:rsid w:val="454EF361"/>
    <w:rsid w:val="454F6B9B"/>
    <w:rsid w:val="454FB108"/>
    <w:rsid w:val="454FDE9A"/>
    <w:rsid w:val="45513D0D"/>
    <w:rsid w:val="4551CBBF"/>
    <w:rsid w:val="455446AE"/>
    <w:rsid w:val="45581592"/>
    <w:rsid w:val="455A21FC"/>
    <w:rsid w:val="455A6FA6"/>
    <w:rsid w:val="455B1CC1"/>
    <w:rsid w:val="455E1C31"/>
    <w:rsid w:val="455EF1EE"/>
    <w:rsid w:val="455F4F0C"/>
    <w:rsid w:val="45618779"/>
    <w:rsid w:val="456218B8"/>
    <w:rsid w:val="45625172"/>
    <w:rsid w:val="456282B1"/>
    <w:rsid w:val="45672D52"/>
    <w:rsid w:val="4567F659"/>
    <w:rsid w:val="456AC515"/>
    <w:rsid w:val="456B3AF6"/>
    <w:rsid w:val="45702148"/>
    <w:rsid w:val="457065F1"/>
    <w:rsid w:val="4570E9F3"/>
    <w:rsid w:val="45719599"/>
    <w:rsid w:val="45725304"/>
    <w:rsid w:val="4573BC97"/>
    <w:rsid w:val="45774E3E"/>
    <w:rsid w:val="4577FA12"/>
    <w:rsid w:val="4578CDB1"/>
    <w:rsid w:val="4579DFA3"/>
    <w:rsid w:val="4579ED31"/>
    <w:rsid w:val="457B545D"/>
    <w:rsid w:val="457E37A8"/>
    <w:rsid w:val="45802EF2"/>
    <w:rsid w:val="458413EA"/>
    <w:rsid w:val="4588A358"/>
    <w:rsid w:val="4589BD1A"/>
    <w:rsid w:val="458A59FC"/>
    <w:rsid w:val="458C1F31"/>
    <w:rsid w:val="458D9EEC"/>
    <w:rsid w:val="45907683"/>
    <w:rsid w:val="4590F855"/>
    <w:rsid w:val="4591554E"/>
    <w:rsid w:val="45968A8E"/>
    <w:rsid w:val="4596DECD"/>
    <w:rsid w:val="459A2429"/>
    <w:rsid w:val="459B007A"/>
    <w:rsid w:val="459B2739"/>
    <w:rsid w:val="459B990B"/>
    <w:rsid w:val="459BB253"/>
    <w:rsid w:val="459C5804"/>
    <w:rsid w:val="459D4B9F"/>
    <w:rsid w:val="459DA600"/>
    <w:rsid w:val="459E6052"/>
    <w:rsid w:val="459E854D"/>
    <w:rsid w:val="45A17045"/>
    <w:rsid w:val="45A7A771"/>
    <w:rsid w:val="45AA7192"/>
    <w:rsid w:val="45AB5EBB"/>
    <w:rsid w:val="45AF734B"/>
    <w:rsid w:val="45B3D424"/>
    <w:rsid w:val="45B56BEC"/>
    <w:rsid w:val="45B71CED"/>
    <w:rsid w:val="45B769EC"/>
    <w:rsid w:val="45B8A439"/>
    <w:rsid w:val="45BA959B"/>
    <w:rsid w:val="45BB0398"/>
    <w:rsid w:val="45BB3937"/>
    <w:rsid w:val="45BBBAF8"/>
    <w:rsid w:val="45BBDF34"/>
    <w:rsid w:val="45BDE674"/>
    <w:rsid w:val="45BE82B5"/>
    <w:rsid w:val="45BECD3D"/>
    <w:rsid w:val="45C10BF2"/>
    <w:rsid w:val="45C1ECF1"/>
    <w:rsid w:val="45C4D133"/>
    <w:rsid w:val="45C51D31"/>
    <w:rsid w:val="45C5D6ED"/>
    <w:rsid w:val="45C6BC54"/>
    <w:rsid w:val="45C7BAAB"/>
    <w:rsid w:val="45C8D4B8"/>
    <w:rsid w:val="45CBE32D"/>
    <w:rsid w:val="45CE68C2"/>
    <w:rsid w:val="45CFDE68"/>
    <w:rsid w:val="45D09605"/>
    <w:rsid w:val="45D0A186"/>
    <w:rsid w:val="45D24CA3"/>
    <w:rsid w:val="45D304F6"/>
    <w:rsid w:val="45D469F3"/>
    <w:rsid w:val="45D5F83C"/>
    <w:rsid w:val="45DA2144"/>
    <w:rsid w:val="45DAB401"/>
    <w:rsid w:val="45DABF9E"/>
    <w:rsid w:val="45DD4657"/>
    <w:rsid w:val="45DD5744"/>
    <w:rsid w:val="45DE2E8D"/>
    <w:rsid w:val="45E184D5"/>
    <w:rsid w:val="45E1BC92"/>
    <w:rsid w:val="45E88B5B"/>
    <w:rsid w:val="45EA3B8A"/>
    <w:rsid w:val="45ECC1E2"/>
    <w:rsid w:val="45F74234"/>
    <w:rsid w:val="45F77A07"/>
    <w:rsid w:val="45F84220"/>
    <w:rsid w:val="45F87B1D"/>
    <w:rsid w:val="45F99061"/>
    <w:rsid w:val="45FAAD46"/>
    <w:rsid w:val="45FB79E5"/>
    <w:rsid w:val="45FC0F46"/>
    <w:rsid w:val="45FC2B5A"/>
    <w:rsid w:val="45FE00E6"/>
    <w:rsid w:val="45FF0632"/>
    <w:rsid w:val="460136CD"/>
    <w:rsid w:val="46024A70"/>
    <w:rsid w:val="4604906F"/>
    <w:rsid w:val="4604FF58"/>
    <w:rsid w:val="46058883"/>
    <w:rsid w:val="4605D9AC"/>
    <w:rsid w:val="46066F05"/>
    <w:rsid w:val="4608F7BB"/>
    <w:rsid w:val="460A0586"/>
    <w:rsid w:val="460BBCA8"/>
    <w:rsid w:val="460BC192"/>
    <w:rsid w:val="460BEE3C"/>
    <w:rsid w:val="460D4595"/>
    <w:rsid w:val="460EDBF4"/>
    <w:rsid w:val="460EFBFE"/>
    <w:rsid w:val="460F701F"/>
    <w:rsid w:val="461113E5"/>
    <w:rsid w:val="4612C02A"/>
    <w:rsid w:val="4612EE65"/>
    <w:rsid w:val="4612F9A8"/>
    <w:rsid w:val="461A7959"/>
    <w:rsid w:val="461BD5E2"/>
    <w:rsid w:val="461FECC3"/>
    <w:rsid w:val="462159A1"/>
    <w:rsid w:val="4621D6FB"/>
    <w:rsid w:val="462244E6"/>
    <w:rsid w:val="46236002"/>
    <w:rsid w:val="462559D3"/>
    <w:rsid w:val="4625904B"/>
    <w:rsid w:val="462CB7AC"/>
    <w:rsid w:val="462FBCE7"/>
    <w:rsid w:val="46318CC7"/>
    <w:rsid w:val="4631BBBA"/>
    <w:rsid w:val="4633A545"/>
    <w:rsid w:val="4633C456"/>
    <w:rsid w:val="46349D91"/>
    <w:rsid w:val="4634EE77"/>
    <w:rsid w:val="463911DC"/>
    <w:rsid w:val="463E2D56"/>
    <w:rsid w:val="46403E31"/>
    <w:rsid w:val="4642559B"/>
    <w:rsid w:val="46429F69"/>
    <w:rsid w:val="4645BFB2"/>
    <w:rsid w:val="464AC3E9"/>
    <w:rsid w:val="464E7208"/>
    <w:rsid w:val="46502B47"/>
    <w:rsid w:val="46523E56"/>
    <w:rsid w:val="46528F25"/>
    <w:rsid w:val="465316CB"/>
    <w:rsid w:val="46532A4B"/>
    <w:rsid w:val="465377B6"/>
    <w:rsid w:val="4654B3FF"/>
    <w:rsid w:val="4655381F"/>
    <w:rsid w:val="46556EF4"/>
    <w:rsid w:val="465807B9"/>
    <w:rsid w:val="4659AF86"/>
    <w:rsid w:val="46605289"/>
    <w:rsid w:val="466125D1"/>
    <w:rsid w:val="4662992E"/>
    <w:rsid w:val="46654258"/>
    <w:rsid w:val="4666270E"/>
    <w:rsid w:val="46682EC6"/>
    <w:rsid w:val="46688878"/>
    <w:rsid w:val="46696B92"/>
    <w:rsid w:val="466B9A5D"/>
    <w:rsid w:val="466C0383"/>
    <w:rsid w:val="466D0F9A"/>
    <w:rsid w:val="466F8BC4"/>
    <w:rsid w:val="46701FFE"/>
    <w:rsid w:val="4670B486"/>
    <w:rsid w:val="46719C19"/>
    <w:rsid w:val="4672FC7E"/>
    <w:rsid w:val="46735FFF"/>
    <w:rsid w:val="467431F9"/>
    <w:rsid w:val="46781B0F"/>
    <w:rsid w:val="467C117C"/>
    <w:rsid w:val="467E18F5"/>
    <w:rsid w:val="467E2F66"/>
    <w:rsid w:val="468149BD"/>
    <w:rsid w:val="4681CA75"/>
    <w:rsid w:val="46841A3C"/>
    <w:rsid w:val="46866347"/>
    <w:rsid w:val="468ABC6F"/>
    <w:rsid w:val="468ED4FF"/>
    <w:rsid w:val="4690EE34"/>
    <w:rsid w:val="4691E484"/>
    <w:rsid w:val="4695C8F1"/>
    <w:rsid w:val="4695CFBF"/>
    <w:rsid w:val="46983D21"/>
    <w:rsid w:val="46993DFE"/>
    <w:rsid w:val="4699594E"/>
    <w:rsid w:val="469A7F74"/>
    <w:rsid w:val="469BAED2"/>
    <w:rsid w:val="469D5CDF"/>
    <w:rsid w:val="469EF02D"/>
    <w:rsid w:val="469FE1A9"/>
    <w:rsid w:val="46A22FB2"/>
    <w:rsid w:val="46A2C12C"/>
    <w:rsid w:val="46A6F06F"/>
    <w:rsid w:val="46A92363"/>
    <w:rsid w:val="46A9A733"/>
    <w:rsid w:val="46AA8ABB"/>
    <w:rsid w:val="46AB338F"/>
    <w:rsid w:val="46AB4530"/>
    <w:rsid w:val="46AB8C67"/>
    <w:rsid w:val="46ACBA2A"/>
    <w:rsid w:val="46AE1A13"/>
    <w:rsid w:val="46AE9357"/>
    <w:rsid w:val="46AF7EA3"/>
    <w:rsid w:val="46B059F5"/>
    <w:rsid w:val="46B2BFF7"/>
    <w:rsid w:val="46B7343B"/>
    <w:rsid w:val="46B83255"/>
    <w:rsid w:val="46B8BE01"/>
    <w:rsid w:val="46B9D1A8"/>
    <w:rsid w:val="46BAB915"/>
    <w:rsid w:val="46BD608D"/>
    <w:rsid w:val="46C0B221"/>
    <w:rsid w:val="46C17213"/>
    <w:rsid w:val="46C3FB96"/>
    <w:rsid w:val="46C450E6"/>
    <w:rsid w:val="46C594F4"/>
    <w:rsid w:val="46C6A187"/>
    <w:rsid w:val="46C6F3AB"/>
    <w:rsid w:val="46C7A45C"/>
    <w:rsid w:val="46C88271"/>
    <w:rsid w:val="46CB698B"/>
    <w:rsid w:val="46CB6E14"/>
    <w:rsid w:val="46CC044B"/>
    <w:rsid w:val="46CCC861"/>
    <w:rsid w:val="46CE8653"/>
    <w:rsid w:val="46D3B8A9"/>
    <w:rsid w:val="46D47B3B"/>
    <w:rsid w:val="46D65222"/>
    <w:rsid w:val="46D696E6"/>
    <w:rsid w:val="46D69E07"/>
    <w:rsid w:val="46D832B1"/>
    <w:rsid w:val="46DB501C"/>
    <w:rsid w:val="46DBAE1F"/>
    <w:rsid w:val="46DCA218"/>
    <w:rsid w:val="46DFC897"/>
    <w:rsid w:val="46E23E03"/>
    <w:rsid w:val="46E29A71"/>
    <w:rsid w:val="46E476B5"/>
    <w:rsid w:val="46E979E8"/>
    <w:rsid w:val="46EADA92"/>
    <w:rsid w:val="46EE5D96"/>
    <w:rsid w:val="46F21CC9"/>
    <w:rsid w:val="46F5D53A"/>
    <w:rsid w:val="46F632BF"/>
    <w:rsid w:val="46F63B0B"/>
    <w:rsid w:val="46F7FEBD"/>
    <w:rsid w:val="46F9605C"/>
    <w:rsid w:val="46F997A9"/>
    <w:rsid w:val="46FC3042"/>
    <w:rsid w:val="46FC7C58"/>
    <w:rsid w:val="46FD25AC"/>
    <w:rsid w:val="46FE779E"/>
    <w:rsid w:val="46FEB47F"/>
    <w:rsid w:val="4702861A"/>
    <w:rsid w:val="47037AE1"/>
    <w:rsid w:val="4704515D"/>
    <w:rsid w:val="4705D285"/>
    <w:rsid w:val="4709943F"/>
    <w:rsid w:val="470B55E5"/>
    <w:rsid w:val="470E3730"/>
    <w:rsid w:val="470E9A82"/>
    <w:rsid w:val="47119201"/>
    <w:rsid w:val="47128C8C"/>
    <w:rsid w:val="4715BC14"/>
    <w:rsid w:val="4717AE2F"/>
    <w:rsid w:val="471E7AB6"/>
    <w:rsid w:val="47207A25"/>
    <w:rsid w:val="4722928F"/>
    <w:rsid w:val="47238E29"/>
    <w:rsid w:val="47272A8F"/>
    <w:rsid w:val="47272AF7"/>
    <w:rsid w:val="472A201D"/>
    <w:rsid w:val="472D2C34"/>
    <w:rsid w:val="473035BD"/>
    <w:rsid w:val="4730BED9"/>
    <w:rsid w:val="4731FE00"/>
    <w:rsid w:val="47338322"/>
    <w:rsid w:val="4733F25B"/>
    <w:rsid w:val="4735D5BF"/>
    <w:rsid w:val="47380EF7"/>
    <w:rsid w:val="4738C84C"/>
    <w:rsid w:val="4739C7EB"/>
    <w:rsid w:val="473A1427"/>
    <w:rsid w:val="4742D401"/>
    <w:rsid w:val="4744B837"/>
    <w:rsid w:val="4744CEA2"/>
    <w:rsid w:val="4744FB0D"/>
    <w:rsid w:val="47450DB2"/>
    <w:rsid w:val="4745CCE1"/>
    <w:rsid w:val="4747151E"/>
    <w:rsid w:val="474736DE"/>
    <w:rsid w:val="47474A1C"/>
    <w:rsid w:val="4748F461"/>
    <w:rsid w:val="474A50E6"/>
    <w:rsid w:val="474A61B8"/>
    <w:rsid w:val="474BD626"/>
    <w:rsid w:val="474C07F0"/>
    <w:rsid w:val="474C1C91"/>
    <w:rsid w:val="474E342C"/>
    <w:rsid w:val="474E8BA8"/>
    <w:rsid w:val="47521022"/>
    <w:rsid w:val="4752A71B"/>
    <w:rsid w:val="4757DC3A"/>
    <w:rsid w:val="475CD66D"/>
    <w:rsid w:val="475F8DB0"/>
    <w:rsid w:val="476044D8"/>
    <w:rsid w:val="4760C041"/>
    <w:rsid w:val="47610003"/>
    <w:rsid w:val="47632AAF"/>
    <w:rsid w:val="47642CF2"/>
    <w:rsid w:val="476437AB"/>
    <w:rsid w:val="476571F7"/>
    <w:rsid w:val="47735C73"/>
    <w:rsid w:val="4778BD7A"/>
    <w:rsid w:val="47791620"/>
    <w:rsid w:val="4780127B"/>
    <w:rsid w:val="4780CBF6"/>
    <w:rsid w:val="478709E1"/>
    <w:rsid w:val="47873B0E"/>
    <w:rsid w:val="4787DCAF"/>
    <w:rsid w:val="4789BD95"/>
    <w:rsid w:val="4789D4AD"/>
    <w:rsid w:val="478D046E"/>
    <w:rsid w:val="478DA2B4"/>
    <w:rsid w:val="478F3F98"/>
    <w:rsid w:val="47907DF3"/>
    <w:rsid w:val="4792CB67"/>
    <w:rsid w:val="4793E527"/>
    <w:rsid w:val="47959810"/>
    <w:rsid w:val="4797B63F"/>
    <w:rsid w:val="4798551F"/>
    <w:rsid w:val="479B2537"/>
    <w:rsid w:val="479BB82A"/>
    <w:rsid w:val="479BF358"/>
    <w:rsid w:val="479D30CF"/>
    <w:rsid w:val="479DA78F"/>
    <w:rsid w:val="479DAF93"/>
    <w:rsid w:val="479F96D8"/>
    <w:rsid w:val="47A04A40"/>
    <w:rsid w:val="47A227C1"/>
    <w:rsid w:val="47A24A36"/>
    <w:rsid w:val="47A2D43F"/>
    <w:rsid w:val="47A88904"/>
    <w:rsid w:val="47A920B7"/>
    <w:rsid w:val="47AA7EF5"/>
    <w:rsid w:val="47AE15C7"/>
    <w:rsid w:val="47AEDB5F"/>
    <w:rsid w:val="47AF2376"/>
    <w:rsid w:val="47B13676"/>
    <w:rsid w:val="47B8F406"/>
    <w:rsid w:val="47BB14B7"/>
    <w:rsid w:val="47BCE70F"/>
    <w:rsid w:val="47BF3396"/>
    <w:rsid w:val="47BF3764"/>
    <w:rsid w:val="47BF911F"/>
    <w:rsid w:val="47C2C2EB"/>
    <w:rsid w:val="47C749DF"/>
    <w:rsid w:val="47C98F8E"/>
    <w:rsid w:val="47C9D630"/>
    <w:rsid w:val="47CBC885"/>
    <w:rsid w:val="47CCBDA9"/>
    <w:rsid w:val="47CCC619"/>
    <w:rsid w:val="47CE8066"/>
    <w:rsid w:val="47D21CFA"/>
    <w:rsid w:val="47D26E06"/>
    <w:rsid w:val="47D3991B"/>
    <w:rsid w:val="47D8D2A5"/>
    <w:rsid w:val="47DB4B7F"/>
    <w:rsid w:val="47E1EF3F"/>
    <w:rsid w:val="47E35A98"/>
    <w:rsid w:val="47E3C05E"/>
    <w:rsid w:val="47E4F790"/>
    <w:rsid w:val="47E82CA2"/>
    <w:rsid w:val="47E86BFC"/>
    <w:rsid w:val="47E873A5"/>
    <w:rsid w:val="47E96720"/>
    <w:rsid w:val="47E9D420"/>
    <w:rsid w:val="47EACA53"/>
    <w:rsid w:val="47EB3820"/>
    <w:rsid w:val="47EE8BB2"/>
    <w:rsid w:val="47EEEA03"/>
    <w:rsid w:val="47EFADC3"/>
    <w:rsid w:val="47F274B9"/>
    <w:rsid w:val="47F2DEF9"/>
    <w:rsid w:val="47F33DD6"/>
    <w:rsid w:val="47F59055"/>
    <w:rsid w:val="47F9A543"/>
    <w:rsid w:val="47FA0007"/>
    <w:rsid w:val="47FA67C8"/>
    <w:rsid w:val="47FD03BB"/>
    <w:rsid w:val="47FDD5A5"/>
    <w:rsid w:val="47FEA150"/>
    <w:rsid w:val="47FF664F"/>
    <w:rsid w:val="48004081"/>
    <w:rsid w:val="4803C3D6"/>
    <w:rsid w:val="480446CD"/>
    <w:rsid w:val="4806538C"/>
    <w:rsid w:val="480669D6"/>
    <w:rsid w:val="4807B685"/>
    <w:rsid w:val="480C71FF"/>
    <w:rsid w:val="480DD2DD"/>
    <w:rsid w:val="480DFBC7"/>
    <w:rsid w:val="480F1E65"/>
    <w:rsid w:val="4810ED92"/>
    <w:rsid w:val="48116068"/>
    <w:rsid w:val="48116C4B"/>
    <w:rsid w:val="48119031"/>
    <w:rsid w:val="48146762"/>
    <w:rsid w:val="48167EAD"/>
    <w:rsid w:val="48170827"/>
    <w:rsid w:val="481B0C05"/>
    <w:rsid w:val="481C256C"/>
    <w:rsid w:val="481CB98F"/>
    <w:rsid w:val="48205934"/>
    <w:rsid w:val="48220569"/>
    <w:rsid w:val="482308BB"/>
    <w:rsid w:val="4827D4FE"/>
    <w:rsid w:val="48280AC1"/>
    <w:rsid w:val="4830F958"/>
    <w:rsid w:val="48315988"/>
    <w:rsid w:val="4831C2DD"/>
    <w:rsid w:val="4832185E"/>
    <w:rsid w:val="483370FE"/>
    <w:rsid w:val="4838D883"/>
    <w:rsid w:val="483B4BD8"/>
    <w:rsid w:val="483C8AA0"/>
    <w:rsid w:val="48407B6E"/>
    <w:rsid w:val="4843D093"/>
    <w:rsid w:val="4843D43B"/>
    <w:rsid w:val="484514F2"/>
    <w:rsid w:val="48453CEE"/>
    <w:rsid w:val="4848A487"/>
    <w:rsid w:val="4849070F"/>
    <w:rsid w:val="484A1E9B"/>
    <w:rsid w:val="484A7018"/>
    <w:rsid w:val="485169D3"/>
    <w:rsid w:val="48528C49"/>
    <w:rsid w:val="4856D8F4"/>
    <w:rsid w:val="48577F4A"/>
    <w:rsid w:val="485849DD"/>
    <w:rsid w:val="4859048C"/>
    <w:rsid w:val="48596B4F"/>
    <w:rsid w:val="485A272F"/>
    <w:rsid w:val="485A4C44"/>
    <w:rsid w:val="485C6815"/>
    <w:rsid w:val="485CC08A"/>
    <w:rsid w:val="485D2E07"/>
    <w:rsid w:val="485DACB8"/>
    <w:rsid w:val="485EBCA7"/>
    <w:rsid w:val="486065C5"/>
    <w:rsid w:val="48611893"/>
    <w:rsid w:val="4867DA29"/>
    <w:rsid w:val="486A4780"/>
    <w:rsid w:val="486B35C1"/>
    <w:rsid w:val="486E1B6C"/>
    <w:rsid w:val="486F212A"/>
    <w:rsid w:val="48708ACC"/>
    <w:rsid w:val="4870DB79"/>
    <w:rsid w:val="48715FF6"/>
    <w:rsid w:val="48716B52"/>
    <w:rsid w:val="48717CE4"/>
    <w:rsid w:val="4871EBCE"/>
    <w:rsid w:val="4875C150"/>
    <w:rsid w:val="487B4642"/>
    <w:rsid w:val="487DB08A"/>
    <w:rsid w:val="487E7741"/>
    <w:rsid w:val="4882F5E0"/>
    <w:rsid w:val="48837A61"/>
    <w:rsid w:val="48857D95"/>
    <w:rsid w:val="48881B6B"/>
    <w:rsid w:val="488D0464"/>
    <w:rsid w:val="48977B4A"/>
    <w:rsid w:val="48979A97"/>
    <w:rsid w:val="4897C8CC"/>
    <w:rsid w:val="48981425"/>
    <w:rsid w:val="4899CC64"/>
    <w:rsid w:val="4899DC0F"/>
    <w:rsid w:val="489C7429"/>
    <w:rsid w:val="489D9BDC"/>
    <w:rsid w:val="489DEB01"/>
    <w:rsid w:val="489E225D"/>
    <w:rsid w:val="48A0D0A3"/>
    <w:rsid w:val="48A18962"/>
    <w:rsid w:val="48A2ED1F"/>
    <w:rsid w:val="48A48B59"/>
    <w:rsid w:val="48A4E944"/>
    <w:rsid w:val="48A551A1"/>
    <w:rsid w:val="48A9425B"/>
    <w:rsid w:val="48AD03EE"/>
    <w:rsid w:val="48B013CC"/>
    <w:rsid w:val="48B06E73"/>
    <w:rsid w:val="48B185A3"/>
    <w:rsid w:val="48B26957"/>
    <w:rsid w:val="48B28A6F"/>
    <w:rsid w:val="48B2B948"/>
    <w:rsid w:val="48B87086"/>
    <w:rsid w:val="48B9171C"/>
    <w:rsid w:val="48BA9005"/>
    <w:rsid w:val="48BAE3E3"/>
    <w:rsid w:val="48BDE1C8"/>
    <w:rsid w:val="48C0B866"/>
    <w:rsid w:val="48C0E8C4"/>
    <w:rsid w:val="48C1B7CD"/>
    <w:rsid w:val="48C1CA1C"/>
    <w:rsid w:val="48C1D168"/>
    <w:rsid w:val="48C225BD"/>
    <w:rsid w:val="48C3A6F8"/>
    <w:rsid w:val="48C41F96"/>
    <w:rsid w:val="48C46856"/>
    <w:rsid w:val="48C60317"/>
    <w:rsid w:val="48C64CBB"/>
    <w:rsid w:val="48CAD7FA"/>
    <w:rsid w:val="48CD2261"/>
    <w:rsid w:val="48CFA7F8"/>
    <w:rsid w:val="48D03C21"/>
    <w:rsid w:val="48D2DE0F"/>
    <w:rsid w:val="48D43D76"/>
    <w:rsid w:val="48D6328D"/>
    <w:rsid w:val="48DA0143"/>
    <w:rsid w:val="48DA575C"/>
    <w:rsid w:val="48DCB579"/>
    <w:rsid w:val="48DD1C51"/>
    <w:rsid w:val="48E4A5E6"/>
    <w:rsid w:val="48EB33C7"/>
    <w:rsid w:val="48F29363"/>
    <w:rsid w:val="48F316D6"/>
    <w:rsid w:val="48F51CD4"/>
    <w:rsid w:val="48F617C8"/>
    <w:rsid w:val="48F66650"/>
    <w:rsid w:val="48F71450"/>
    <w:rsid w:val="48F729A8"/>
    <w:rsid w:val="48F7E04A"/>
    <w:rsid w:val="48F9791A"/>
    <w:rsid w:val="48F97C94"/>
    <w:rsid w:val="48FA123A"/>
    <w:rsid w:val="48FC9196"/>
    <w:rsid w:val="48FE00F0"/>
    <w:rsid w:val="48FE6FC8"/>
    <w:rsid w:val="49072EE6"/>
    <w:rsid w:val="4909542A"/>
    <w:rsid w:val="4909DA4C"/>
    <w:rsid w:val="490B8D88"/>
    <w:rsid w:val="490C83B9"/>
    <w:rsid w:val="490CAB22"/>
    <w:rsid w:val="490D6318"/>
    <w:rsid w:val="490FECB5"/>
    <w:rsid w:val="49102F68"/>
    <w:rsid w:val="4910D3B2"/>
    <w:rsid w:val="49123F1D"/>
    <w:rsid w:val="49132E68"/>
    <w:rsid w:val="49168A60"/>
    <w:rsid w:val="4918583D"/>
    <w:rsid w:val="491C2A73"/>
    <w:rsid w:val="491D8B80"/>
    <w:rsid w:val="491F3885"/>
    <w:rsid w:val="491FA55C"/>
    <w:rsid w:val="49283C8F"/>
    <w:rsid w:val="49288424"/>
    <w:rsid w:val="49289405"/>
    <w:rsid w:val="4928CB94"/>
    <w:rsid w:val="49298A8E"/>
    <w:rsid w:val="49299E9B"/>
    <w:rsid w:val="492B6739"/>
    <w:rsid w:val="492C605F"/>
    <w:rsid w:val="492EB6E9"/>
    <w:rsid w:val="4930A4F1"/>
    <w:rsid w:val="4931BF57"/>
    <w:rsid w:val="4933F31A"/>
    <w:rsid w:val="493458C1"/>
    <w:rsid w:val="4934A472"/>
    <w:rsid w:val="4935B387"/>
    <w:rsid w:val="49372570"/>
    <w:rsid w:val="4937C559"/>
    <w:rsid w:val="49382A28"/>
    <w:rsid w:val="4939A8D1"/>
    <w:rsid w:val="493B2477"/>
    <w:rsid w:val="493B7FAE"/>
    <w:rsid w:val="493E87D0"/>
    <w:rsid w:val="493E9A11"/>
    <w:rsid w:val="493F9A04"/>
    <w:rsid w:val="4941519E"/>
    <w:rsid w:val="494449C5"/>
    <w:rsid w:val="494BE69B"/>
    <w:rsid w:val="494C27B3"/>
    <w:rsid w:val="494EA9AF"/>
    <w:rsid w:val="49515483"/>
    <w:rsid w:val="4955024C"/>
    <w:rsid w:val="49561BDC"/>
    <w:rsid w:val="49577379"/>
    <w:rsid w:val="495774E4"/>
    <w:rsid w:val="49578C67"/>
    <w:rsid w:val="495B502E"/>
    <w:rsid w:val="495D21DE"/>
    <w:rsid w:val="495EBFCF"/>
    <w:rsid w:val="49606DDB"/>
    <w:rsid w:val="49609B75"/>
    <w:rsid w:val="49618514"/>
    <w:rsid w:val="4961FC51"/>
    <w:rsid w:val="49623273"/>
    <w:rsid w:val="4963D398"/>
    <w:rsid w:val="496783A7"/>
    <w:rsid w:val="4968BEFF"/>
    <w:rsid w:val="496ABD42"/>
    <w:rsid w:val="496B6DA3"/>
    <w:rsid w:val="496BABDF"/>
    <w:rsid w:val="496CDB6E"/>
    <w:rsid w:val="4973A9BE"/>
    <w:rsid w:val="4976FF0D"/>
    <w:rsid w:val="49772427"/>
    <w:rsid w:val="4980E781"/>
    <w:rsid w:val="49853ACA"/>
    <w:rsid w:val="4989D328"/>
    <w:rsid w:val="498CCFB2"/>
    <w:rsid w:val="4993A449"/>
    <w:rsid w:val="4994185F"/>
    <w:rsid w:val="49955490"/>
    <w:rsid w:val="499601B7"/>
    <w:rsid w:val="49973179"/>
    <w:rsid w:val="4998D021"/>
    <w:rsid w:val="499B248B"/>
    <w:rsid w:val="499D4D4A"/>
    <w:rsid w:val="499DA56F"/>
    <w:rsid w:val="499E1A8F"/>
    <w:rsid w:val="49A0A5F6"/>
    <w:rsid w:val="49A321A7"/>
    <w:rsid w:val="49A592AB"/>
    <w:rsid w:val="49A5F9D2"/>
    <w:rsid w:val="49A7B655"/>
    <w:rsid w:val="49A7E97F"/>
    <w:rsid w:val="49A80895"/>
    <w:rsid w:val="49A91988"/>
    <w:rsid w:val="49AA6F4E"/>
    <w:rsid w:val="49AB94CC"/>
    <w:rsid w:val="49AB9CDD"/>
    <w:rsid w:val="49AEEF0F"/>
    <w:rsid w:val="49B081C9"/>
    <w:rsid w:val="49B0F851"/>
    <w:rsid w:val="49B27EFB"/>
    <w:rsid w:val="49B615CA"/>
    <w:rsid w:val="49B6659B"/>
    <w:rsid w:val="49B9E535"/>
    <w:rsid w:val="49BD0F37"/>
    <w:rsid w:val="49BD273E"/>
    <w:rsid w:val="49BFB190"/>
    <w:rsid w:val="49BFC716"/>
    <w:rsid w:val="49C15B9C"/>
    <w:rsid w:val="49C18C59"/>
    <w:rsid w:val="49C24400"/>
    <w:rsid w:val="49C26419"/>
    <w:rsid w:val="49C6F2D2"/>
    <w:rsid w:val="49CE2F72"/>
    <w:rsid w:val="49CF65CA"/>
    <w:rsid w:val="49D044CB"/>
    <w:rsid w:val="49D671B3"/>
    <w:rsid w:val="49D6C684"/>
    <w:rsid w:val="49DA1B96"/>
    <w:rsid w:val="49DB2E49"/>
    <w:rsid w:val="49DCFC00"/>
    <w:rsid w:val="49DE1EF9"/>
    <w:rsid w:val="49DFE162"/>
    <w:rsid w:val="49E1067E"/>
    <w:rsid w:val="49E25259"/>
    <w:rsid w:val="49E32EBE"/>
    <w:rsid w:val="49E55979"/>
    <w:rsid w:val="49E81635"/>
    <w:rsid w:val="49E8D4FA"/>
    <w:rsid w:val="49E987E4"/>
    <w:rsid w:val="49EB5CF8"/>
    <w:rsid w:val="49EBFBE2"/>
    <w:rsid w:val="49EC45AF"/>
    <w:rsid w:val="49ED1A75"/>
    <w:rsid w:val="49EE8239"/>
    <w:rsid w:val="49EFC422"/>
    <w:rsid w:val="49F20A6D"/>
    <w:rsid w:val="49F45D15"/>
    <w:rsid w:val="49F56F66"/>
    <w:rsid w:val="49F668F8"/>
    <w:rsid w:val="49FAEE7A"/>
    <w:rsid w:val="49FC3B6B"/>
    <w:rsid w:val="49FC42AE"/>
    <w:rsid w:val="49FDAC9B"/>
    <w:rsid w:val="49FE2C1D"/>
    <w:rsid w:val="49FEAF52"/>
    <w:rsid w:val="4A0094F9"/>
    <w:rsid w:val="4A026A95"/>
    <w:rsid w:val="4A02A3F0"/>
    <w:rsid w:val="4A03ABFB"/>
    <w:rsid w:val="4A042858"/>
    <w:rsid w:val="4A05204E"/>
    <w:rsid w:val="4A06EA48"/>
    <w:rsid w:val="4A0C8C0A"/>
    <w:rsid w:val="4A0CA195"/>
    <w:rsid w:val="4A0D1C61"/>
    <w:rsid w:val="4A0E9A9A"/>
    <w:rsid w:val="4A0FE1B7"/>
    <w:rsid w:val="4A13CE58"/>
    <w:rsid w:val="4A154824"/>
    <w:rsid w:val="4A15806E"/>
    <w:rsid w:val="4A183F7C"/>
    <w:rsid w:val="4A18DAD3"/>
    <w:rsid w:val="4A1B1889"/>
    <w:rsid w:val="4A1B2BAF"/>
    <w:rsid w:val="4A1BF1BE"/>
    <w:rsid w:val="4A1C7FAE"/>
    <w:rsid w:val="4A1D019A"/>
    <w:rsid w:val="4A201594"/>
    <w:rsid w:val="4A2135C2"/>
    <w:rsid w:val="4A233AFF"/>
    <w:rsid w:val="4A252E09"/>
    <w:rsid w:val="4A27C4B6"/>
    <w:rsid w:val="4A27DCA5"/>
    <w:rsid w:val="4A28E4CD"/>
    <w:rsid w:val="4A2B5BC2"/>
    <w:rsid w:val="4A2C454D"/>
    <w:rsid w:val="4A2D17B7"/>
    <w:rsid w:val="4A2E072F"/>
    <w:rsid w:val="4A2F8576"/>
    <w:rsid w:val="4A34E6E1"/>
    <w:rsid w:val="4A34E7D3"/>
    <w:rsid w:val="4A3A2290"/>
    <w:rsid w:val="4A3AF266"/>
    <w:rsid w:val="4A3B88DD"/>
    <w:rsid w:val="4A3BDE04"/>
    <w:rsid w:val="4A3C2486"/>
    <w:rsid w:val="4A4216EF"/>
    <w:rsid w:val="4A426D6D"/>
    <w:rsid w:val="4A433FFF"/>
    <w:rsid w:val="4A435D9A"/>
    <w:rsid w:val="4A450C10"/>
    <w:rsid w:val="4A45453C"/>
    <w:rsid w:val="4A4563B4"/>
    <w:rsid w:val="4A45CEAD"/>
    <w:rsid w:val="4A477861"/>
    <w:rsid w:val="4A47C976"/>
    <w:rsid w:val="4A485FED"/>
    <w:rsid w:val="4A49532D"/>
    <w:rsid w:val="4A496F02"/>
    <w:rsid w:val="4A4D0CE6"/>
    <w:rsid w:val="4A4E3299"/>
    <w:rsid w:val="4A539944"/>
    <w:rsid w:val="4A53D00C"/>
    <w:rsid w:val="4A56F5F8"/>
    <w:rsid w:val="4A5745F7"/>
    <w:rsid w:val="4A583DCA"/>
    <w:rsid w:val="4A585767"/>
    <w:rsid w:val="4A5D5549"/>
    <w:rsid w:val="4A5DD374"/>
    <w:rsid w:val="4A5E9526"/>
    <w:rsid w:val="4A60C6CE"/>
    <w:rsid w:val="4A60F47F"/>
    <w:rsid w:val="4A62AA8A"/>
    <w:rsid w:val="4A642C3E"/>
    <w:rsid w:val="4A65751C"/>
    <w:rsid w:val="4A66102C"/>
    <w:rsid w:val="4A6679B7"/>
    <w:rsid w:val="4A67356F"/>
    <w:rsid w:val="4A674A9B"/>
    <w:rsid w:val="4A690EB1"/>
    <w:rsid w:val="4A6AF4F2"/>
    <w:rsid w:val="4A6E021C"/>
    <w:rsid w:val="4A745322"/>
    <w:rsid w:val="4A745B9E"/>
    <w:rsid w:val="4A795189"/>
    <w:rsid w:val="4A7BC2F5"/>
    <w:rsid w:val="4A7D3257"/>
    <w:rsid w:val="4A81646A"/>
    <w:rsid w:val="4A81692C"/>
    <w:rsid w:val="4A81C720"/>
    <w:rsid w:val="4A83C0B3"/>
    <w:rsid w:val="4A848780"/>
    <w:rsid w:val="4A87EEEF"/>
    <w:rsid w:val="4A906E5E"/>
    <w:rsid w:val="4A984BC5"/>
    <w:rsid w:val="4A9A7F79"/>
    <w:rsid w:val="4A9AF1F0"/>
    <w:rsid w:val="4A9BBC3C"/>
    <w:rsid w:val="4A9CE982"/>
    <w:rsid w:val="4A9E62E5"/>
    <w:rsid w:val="4AA3CB3B"/>
    <w:rsid w:val="4AA53599"/>
    <w:rsid w:val="4AA61A53"/>
    <w:rsid w:val="4AA64B2C"/>
    <w:rsid w:val="4AA65740"/>
    <w:rsid w:val="4AA6BC91"/>
    <w:rsid w:val="4AAA1C0C"/>
    <w:rsid w:val="4AAAC73F"/>
    <w:rsid w:val="4AABDDDF"/>
    <w:rsid w:val="4AABFE37"/>
    <w:rsid w:val="4AAD8E53"/>
    <w:rsid w:val="4AB08B32"/>
    <w:rsid w:val="4ABB809B"/>
    <w:rsid w:val="4ABB92F1"/>
    <w:rsid w:val="4ABD42FD"/>
    <w:rsid w:val="4AC210E0"/>
    <w:rsid w:val="4AC249DE"/>
    <w:rsid w:val="4AC28A78"/>
    <w:rsid w:val="4AC3A51D"/>
    <w:rsid w:val="4AC617C3"/>
    <w:rsid w:val="4AC71BAC"/>
    <w:rsid w:val="4AC851E2"/>
    <w:rsid w:val="4AC92AF7"/>
    <w:rsid w:val="4ACA2ABE"/>
    <w:rsid w:val="4ACCB094"/>
    <w:rsid w:val="4AD068B5"/>
    <w:rsid w:val="4AD39721"/>
    <w:rsid w:val="4AD588DC"/>
    <w:rsid w:val="4AD58D2D"/>
    <w:rsid w:val="4AD5E564"/>
    <w:rsid w:val="4AD62CB3"/>
    <w:rsid w:val="4AD6CDCA"/>
    <w:rsid w:val="4AD87D82"/>
    <w:rsid w:val="4ADAE08D"/>
    <w:rsid w:val="4ADC43AB"/>
    <w:rsid w:val="4ADCA879"/>
    <w:rsid w:val="4ADD81F5"/>
    <w:rsid w:val="4ADE2315"/>
    <w:rsid w:val="4ADFB7F0"/>
    <w:rsid w:val="4AE1B418"/>
    <w:rsid w:val="4AE39252"/>
    <w:rsid w:val="4AE71A81"/>
    <w:rsid w:val="4AE92928"/>
    <w:rsid w:val="4AE93842"/>
    <w:rsid w:val="4AE9A34F"/>
    <w:rsid w:val="4AEA62E7"/>
    <w:rsid w:val="4AEC9CDD"/>
    <w:rsid w:val="4AEFE6C0"/>
    <w:rsid w:val="4AF07E8B"/>
    <w:rsid w:val="4AF10C88"/>
    <w:rsid w:val="4AF23F28"/>
    <w:rsid w:val="4AF33FE3"/>
    <w:rsid w:val="4AF34112"/>
    <w:rsid w:val="4AF91043"/>
    <w:rsid w:val="4AF9D028"/>
    <w:rsid w:val="4AFBE9B3"/>
    <w:rsid w:val="4AFC26BF"/>
    <w:rsid w:val="4AFC2B64"/>
    <w:rsid w:val="4AFC958A"/>
    <w:rsid w:val="4AFCA23F"/>
    <w:rsid w:val="4AFE4F9F"/>
    <w:rsid w:val="4B00031D"/>
    <w:rsid w:val="4B008B2D"/>
    <w:rsid w:val="4B01D5B1"/>
    <w:rsid w:val="4B02D559"/>
    <w:rsid w:val="4B02FF6C"/>
    <w:rsid w:val="4B042EC7"/>
    <w:rsid w:val="4B044F92"/>
    <w:rsid w:val="4B04BE2B"/>
    <w:rsid w:val="4B05B771"/>
    <w:rsid w:val="4B06B569"/>
    <w:rsid w:val="4B07709F"/>
    <w:rsid w:val="4B07C552"/>
    <w:rsid w:val="4B07E4DE"/>
    <w:rsid w:val="4B0903CC"/>
    <w:rsid w:val="4B0BF6A3"/>
    <w:rsid w:val="4B11AC3B"/>
    <w:rsid w:val="4B13FD22"/>
    <w:rsid w:val="4B14BA39"/>
    <w:rsid w:val="4B168AFF"/>
    <w:rsid w:val="4B1B8850"/>
    <w:rsid w:val="4B1CB1C4"/>
    <w:rsid w:val="4B1D0EA1"/>
    <w:rsid w:val="4B1FE601"/>
    <w:rsid w:val="4B21579F"/>
    <w:rsid w:val="4B23D78E"/>
    <w:rsid w:val="4B2B6961"/>
    <w:rsid w:val="4B2C42D5"/>
    <w:rsid w:val="4B319BF4"/>
    <w:rsid w:val="4B32DF5E"/>
    <w:rsid w:val="4B3695A8"/>
    <w:rsid w:val="4B3B50BF"/>
    <w:rsid w:val="4B3F1568"/>
    <w:rsid w:val="4B413523"/>
    <w:rsid w:val="4B429269"/>
    <w:rsid w:val="4B46556D"/>
    <w:rsid w:val="4B46E8B8"/>
    <w:rsid w:val="4B475408"/>
    <w:rsid w:val="4B48453D"/>
    <w:rsid w:val="4B4A4D9F"/>
    <w:rsid w:val="4B4C42C2"/>
    <w:rsid w:val="4B510F35"/>
    <w:rsid w:val="4B512F5C"/>
    <w:rsid w:val="4B51F41F"/>
    <w:rsid w:val="4B5238F7"/>
    <w:rsid w:val="4B547FFC"/>
    <w:rsid w:val="4B563282"/>
    <w:rsid w:val="4B575827"/>
    <w:rsid w:val="4B57AE7B"/>
    <w:rsid w:val="4B5810A3"/>
    <w:rsid w:val="4B5878A4"/>
    <w:rsid w:val="4B5B9CB8"/>
    <w:rsid w:val="4B5BB0EE"/>
    <w:rsid w:val="4B5C9CD2"/>
    <w:rsid w:val="4B5E07CD"/>
    <w:rsid w:val="4B5E1ECC"/>
    <w:rsid w:val="4B5E2258"/>
    <w:rsid w:val="4B5E8388"/>
    <w:rsid w:val="4B5EAA95"/>
    <w:rsid w:val="4B5F6120"/>
    <w:rsid w:val="4B619553"/>
    <w:rsid w:val="4B61AA78"/>
    <w:rsid w:val="4B62EE38"/>
    <w:rsid w:val="4B62F4A2"/>
    <w:rsid w:val="4B66B409"/>
    <w:rsid w:val="4B66E833"/>
    <w:rsid w:val="4B671CF3"/>
    <w:rsid w:val="4B698F85"/>
    <w:rsid w:val="4B6AF6D7"/>
    <w:rsid w:val="4B6B1369"/>
    <w:rsid w:val="4B6E2CF4"/>
    <w:rsid w:val="4B6E2D11"/>
    <w:rsid w:val="4B70AA0F"/>
    <w:rsid w:val="4B70BD50"/>
    <w:rsid w:val="4B70D322"/>
    <w:rsid w:val="4B719B63"/>
    <w:rsid w:val="4B71D696"/>
    <w:rsid w:val="4B7277A4"/>
    <w:rsid w:val="4B72D5C8"/>
    <w:rsid w:val="4B734285"/>
    <w:rsid w:val="4B737E99"/>
    <w:rsid w:val="4B747E3A"/>
    <w:rsid w:val="4B7674A0"/>
    <w:rsid w:val="4B77BD89"/>
    <w:rsid w:val="4B780126"/>
    <w:rsid w:val="4B7DE4D9"/>
    <w:rsid w:val="4B7EF0C8"/>
    <w:rsid w:val="4B80777F"/>
    <w:rsid w:val="4B810DE9"/>
    <w:rsid w:val="4B82A29D"/>
    <w:rsid w:val="4B82CCD4"/>
    <w:rsid w:val="4B869AF1"/>
    <w:rsid w:val="4B8955E6"/>
    <w:rsid w:val="4B89B87C"/>
    <w:rsid w:val="4B8BA05A"/>
    <w:rsid w:val="4B8D16D4"/>
    <w:rsid w:val="4B8F2C11"/>
    <w:rsid w:val="4B91BDA6"/>
    <w:rsid w:val="4B928211"/>
    <w:rsid w:val="4B98DCCB"/>
    <w:rsid w:val="4B9B102E"/>
    <w:rsid w:val="4B9B9E0C"/>
    <w:rsid w:val="4B9BE38D"/>
    <w:rsid w:val="4BA0C55A"/>
    <w:rsid w:val="4BA30DCA"/>
    <w:rsid w:val="4BA97E1C"/>
    <w:rsid w:val="4BAB951C"/>
    <w:rsid w:val="4BAD9B02"/>
    <w:rsid w:val="4BAEBD85"/>
    <w:rsid w:val="4BAF8947"/>
    <w:rsid w:val="4BB150CF"/>
    <w:rsid w:val="4BB3DE85"/>
    <w:rsid w:val="4BB4C25C"/>
    <w:rsid w:val="4BB8D5E5"/>
    <w:rsid w:val="4BBA411C"/>
    <w:rsid w:val="4BC09E20"/>
    <w:rsid w:val="4BC4138A"/>
    <w:rsid w:val="4BC47236"/>
    <w:rsid w:val="4BC57B03"/>
    <w:rsid w:val="4BC63B5F"/>
    <w:rsid w:val="4BC702F2"/>
    <w:rsid w:val="4BC785DE"/>
    <w:rsid w:val="4BC9B5E8"/>
    <w:rsid w:val="4BCA72AE"/>
    <w:rsid w:val="4BCF4176"/>
    <w:rsid w:val="4BD10963"/>
    <w:rsid w:val="4BD31F6E"/>
    <w:rsid w:val="4BD36F28"/>
    <w:rsid w:val="4BD41D98"/>
    <w:rsid w:val="4BD558F4"/>
    <w:rsid w:val="4BD6451B"/>
    <w:rsid w:val="4BDE9178"/>
    <w:rsid w:val="4BDEB7F5"/>
    <w:rsid w:val="4BDEDFA7"/>
    <w:rsid w:val="4BE30618"/>
    <w:rsid w:val="4BE4A625"/>
    <w:rsid w:val="4BE62645"/>
    <w:rsid w:val="4BE717FE"/>
    <w:rsid w:val="4BE80E3C"/>
    <w:rsid w:val="4BE95F00"/>
    <w:rsid w:val="4BE96264"/>
    <w:rsid w:val="4BEBFC63"/>
    <w:rsid w:val="4BECA986"/>
    <w:rsid w:val="4BECC3D7"/>
    <w:rsid w:val="4BED40B7"/>
    <w:rsid w:val="4BED5C91"/>
    <w:rsid w:val="4BF0461C"/>
    <w:rsid w:val="4BF1F205"/>
    <w:rsid w:val="4BF28D2E"/>
    <w:rsid w:val="4BF5A7C6"/>
    <w:rsid w:val="4BF65A0F"/>
    <w:rsid w:val="4BF7154F"/>
    <w:rsid w:val="4BF7ADEF"/>
    <w:rsid w:val="4BFBAD65"/>
    <w:rsid w:val="4BFC9A51"/>
    <w:rsid w:val="4BFCA77E"/>
    <w:rsid w:val="4C00C375"/>
    <w:rsid w:val="4C0273AF"/>
    <w:rsid w:val="4C03052B"/>
    <w:rsid w:val="4C03F4E4"/>
    <w:rsid w:val="4C07DAC8"/>
    <w:rsid w:val="4C09093B"/>
    <w:rsid w:val="4C0A3B3F"/>
    <w:rsid w:val="4C0A745D"/>
    <w:rsid w:val="4C0AEF8B"/>
    <w:rsid w:val="4C0B12D6"/>
    <w:rsid w:val="4C0C8231"/>
    <w:rsid w:val="4C0D9FF5"/>
    <w:rsid w:val="4C0E3895"/>
    <w:rsid w:val="4C12B4F7"/>
    <w:rsid w:val="4C136D0E"/>
    <w:rsid w:val="4C152244"/>
    <w:rsid w:val="4C16800F"/>
    <w:rsid w:val="4C179A82"/>
    <w:rsid w:val="4C1B8C06"/>
    <w:rsid w:val="4C1C7F91"/>
    <w:rsid w:val="4C1E2F55"/>
    <w:rsid w:val="4C205A54"/>
    <w:rsid w:val="4C212822"/>
    <w:rsid w:val="4C214118"/>
    <w:rsid w:val="4C2197BD"/>
    <w:rsid w:val="4C220DD0"/>
    <w:rsid w:val="4C22ADC8"/>
    <w:rsid w:val="4C2487F1"/>
    <w:rsid w:val="4C258145"/>
    <w:rsid w:val="4C2914B4"/>
    <w:rsid w:val="4C2A100E"/>
    <w:rsid w:val="4C2AB97F"/>
    <w:rsid w:val="4C2C7588"/>
    <w:rsid w:val="4C2D9691"/>
    <w:rsid w:val="4C2F85AD"/>
    <w:rsid w:val="4C2FBCC9"/>
    <w:rsid w:val="4C328313"/>
    <w:rsid w:val="4C3320EA"/>
    <w:rsid w:val="4C335B59"/>
    <w:rsid w:val="4C3C1E33"/>
    <w:rsid w:val="4C3CC2CC"/>
    <w:rsid w:val="4C3CFDB9"/>
    <w:rsid w:val="4C3D19FE"/>
    <w:rsid w:val="4C3EAFE5"/>
    <w:rsid w:val="4C3F7DED"/>
    <w:rsid w:val="4C40941D"/>
    <w:rsid w:val="4C4163B0"/>
    <w:rsid w:val="4C42DAA5"/>
    <w:rsid w:val="4C43B027"/>
    <w:rsid w:val="4C44C030"/>
    <w:rsid w:val="4C4508CF"/>
    <w:rsid w:val="4C48CF7C"/>
    <w:rsid w:val="4C49E12E"/>
    <w:rsid w:val="4C4A21AD"/>
    <w:rsid w:val="4C4A9054"/>
    <w:rsid w:val="4C4B0980"/>
    <w:rsid w:val="4C4D7DED"/>
    <w:rsid w:val="4C4DEEEC"/>
    <w:rsid w:val="4C5145B5"/>
    <w:rsid w:val="4C52CA01"/>
    <w:rsid w:val="4C52EA72"/>
    <w:rsid w:val="4C54D649"/>
    <w:rsid w:val="4C556EA6"/>
    <w:rsid w:val="4C56AA52"/>
    <w:rsid w:val="4C58E90F"/>
    <w:rsid w:val="4C598A29"/>
    <w:rsid w:val="4C5BF62D"/>
    <w:rsid w:val="4C5C6FE9"/>
    <w:rsid w:val="4C5D5918"/>
    <w:rsid w:val="4C5F0EB1"/>
    <w:rsid w:val="4C5F7FA7"/>
    <w:rsid w:val="4C5FC368"/>
    <w:rsid w:val="4C62C41F"/>
    <w:rsid w:val="4C64FB58"/>
    <w:rsid w:val="4C6568D7"/>
    <w:rsid w:val="4C6599BA"/>
    <w:rsid w:val="4C673B68"/>
    <w:rsid w:val="4C67B319"/>
    <w:rsid w:val="4C6902A3"/>
    <w:rsid w:val="4C69A58B"/>
    <w:rsid w:val="4C6C466E"/>
    <w:rsid w:val="4C6CDBC6"/>
    <w:rsid w:val="4C6DEA86"/>
    <w:rsid w:val="4C6FDAD8"/>
    <w:rsid w:val="4C724564"/>
    <w:rsid w:val="4C725590"/>
    <w:rsid w:val="4C733315"/>
    <w:rsid w:val="4C736D58"/>
    <w:rsid w:val="4C73AB2D"/>
    <w:rsid w:val="4C75CF3A"/>
    <w:rsid w:val="4C78F6CF"/>
    <w:rsid w:val="4C791138"/>
    <w:rsid w:val="4C7DEBCD"/>
    <w:rsid w:val="4C7F5D14"/>
    <w:rsid w:val="4C80D0DC"/>
    <w:rsid w:val="4C819AE5"/>
    <w:rsid w:val="4C821347"/>
    <w:rsid w:val="4C82A59A"/>
    <w:rsid w:val="4C848CBB"/>
    <w:rsid w:val="4C8654E8"/>
    <w:rsid w:val="4C86AD12"/>
    <w:rsid w:val="4C88D672"/>
    <w:rsid w:val="4C8913F9"/>
    <w:rsid w:val="4C895585"/>
    <w:rsid w:val="4C897A3F"/>
    <w:rsid w:val="4C8BF08F"/>
    <w:rsid w:val="4C8DF882"/>
    <w:rsid w:val="4C90640E"/>
    <w:rsid w:val="4C907E70"/>
    <w:rsid w:val="4C90F1C9"/>
    <w:rsid w:val="4C913676"/>
    <w:rsid w:val="4C92956F"/>
    <w:rsid w:val="4C9308E0"/>
    <w:rsid w:val="4C931F3A"/>
    <w:rsid w:val="4C958237"/>
    <w:rsid w:val="4C972ED3"/>
    <w:rsid w:val="4C9992D2"/>
    <w:rsid w:val="4C9CD284"/>
    <w:rsid w:val="4C9F2419"/>
    <w:rsid w:val="4CA07DFF"/>
    <w:rsid w:val="4CA1BF98"/>
    <w:rsid w:val="4CA42404"/>
    <w:rsid w:val="4CA4D28A"/>
    <w:rsid w:val="4CA550A6"/>
    <w:rsid w:val="4CA5B841"/>
    <w:rsid w:val="4CA67417"/>
    <w:rsid w:val="4CA71292"/>
    <w:rsid w:val="4CA7D7AB"/>
    <w:rsid w:val="4CA9588D"/>
    <w:rsid w:val="4CAD7B3C"/>
    <w:rsid w:val="4CADEACC"/>
    <w:rsid w:val="4CAF8F27"/>
    <w:rsid w:val="4CB1D20A"/>
    <w:rsid w:val="4CB1EB1D"/>
    <w:rsid w:val="4CB3C94E"/>
    <w:rsid w:val="4CB3DFDD"/>
    <w:rsid w:val="4CB83A60"/>
    <w:rsid w:val="4CB9228A"/>
    <w:rsid w:val="4CBC710E"/>
    <w:rsid w:val="4CBCE0E4"/>
    <w:rsid w:val="4CBDF942"/>
    <w:rsid w:val="4CC04F84"/>
    <w:rsid w:val="4CC6C009"/>
    <w:rsid w:val="4CC88374"/>
    <w:rsid w:val="4CCA26B6"/>
    <w:rsid w:val="4CCBCDF8"/>
    <w:rsid w:val="4CCCE523"/>
    <w:rsid w:val="4CD0F2BD"/>
    <w:rsid w:val="4CD1ED9D"/>
    <w:rsid w:val="4CD2B689"/>
    <w:rsid w:val="4CD2DA8E"/>
    <w:rsid w:val="4CD98CCE"/>
    <w:rsid w:val="4CDA654E"/>
    <w:rsid w:val="4CE1ACFC"/>
    <w:rsid w:val="4CE3BD49"/>
    <w:rsid w:val="4CE87BAA"/>
    <w:rsid w:val="4CEB41BA"/>
    <w:rsid w:val="4CEC636E"/>
    <w:rsid w:val="4CEDE5EE"/>
    <w:rsid w:val="4CEEEB0C"/>
    <w:rsid w:val="4CEF5EAB"/>
    <w:rsid w:val="4CF04DF9"/>
    <w:rsid w:val="4CF39347"/>
    <w:rsid w:val="4CF4DEBD"/>
    <w:rsid w:val="4CF82BCB"/>
    <w:rsid w:val="4CF8C429"/>
    <w:rsid w:val="4CF8DCA8"/>
    <w:rsid w:val="4CFBF6F8"/>
    <w:rsid w:val="4CFC145F"/>
    <w:rsid w:val="4CFC269E"/>
    <w:rsid w:val="4CFC2E97"/>
    <w:rsid w:val="4CFEFA37"/>
    <w:rsid w:val="4CFF9BE4"/>
    <w:rsid w:val="4D029659"/>
    <w:rsid w:val="4D0353A2"/>
    <w:rsid w:val="4D042EB9"/>
    <w:rsid w:val="4D051DF7"/>
    <w:rsid w:val="4D057144"/>
    <w:rsid w:val="4D068076"/>
    <w:rsid w:val="4D0734E9"/>
    <w:rsid w:val="4D076A74"/>
    <w:rsid w:val="4D08A6C9"/>
    <w:rsid w:val="4D08A936"/>
    <w:rsid w:val="4D08CFF4"/>
    <w:rsid w:val="4D0A749A"/>
    <w:rsid w:val="4D0DFEAD"/>
    <w:rsid w:val="4D0F75CF"/>
    <w:rsid w:val="4D110022"/>
    <w:rsid w:val="4D16D60B"/>
    <w:rsid w:val="4D16E0AD"/>
    <w:rsid w:val="4D174A1B"/>
    <w:rsid w:val="4D19395D"/>
    <w:rsid w:val="4D1A5CAE"/>
    <w:rsid w:val="4D1B30CF"/>
    <w:rsid w:val="4D1C2711"/>
    <w:rsid w:val="4D1E3664"/>
    <w:rsid w:val="4D1F13C2"/>
    <w:rsid w:val="4D208773"/>
    <w:rsid w:val="4D20985E"/>
    <w:rsid w:val="4D21372E"/>
    <w:rsid w:val="4D232B03"/>
    <w:rsid w:val="4D232CA6"/>
    <w:rsid w:val="4D261733"/>
    <w:rsid w:val="4D28C9D4"/>
    <w:rsid w:val="4D2E848D"/>
    <w:rsid w:val="4D313814"/>
    <w:rsid w:val="4D33CFD6"/>
    <w:rsid w:val="4D37EE35"/>
    <w:rsid w:val="4D3AEB85"/>
    <w:rsid w:val="4D3D2CAA"/>
    <w:rsid w:val="4D3D6F94"/>
    <w:rsid w:val="4D3E2242"/>
    <w:rsid w:val="4D3EDE62"/>
    <w:rsid w:val="4D3F67B0"/>
    <w:rsid w:val="4D415C77"/>
    <w:rsid w:val="4D41C99F"/>
    <w:rsid w:val="4D438D81"/>
    <w:rsid w:val="4D441A10"/>
    <w:rsid w:val="4D452A8F"/>
    <w:rsid w:val="4D462B06"/>
    <w:rsid w:val="4D47D670"/>
    <w:rsid w:val="4D488225"/>
    <w:rsid w:val="4D4A479F"/>
    <w:rsid w:val="4D4EA2E9"/>
    <w:rsid w:val="4D4FEF1C"/>
    <w:rsid w:val="4D5246A4"/>
    <w:rsid w:val="4D553EB6"/>
    <w:rsid w:val="4D55D9AE"/>
    <w:rsid w:val="4D55DFF1"/>
    <w:rsid w:val="4D55F74D"/>
    <w:rsid w:val="4D56F179"/>
    <w:rsid w:val="4D57283E"/>
    <w:rsid w:val="4D584E1A"/>
    <w:rsid w:val="4D5965F1"/>
    <w:rsid w:val="4D5A6A4C"/>
    <w:rsid w:val="4D5D9A2F"/>
    <w:rsid w:val="4D60252E"/>
    <w:rsid w:val="4D606DF9"/>
    <w:rsid w:val="4D618080"/>
    <w:rsid w:val="4D62AE7F"/>
    <w:rsid w:val="4D63507D"/>
    <w:rsid w:val="4D692FA3"/>
    <w:rsid w:val="4D6AE9DB"/>
    <w:rsid w:val="4D6BE349"/>
    <w:rsid w:val="4D7014D8"/>
    <w:rsid w:val="4D70E518"/>
    <w:rsid w:val="4D7215A5"/>
    <w:rsid w:val="4D721A3F"/>
    <w:rsid w:val="4D774C1E"/>
    <w:rsid w:val="4D78AEB7"/>
    <w:rsid w:val="4D7B87D5"/>
    <w:rsid w:val="4D827981"/>
    <w:rsid w:val="4D89E700"/>
    <w:rsid w:val="4D8B734B"/>
    <w:rsid w:val="4D8DB06A"/>
    <w:rsid w:val="4D8DFB84"/>
    <w:rsid w:val="4D8F3F61"/>
    <w:rsid w:val="4D8FD29B"/>
    <w:rsid w:val="4D8FDB4B"/>
    <w:rsid w:val="4D902EF0"/>
    <w:rsid w:val="4D905F78"/>
    <w:rsid w:val="4D918B3E"/>
    <w:rsid w:val="4D920EFF"/>
    <w:rsid w:val="4D939C4A"/>
    <w:rsid w:val="4D93D809"/>
    <w:rsid w:val="4D9758CC"/>
    <w:rsid w:val="4D975AAF"/>
    <w:rsid w:val="4D99D112"/>
    <w:rsid w:val="4D9C9E85"/>
    <w:rsid w:val="4D9EBB21"/>
    <w:rsid w:val="4D9F6084"/>
    <w:rsid w:val="4DA24033"/>
    <w:rsid w:val="4DA3F979"/>
    <w:rsid w:val="4DA4E190"/>
    <w:rsid w:val="4DA52F6A"/>
    <w:rsid w:val="4DA5E066"/>
    <w:rsid w:val="4DA75366"/>
    <w:rsid w:val="4DA80722"/>
    <w:rsid w:val="4DA86D2D"/>
    <w:rsid w:val="4DAC976C"/>
    <w:rsid w:val="4DAF45AC"/>
    <w:rsid w:val="4DB017FF"/>
    <w:rsid w:val="4DB32CFB"/>
    <w:rsid w:val="4DB495DC"/>
    <w:rsid w:val="4DB4E873"/>
    <w:rsid w:val="4DB5B044"/>
    <w:rsid w:val="4DB62699"/>
    <w:rsid w:val="4DB71D5A"/>
    <w:rsid w:val="4DB73334"/>
    <w:rsid w:val="4DB76BFF"/>
    <w:rsid w:val="4DB99383"/>
    <w:rsid w:val="4DB9CD28"/>
    <w:rsid w:val="4DBC6ECA"/>
    <w:rsid w:val="4DBCC952"/>
    <w:rsid w:val="4DBD582A"/>
    <w:rsid w:val="4DBEC56C"/>
    <w:rsid w:val="4DC22BFB"/>
    <w:rsid w:val="4DC75975"/>
    <w:rsid w:val="4DC75A45"/>
    <w:rsid w:val="4DC7992C"/>
    <w:rsid w:val="4DC81289"/>
    <w:rsid w:val="4DCB09BF"/>
    <w:rsid w:val="4DCD8E94"/>
    <w:rsid w:val="4DCDA825"/>
    <w:rsid w:val="4DCF9BB6"/>
    <w:rsid w:val="4DD192D9"/>
    <w:rsid w:val="4DD2C0EC"/>
    <w:rsid w:val="4DD3280C"/>
    <w:rsid w:val="4DD348E3"/>
    <w:rsid w:val="4DD9DA12"/>
    <w:rsid w:val="4DDC2D53"/>
    <w:rsid w:val="4DDC72B8"/>
    <w:rsid w:val="4DDCD8A4"/>
    <w:rsid w:val="4DDD38E4"/>
    <w:rsid w:val="4DDD6887"/>
    <w:rsid w:val="4DDE6436"/>
    <w:rsid w:val="4DE4BC4E"/>
    <w:rsid w:val="4DE62818"/>
    <w:rsid w:val="4DE768FB"/>
    <w:rsid w:val="4DE89BF0"/>
    <w:rsid w:val="4DE96A07"/>
    <w:rsid w:val="4DE96E2C"/>
    <w:rsid w:val="4DEA5376"/>
    <w:rsid w:val="4DEB32A4"/>
    <w:rsid w:val="4DEC2779"/>
    <w:rsid w:val="4DEE9CD9"/>
    <w:rsid w:val="4DEF5065"/>
    <w:rsid w:val="4DF0AC30"/>
    <w:rsid w:val="4DF14DD0"/>
    <w:rsid w:val="4DF37B81"/>
    <w:rsid w:val="4DF3C3FF"/>
    <w:rsid w:val="4DF4B4AE"/>
    <w:rsid w:val="4DF50EC3"/>
    <w:rsid w:val="4DF65111"/>
    <w:rsid w:val="4DF77DA7"/>
    <w:rsid w:val="4DFA8E7B"/>
    <w:rsid w:val="4DFB45DF"/>
    <w:rsid w:val="4DFC58E4"/>
    <w:rsid w:val="4DFEAA5B"/>
    <w:rsid w:val="4DFEC07E"/>
    <w:rsid w:val="4DFF8F87"/>
    <w:rsid w:val="4DFFD31A"/>
    <w:rsid w:val="4E0016E7"/>
    <w:rsid w:val="4E05E5E5"/>
    <w:rsid w:val="4E083247"/>
    <w:rsid w:val="4E09B68B"/>
    <w:rsid w:val="4E09C045"/>
    <w:rsid w:val="4E0A31EC"/>
    <w:rsid w:val="4E0EF45C"/>
    <w:rsid w:val="4E114CEE"/>
    <w:rsid w:val="4E1291AE"/>
    <w:rsid w:val="4E1388B5"/>
    <w:rsid w:val="4E15AC0E"/>
    <w:rsid w:val="4E17CBFD"/>
    <w:rsid w:val="4E188442"/>
    <w:rsid w:val="4E188AB9"/>
    <w:rsid w:val="4E190D26"/>
    <w:rsid w:val="4E19997D"/>
    <w:rsid w:val="4E1AACD3"/>
    <w:rsid w:val="4E1BA9FA"/>
    <w:rsid w:val="4E1C41AF"/>
    <w:rsid w:val="4E2C0FC9"/>
    <w:rsid w:val="4E307BFE"/>
    <w:rsid w:val="4E3224AE"/>
    <w:rsid w:val="4E32DFE9"/>
    <w:rsid w:val="4E370C0D"/>
    <w:rsid w:val="4E3760A8"/>
    <w:rsid w:val="4E3A0D23"/>
    <w:rsid w:val="4E3B9ECD"/>
    <w:rsid w:val="4E3ED95B"/>
    <w:rsid w:val="4E4112A6"/>
    <w:rsid w:val="4E4272FE"/>
    <w:rsid w:val="4E4605CF"/>
    <w:rsid w:val="4E480FBF"/>
    <w:rsid w:val="4E4898EB"/>
    <w:rsid w:val="4E4BDDBB"/>
    <w:rsid w:val="4E4C4E86"/>
    <w:rsid w:val="4E4E6D6A"/>
    <w:rsid w:val="4E4EF1E1"/>
    <w:rsid w:val="4E505772"/>
    <w:rsid w:val="4E509C28"/>
    <w:rsid w:val="4E50AEF7"/>
    <w:rsid w:val="4E51EF41"/>
    <w:rsid w:val="4E530CA5"/>
    <w:rsid w:val="4E584103"/>
    <w:rsid w:val="4E5A431A"/>
    <w:rsid w:val="4E5BFEA1"/>
    <w:rsid w:val="4E5C4722"/>
    <w:rsid w:val="4E633CA5"/>
    <w:rsid w:val="4E65263E"/>
    <w:rsid w:val="4E6762A9"/>
    <w:rsid w:val="4E679308"/>
    <w:rsid w:val="4E689D79"/>
    <w:rsid w:val="4E695F3A"/>
    <w:rsid w:val="4E698AA9"/>
    <w:rsid w:val="4E6A98F6"/>
    <w:rsid w:val="4E6DBDCE"/>
    <w:rsid w:val="4E6F7205"/>
    <w:rsid w:val="4E714687"/>
    <w:rsid w:val="4E7246B7"/>
    <w:rsid w:val="4E729560"/>
    <w:rsid w:val="4E796A40"/>
    <w:rsid w:val="4E7E23D3"/>
    <w:rsid w:val="4E7EC49E"/>
    <w:rsid w:val="4E7FC623"/>
    <w:rsid w:val="4E8134C1"/>
    <w:rsid w:val="4E814E35"/>
    <w:rsid w:val="4E879614"/>
    <w:rsid w:val="4E8998D6"/>
    <w:rsid w:val="4E89D4D0"/>
    <w:rsid w:val="4E8E0D2C"/>
    <w:rsid w:val="4E9525DE"/>
    <w:rsid w:val="4E95CA50"/>
    <w:rsid w:val="4E962512"/>
    <w:rsid w:val="4E99F16C"/>
    <w:rsid w:val="4E9AAD2A"/>
    <w:rsid w:val="4E9DB34D"/>
    <w:rsid w:val="4E9DDE48"/>
    <w:rsid w:val="4E9E05AA"/>
    <w:rsid w:val="4E9E3483"/>
    <w:rsid w:val="4E9F8492"/>
    <w:rsid w:val="4EA406C8"/>
    <w:rsid w:val="4EA761A7"/>
    <w:rsid w:val="4EA796CE"/>
    <w:rsid w:val="4EA86CD4"/>
    <w:rsid w:val="4EAB6449"/>
    <w:rsid w:val="4EAD0B89"/>
    <w:rsid w:val="4EB04319"/>
    <w:rsid w:val="4EB66076"/>
    <w:rsid w:val="4EB978D5"/>
    <w:rsid w:val="4EBEEFFE"/>
    <w:rsid w:val="4EC3427B"/>
    <w:rsid w:val="4EC5A7CE"/>
    <w:rsid w:val="4EC723E6"/>
    <w:rsid w:val="4EC73275"/>
    <w:rsid w:val="4EC83DCF"/>
    <w:rsid w:val="4ECAD32F"/>
    <w:rsid w:val="4ECB7088"/>
    <w:rsid w:val="4ECD5A84"/>
    <w:rsid w:val="4ECEDAAB"/>
    <w:rsid w:val="4ECFFF9F"/>
    <w:rsid w:val="4ED0F987"/>
    <w:rsid w:val="4ED39D13"/>
    <w:rsid w:val="4ED6CC90"/>
    <w:rsid w:val="4ED911A2"/>
    <w:rsid w:val="4ED981D2"/>
    <w:rsid w:val="4EDA6099"/>
    <w:rsid w:val="4EDB51AA"/>
    <w:rsid w:val="4EDE0354"/>
    <w:rsid w:val="4EE30A5E"/>
    <w:rsid w:val="4EE48726"/>
    <w:rsid w:val="4EE78AD3"/>
    <w:rsid w:val="4EE79F4C"/>
    <w:rsid w:val="4EE90322"/>
    <w:rsid w:val="4EEA6407"/>
    <w:rsid w:val="4EEBFCBE"/>
    <w:rsid w:val="4EEDBBFE"/>
    <w:rsid w:val="4EF05625"/>
    <w:rsid w:val="4EF0DE8E"/>
    <w:rsid w:val="4EF1D00D"/>
    <w:rsid w:val="4EF32BAF"/>
    <w:rsid w:val="4EF358FA"/>
    <w:rsid w:val="4EF4339A"/>
    <w:rsid w:val="4EF69B75"/>
    <w:rsid w:val="4EFB0747"/>
    <w:rsid w:val="4EFB0FC2"/>
    <w:rsid w:val="4EFE38C8"/>
    <w:rsid w:val="4F019157"/>
    <w:rsid w:val="4F051AAF"/>
    <w:rsid w:val="4F0749A6"/>
    <w:rsid w:val="4F0831B2"/>
    <w:rsid w:val="4F0B8F44"/>
    <w:rsid w:val="4F0BB7ED"/>
    <w:rsid w:val="4F0DCE1A"/>
    <w:rsid w:val="4F0DECDD"/>
    <w:rsid w:val="4F0DFD47"/>
    <w:rsid w:val="4F102F02"/>
    <w:rsid w:val="4F116382"/>
    <w:rsid w:val="4F11A5BE"/>
    <w:rsid w:val="4F15E624"/>
    <w:rsid w:val="4F167EA9"/>
    <w:rsid w:val="4F1CC119"/>
    <w:rsid w:val="4F1CEB4E"/>
    <w:rsid w:val="4F1D95FB"/>
    <w:rsid w:val="4F1D9B20"/>
    <w:rsid w:val="4F1DD0D9"/>
    <w:rsid w:val="4F1E347A"/>
    <w:rsid w:val="4F1EB1A0"/>
    <w:rsid w:val="4F223001"/>
    <w:rsid w:val="4F22CC62"/>
    <w:rsid w:val="4F250FAD"/>
    <w:rsid w:val="4F27AFE2"/>
    <w:rsid w:val="4F2829FD"/>
    <w:rsid w:val="4F284311"/>
    <w:rsid w:val="4F295FE6"/>
    <w:rsid w:val="4F2B7AC4"/>
    <w:rsid w:val="4F2EA2EC"/>
    <w:rsid w:val="4F2FB0AE"/>
    <w:rsid w:val="4F309A37"/>
    <w:rsid w:val="4F311077"/>
    <w:rsid w:val="4F32B547"/>
    <w:rsid w:val="4F371026"/>
    <w:rsid w:val="4F3D9F69"/>
    <w:rsid w:val="4F3E1D34"/>
    <w:rsid w:val="4F41F974"/>
    <w:rsid w:val="4F43AAE9"/>
    <w:rsid w:val="4F43EDB0"/>
    <w:rsid w:val="4F45887A"/>
    <w:rsid w:val="4F4692A1"/>
    <w:rsid w:val="4F480CEE"/>
    <w:rsid w:val="4F49B1FD"/>
    <w:rsid w:val="4F4AA5B1"/>
    <w:rsid w:val="4F4AEB70"/>
    <w:rsid w:val="4F4CBDE6"/>
    <w:rsid w:val="4F4E1B6A"/>
    <w:rsid w:val="4F505C6C"/>
    <w:rsid w:val="4F522F2F"/>
    <w:rsid w:val="4F5340C9"/>
    <w:rsid w:val="4F53B096"/>
    <w:rsid w:val="4F546D18"/>
    <w:rsid w:val="4F5523B7"/>
    <w:rsid w:val="4F5B6E5E"/>
    <w:rsid w:val="4F5C3818"/>
    <w:rsid w:val="4F5F2163"/>
    <w:rsid w:val="4F5F4E64"/>
    <w:rsid w:val="4F61333F"/>
    <w:rsid w:val="4F65F045"/>
    <w:rsid w:val="4F66C371"/>
    <w:rsid w:val="4F67BE96"/>
    <w:rsid w:val="4F68B41E"/>
    <w:rsid w:val="4F6D4DAE"/>
    <w:rsid w:val="4F6F44BE"/>
    <w:rsid w:val="4F711427"/>
    <w:rsid w:val="4F71A8E5"/>
    <w:rsid w:val="4F73932D"/>
    <w:rsid w:val="4F74BD65"/>
    <w:rsid w:val="4F77E076"/>
    <w:rsid w:val="4F77FE7C"/>
    <w:rsid w:val="4F7E9CFA"/>
    <w:rsid w:val="4F7EBD00"/>
    <w:rsid w:val="4F7F9957"/>
    <w:rsid w:val="4F819743"/>
    <w:rsid w:val="4F89413D"/>
    <w:rsid w:val="4F8B2C15"/>
    <w:rsid w:val="4F8F5B8B"/>
    <w:rsid w:val="4F8F626F"/>
    <w:rsid w:val="4F93B986"/>
    <w:rsid w:val="4F97A0EA"/>
    <w:rsid w:val="4F9C9C1A"/>
    <w:rsid w:val="4F9EB7F5"/>
    <w:rsid w:val="4FA3F0EA"/>
    <w:rsid w:val="4FA40AAD"/>
    <w:rsid w:val="4FA52763"/>
    <w:rsid w:val="4FA61954"/>
    <w:rsid w:val="4FACF326"/>
    <w:rsid w:val="4FAFA384"/>
    <w:rsid w:val="4FB17CD9"/>
    <w:rsid w:val="4FB19915"/>
    <w:rsid w:val="4FB2D0DB"/>
    <w:rsid w:val="4FB4709F"/>
    <w:rsid w:val="4FB5DBD2"/>
    <w:rsid w:val="4FB81BE3"/>
    <w:rsid w:val="4FB8632B"/>
    <w:rsid w:val="4FBB1B09"/>
    <w:rsid w:val="4FC43BBA"/>
    <w:rsid w:val="4FC484C2"/>
    <w:rsid w:val="4FC59E5A"/>
    <w:rsid w:val="4FC7C747"/>
    <w:rsid w:val="4FCBB005"/>
    <w:rsid w:val="4FCD4392"/>
    <w:rsid w:val="4FCD5222"/>
    <w:rsid w:val="4FCE703B"/>
    <w:rsid w:val="4FD03034"/>
    <w:rsid w:val="4FD139A6"/>
    <w:rsid w:val="4FD3FE98"/>
    <w:rsid w:val="4FDBC975"/>
    <w:rsid w:val="4FDC5291"/>
    <w:rsid w:val="4FDD7DF2"/>
    <w:rsid w:val="4FDD8FA7"/>
    <w:rsid w:val="4FDF156D"/>
    <w:rsid w:val="4FDF1E81"/>
    <w:rsid w:val="4FE3E7BE"/>
    <w:rsid w:val="4FE43C60"/>
    <w:rsid w:val="4FE6982D"/>
    <w:rsid w:val="4FEA1EAE"/>
    <w:rsid w:val="4FECFEE5"/>
    <w:rsid w:val="4FED6A59"/>
    <w:rsid w:val="4FEE301C"/>
    <w:rsid w:val="4FEEA031"/>
    <w:rsid w:val="4FEEED92"/>
    <w:rsid w:val="4FEF37E7"/>
    <w:rsid w:val="4FF1692E"/>
    <w:rsid w:val="4FF1C71F"/>
    <w:rsid w:val="4FF2E729"/>
    <w:rsid w:val="4FF64128"/>
    <w:rsid w:val="4FF9AA39"/>
    <w:rsid w:val="4FFA2069"/>
    <w:rsid w:val="4FFA26F6"/>
    <w:rsid w:val="4FFD9B57"/>
    <w:rsid w:val="50008BFA"/>
    <w:rsid w:val="50009E86"/>
    <w:rsid w:val="5000CC27"/>
    <w:rsid w:val="5003B58B"/>
    <w:rsid w:val="5003BBF7"/>
    <w:rsid w:val="5005D428"/>
    <w:rsid w:val="50063557"/>
    <w:rsid w:val="5006836E"/>
    <w:rsid w:val="5009EA03"/>
    <w:rsid w:val="500A51E2"/>
    <w:rsid w:val="500B5250"/>
    <w:rsid w:val="500CA637"/>
    <w:rsid w:val="500EADC1"/>
    <w:rsid w:val="500EC03F"/>
    <w:rsid w:val="500FB206"/>
    <w:rsid w:val="500FFF40"/>
    <w:rsid w:val="50151692"/>
    <w:rsid w:val="501649AD"/>
    <w:rsid w:val="50180E34"/>
    <w:rsid w:val="50199ADC"/>
    <w:rsid w:val="501A0A9A"/>
    <w:rsid w:val="501A1EBD"/>
    <w:rsid w:val="501CC547"/>
    <w:rsid w:val="501D8F35"/>
    <w:rsid w:val="501F1BE9"/>
    <w:rsid w:val="50206452"/>
    <w:rsid w:val="50222772"/>
    <w:rsid w:val="50225882"/>
    <w:rsid w:val="50229818"/>
    <w:rsid w:val="5024FA56"/>
    <w:rsid w:val="5025D5BE"/>
    <w:rsid w:val="5025DC12"/>
    <w:rsid w:val="5025E749"/>
    <w:rsid w:val="5026FCA3"/>
    <w:rsid w:val="5027B70F"/>
    <w:rsid w:val="50280FBD"/>
    <w:rsid w:val="50283D4D"/>
    <w:rsid w:val="502843A6"/>
    <w:rsid w:val="502A38B8"/>
    <w:rsid w:val="502B7D2D"/>
    <w:rsid w:val="502E1ABC"/>
    <w:rsid w:val="50302681"/>
    <w:rsid w:val="50322C0A"/>
    <w:rsid w:val="5033B7DC"/>
    <w:rsid w:val="50347D94"/>
    <w:rsid w:val="5034EE9D"/>
    <w:rsid w:val="503A5E67"/>
    <w:rsid w:val="503BD6A2"/>
    <w:rsid w:val="503BECB8"/>
    <w:rsid w:val="503BF688"/>
    <w:rsid w:val="503C6F87"/>
    <w:rsid w:val="503CCF3C"/>
    <w:rsid w:val="5040024A"/>
    <w:rsid w:val="50451A72"/>
    <w:rsid w:val="50464CE4"/>
    <w:rsid w:val="504739CE"/>
    <w:rsid w:val="50478860"/>
    <w:rsid w:val="50495EBA"/>
    <w:rsid w:val="504A3367"/>
    <w:rsid w:val="504A4953"/>
    <w:rsid w:val="504B4CDB"/>
    <w:rsid w:val="504B7055"/>
    <w:rsid w:val="504C3106"/>
    <w:rsid w:val="504C6637"/>
    <w:rsid w:val="505017AC"/>
    <w:rsid w:val="50542D36"/>
    <w:rsid w:val="5056A414"/>
    <w:rsid w:val="5059049F"/>
    <w:rsid w:val="50595F04"/>
    <w:rsid w:val="505FD9A0"/>
    <w:rsid w:val="50609C9E"/>
    <w:rsid w:val="5062A406"/>
    <w:rsid w:val="50680E12"/>
    <w:rsid w:val="5068350C"/>
    <w:rsid w:val="506B36E3"/>
    <w:rsid w:val="506D5306"/>
    <w:rsid w:val="506E4F23"/>
    <w:rsid w:val="506FBBA9"/>
    <w:rsid w:val="506FE697"/>
    <w:rsid w:val="507005FA"/>
    <w:rsid w:val="50702EF6"/>
    <w:rsid w:val="50708569"/>
    <w:rsid w:val="5071163E"/>
    <w:rsid w:val="5071A476"/>
    <w:rsid w:val="507481B8"/>
    <w:rsid w:val="5076FBF6"/>
    <w:rsid w:val="507887F3"/>
    <w:rsid w:val="507B74AB"/>
    <w:rsid w:val="507CCC32"/>
    <w:rsid w:val="507EC6D4"/>
    <w:rsid w:val="507FEDF1"/>
    <w:rsid w:val="507FF52D"/>
    <w:rsid w:val="50813402"/>
    <w:rsid w:val="50824893"/>
    <w:rsid w:val="5084F846"/>
    <w:rsid w:val="50850F64"/>
    <w:rsid w:val="5087098E"/>
    <w:rsid w:val="50876B3D"/>
    <w:rsid w:val="5088D2F2"/>
    <w:rsid w:val="508DE80E"/>
    <w:rsid w:val="508E6B16"/>
    <w:rsid w:val="5092E86A"/>
    <w:rsid w:val="5097D50A"/>
    <w:rsid w:val="509930C0"/>
    <w:rsid w:val="509A1DE7"/>
    <w:rsid w:val="509CA080"/>
    <w:rsid w:val="509FB892"/>
    <w:rsid w:val="509FBF45"/>
    <w:rsid w:val="509FC496"/>
    <w:rsid w:val="50A14042"/>
    <w:rsid w:val="50A1BD3F"/>
    <w:rsid w:val="50A627CE"/>
    <w:rsid w:val="50AABC38"/>
    <w:rsid w:val="50AF7C05"/>
    <w:rsid w:val="50B23C01"/>
    <w:rsid w:val="50B29686"/>
    <w:rsid w:val="50B67877"/>
    <w:rsid w:val="50B68AB5"/>
    <w:rsid w:val="50B6BAA5"/>
    <w:rsid w:val="50B7729C"/>
    <w:rsid w:val="50B7CB36"/>
    <w:rsid w:val="50B8A5BA"/>
    <w:rsid w:val="50BB9A58"/>
    <w:rsid w:val="50BC0DE7"/>
    <w:rsid w:val="50BC891E"/>
    <w:rsid w:val="50BCBF0E"/>
    <w:rsid w:val="50BDD79D"/>
    <w:rsid w:val="50C0CDC7"/>
    <w:rsid w:val="50C2FCA7"/>
    <w:rsid w:val="50C3B73F"/>
    <w:rsid w:val="50C7DCBB"/>
    <w:rsid w:val="50C84E67"/>
    <w:rsid w:val="50C87C30"/>
    <w:rsid w:val="50C9485C"/>
    <w:rsid w:val="50CAE1A6"/>
    <w:rsid w:val="50CAEEBB"/>
    <w:rsid w:val="50CC43E5"/>
    <w:rsid w:val="50CD6D9B"/>
    <w:rsid w:val="50CF2992"/>
    <w:rsid w:val="50D47F82"/>
    <w:rsid w:val="50D74FD5"/>
    <w:rsid w:val="50DBC7AF"/>
    <w:rsid w:val="50DCAA4B"/>
    <w:rsid w:val="50DCE1D0"/>
    <w:rsid w:val="50DD0381"/>
    <w:rsid w:val="50DD11A1"/>
    <w:rsid w:val="50DD877A"/>
    <w:rsid w:val="50DED835"/>
    <w:rsid w:val="50E0E828"/>
    <w:rsid w:val="50E1F4E7"/>
    <w:rsid w:val="50E308B6"/>
    <w:rsid w:val="50E3CC93"/>
    <w:rsid w:val="50E3E540"/>
    <w:rsid w:val="50E51888"/>
    <w:rsid w:val="50EBA31D"/>
    <w:rsid w:val="50EBC487"/>
    <w:rsid w:val="50EF70E0"/>
    <w:rsid w:val="50F40432"/>
    <w:rsid w:val="50F41E2B"/>
    <w:rsid w:val="50F82100"/>
    <w:rsid w:val="50F861E4"/>
    <w:rsid w:val="50F90E44"/>
    <w:rsid w:val="50FB8AE9"/>
    <w:rsid w:val="50FCB6D9"/>
    <w:rsid w:val="50FD2040"/>
    <w:rsid w:val="50FD7C1E"/>
    <w:rsid w:val="50FD80AA"/>
    <w:rsid w:val="50FDF2AC"/>
    <w:rsid w:val="50FF0071"/>
    <w:rsid w:val="5101E1F0"/>
    <w:rsid w:val="5103B512"/>
    <w:rsid w:val="51045C4D"/>
    <w:rsid w:val="510510AB"/>
    <w:rsid w:val="5107C882"/>
    <w:rsid w:val="5109D0FD"/>
    <w:rsid w:val="510BDC1A"/>
    <w:rsid w:val="510C646A"/>
    <w:rsid w:val="51114012"/>
    <w:rsid w:val="5111DD04"/>
    <w:rsid w:val="5112130F"/>
    <w:rsid w:val="5112C4D2"/>
    <w:rsid w:val="511392CA"/>
    <w:rsid w:val="5115FD60"/>
    <w:rsid w:val="5116DBDF"/>
    <w:rsid w:val="511713A6"/>
    <w:rsid w:val="5119AE3B"/>
    <w:rsid w:val="5119F684"/>
    <w:rsid w:val="511A12EC"/>
    <w:rsid w:val="511A5CA1"/>
    <w:rsid w:val="511B6F7C"/>
    <w:rsid w:val="51208F71"/>
    <w:rsid w:val="51221D9D"/>
    <w:rsid w:val="51249E60"/>
    <w:rsid w:val="5125CB2A"/>
    <w:rsid w:val="51286183"/>
    <w:rsid w:val="512AE07B"/>
    <w:rsid w:val="5133DD12"/>
    <w:rsid w:val="51350B5B"/>
    <w:rsid w:val="51386C7B"/>
    <w:rsid w:val="5138DF7B"/>
    <w:rsid w:val="513B04DF"/>
    <w:rsid w:val="513B7A76"/>
    <w:rsid w:val="513BFCE7"/>
    <w:rsid w:val="513EDF35"/>
    <w:rsid w:val="5140D7B5"/>
    <w:rsid w:val="5142044D"/>
    <w:rsid w:val="5142C3C2"/>
    <w:rsid w:val="5145CD18"/>
    <w:rsid w:val="514638B3"/>
    <w:rsid w:val="5146658E"/>
    <w:rsid w:val="514915B6"/>
    <w:rsid w:val="51491C8F"/>
    <w:rsid w:val="5149BC46"/>
    <w:rsid w:val="5149D567"/>
    <w:rsid w:val="514AF1B0"/>
    <w:rsid w:val="515128F0"/>
    <w:rsid w:val="5151DB0A"/>
    <w:rsid w:val="5153002A"/>
    <w:rsid w:val="5153301F"/>
    <w:rsid w:val="515402DA"/>
    <w:rsid w:val="5154E47A"/>
    <w:rsid w:val="5157C140"/>
    <w:rsid w:val="5159F7A6"/>
    <w:rsid w:val="515D24C6"/>
    <w:rsid w:val="515ECB0A"/>
    <w:rsid w:val="515FEDCD"/>
    <w:rsid w:val="51608533"/>
    <w:rsid w:val="516143ED"/>
    <w:rsid w:val="5163923C"/>
    <w:rsid w:val="516E9FA1"/>
    <w:rsid w:val="516F0468"/>
    <w:rsid w:val="5170F25D"/>
    <w:rsid w:val="51717565"/>
    <w:rsid w:val="51724197"/>
    <w:rsid w:val="5175A5DB"/>
    <w:rsid w:val="5178336D"/>
    <w:rsid w:val="51787B49"/>
    <w:rsid w:val="51797713"/>
    <w:rsid w:val="517A75EF"/>
    <w:rsid w:val="517B40EC"/>
    <w:rsid w:val="517C89C2"/>
    <w:rsid w:val="518607A1"/>
    <w:rsid w:val="518BC42E"/>
    <w:rsid w:val="518C5F1F"/>
    <w:rsid w:val="518ED0DA"/>
    <w:rsid w:val="519124EC"/>
    <w:rsid w:val="51929642"/>
    <w:rsid w:val="5194AF77"/>
    <w:rsid w:val="51968826"/>
    <w:rsid w:val="5196BCD1"/>
    <w:rsid w:val="519D4BB4"/>
    <w:rsid w:val="519DDC47"/>
    <w:rsid w:val="519F517D"/>
    <w:rsid w:val="51A1B878"/>
    <w:rsid w:val="51A2627D"/>
    <w:rsid w:val="51A94D16"/>
    <w:rsid w:val="51A9C193"/>
    <w:rsid w:val="51AA12E6"/>
    <w:rsid w:val="51AB9C86"/>
    <w:rsid w:val="51B0D109"/>
    <w:rsid w:val="51B0F685"/>
    <w:rsid w:val="51B404D4"/>
    <w:rsid w:val="51B583CF"/>
    <w:rsid w:val="51B8ABFC"/>
    <w:rsid w:val="51B9601C"/>
    <w:rsid w:val="51BA2170"/>
    <w:rsid w:val="51BB7A90"/>
    <w:rsid w:val="51BF5583"/>
    <w:rsid w:val="51C0DF4F"/>
    <w:rsid w:val="51C14353"/>
    <w:rsid w:val="51C1A2F7"/>
    <w:rsid w:val="51C538AD"/>
    <w:rsid w:val="51C67FAE"/>
    <w:rsid w:val="51C8A649"/>
    <w:rsid w:val="51C8B3BA"/>
    <w:rsid w:val="51C9DBEB"/>
    <w:rsid w:val="51CA478B"/>
    <w:rsid w:val="51CCB538"/>
    <w:rsid w:val="51CD99E0"/>
    <w:rsid w:val="51CDBEAA"/>
    <w:rsid w:val="51CE212E"/>
    <w:rsid w:val="51CF012E"/>
    <w:rsid w:val="51D0982B"/>
    <w:rsid w:val="51D13989"/>
    <w:rsid w:val="51D28A92"/>
    <w:rsid w:val="51D3AEA7"/>
    <w:rsid w:val="51D3D1F0"/>
    <w:rsid w:val="51D53A78"/>
    <w:rsid w:val="51D70737"/>
    <w:rsid w:val="51DC6EBE"/>
    <w:rsid w:val="51DCE7F6"/>
    <w:rsid w:val="51DD2AF6"/>
    <w:rsid w:val="51E06CA0"/>
    <w:rsid w:val="51E0CFCC"/>
    <w:rsid w:val="51E437C3"/>
    <w:rsid w:val="51E441DA"/>
    <w:rsid w:val="51E57C6D"/>
    <w:rsid w:val="51E5AECE"/>
    <w:rsid w:val="51E5DB5D"/>
    <w:rsid w:val="51E75B63"/>
    <w:rsid w:val="51E801BF"/>
    <w:rsid w:val="51EB9FD8"/>
    <w:rsid w:val="51EBC8E2"/>
    <w:rsid w:val="51EBF25B"/>
    <w:rsid w:val="51EC894C"/>
    <w:rsid w:val="51ED51C9"/>
    <w:rsid w:val="51EDAB23"/>
    <w:rsid w:val="51F09FDA"/>
    <w:rsid w:val="51F101FE"/>
    <w:rsid w:val="51F179E6"/>
    <w:rsid w:val="51F32242"/>
    <w:rsid w:val="51F348E9"/>
    <w:rsid w:val="51F5D8CB"/>
    <w:rsid w:val="51F68C97"/>
    <w:rsid w:val="51F8616E"/>
    <w:rsid w:val="51F9011E"/>
    <w:rsid w:val="51FA0BCE"/>
    <w:rsid w:val="51FF5D8A"/>
    <w:rsid w:val="51FFF474"/>
    <w:rsid w:val="52002011"/>
    <w:rsid w:val="52004228"/>
    <w:rsid w:val="520166DB"/>
    <w:rsid w:val="52052E61"/>
    <w:rsid w:val="5205B624"/>
    <w:rsid w:val="52070024"/>
    <w:rsid w:val="52072A96"/>
    <w:rsid w:val="5207CAB1"/>
    <w:rsid w:val="52087F80"/>
    <w:rsid w:val="5208B91B"/>
    <w:rsid w:val="520D1D19"/>
    <w:rsid w:val="520D2B73"/>
    <w:rsid w:val="52117C19"/>
    <w:rsid w:val="52138B77"/>
    <w:rsid w:val="52146B7E"/>
    <w:rsid w:val="521514DD"/>
    <w:rsid w:val="521A6764"/>
    <w:rsid w:val="521A6CE4"/>
    <w:rsid w:val="521BD3CA"/>
    <w:rsid w:val="521C28CF"/>
    <w:rsid w:val="521CE60E"/>
    <w:rsid w:val="521EE653"/>
    <w:rsid w:val="521F61A1"/>
    <w:rsid w:val="52234853"/>
    <w:rsid w:val="5226B064"/>
    <w:rsid w:val="52270BDD"/>
    <w:rsid w:val="52278FBC"/>
    <w:rsid w:val="522A432B"/>
    <w:rsid w:val="522A5551"/>
    <w:rsid w:val="522AAB6D"/>
    <w:rsid w:val="522B36B7"/>
    <w:rsid w:val="522C0BF9"/>
    <w:rsid w:val="522E36A8"/>
    <w:rsid w:val="522EBD19"/>
    <w:rsid w:val="522FC033"/>
    <w:rsid w:val="5230445A"/>
    <w:rsid w:val="5232C0B3"/>
    <w:rsid w:val="52333F44"/>
    <w:rsid w:val="52343741"/>
    <w:rsid w:val="5237740A"/>
    <w:rsid w:val="5238A7D1"/>
    <w:rsid w:val="52395486"/>
    <w:rsid w:val="523A500D"/>
    <w:rsid w:val="523CA9A1"/>
    <w:rsid w:val="5240C20F"/>
    <w:rsid w:val="524123D2"/>
    <w:rsid w:val="52436CB1"/>
    <w:rsid w:val="5243A015"/>
    <w:rsid w:val="524477F8"/>
    <w:rsid w:val="524B4B0A"/>
    <w:rsid w:val="524E1ED9"/>
    <w:rsid w:val="5252FDF7"/>
    <w:rsid w:val="52553015"/>
    <w:rsid w:val="525903E7"/>
    <w:rsid w:val="5260E04D"/>
    <w:rsid w:val="52617F8A"/>
    <w:rsid w:val="5264CE2E"/>
    <w:rsid w:val="5268C769"/>
    <w:rsid w:val="526957DE"/>
    <w:rsid w:val="526A0958"/>
    <w:rsid w:val="526B054E"/>
    <w:rsid w:val="526B0E3D"/>
    <w:rsid w:val="526C4A80"/>
    <w:rsid w:val="52704151"/>
    <w:rsid w:val="5273B435"/>
    <w:rsid w:val="527B76F0"/>
    <w:rsid w:val="527CE577"/>
    <w:rsid w:val="527E0B42"/>
    <w:rsid w:val="52846B87"/>
    <w:rsid w:val="5285DCCE"/>
    <w:rsid w:val="5286C7F7"/>
    <w:rsid w:val="52882177"/>
    <w:rsid w:val="528967A7"/>
    <w:rsid w:val="528B4CC4"/>
    <w:rsid w:val="528B5EC9"/>
    <w:rsid w:val="528DE6E3"/>
    <w:rsid w:val="528EBA1A"/>
    <w:rsid w:val="528F0E26"/>
    <w:rsid w:val="529137F3"/>
    <w:rsid w:val="5292933E"/>
    <w:rsid w:val="5294C934"/>
    <w:rsid w:val="52951AFC"/>
    <w:rsid w:val="5297D9CE"/>
    <w:rsid w:val="529943F0"/>
    <w:rsid w:val="5299FD6C"/>
    <w:rsid w:val="529BE89F"/>
    <w:rsid w:val="529CFF8C"/>
    <w:rsid w:val="52A3E38F"/>
    <w:rsid w:val="52A3FCE9"/>
    <w:rsid w:val="52AA8669"/>
    <w:rsid w:val="52AAC364"/>
    <w:rsid w:val="52AD2412"/>
    <w:rsid w:val="52B0A913"/>
    <w:rsid w:val="52B1C3EC"/>
    <w:rsid w:val="52B367BB"/>
    <w:rsid w:val="52B3AA6A"/>
    <w:rsid w:val="52B51521"/>
    <w:rsid w:val="52B57C86"/>
    <w:rsid w:val="52B738BC"/>
    <w:rsid w:val="52B943DF"/>
    <w:rsid w:val="52B9584A"/>
    <w:rsid w:val="52BB29AD"/>
    <w:rsid w:val="52BCB544"/>
    <w:rsid w:val="52BFBBFE"/>
    <w:rsid w:val="52C127B6"/>
    <w:rsid w:val="52C53375"/>
    <w:rsid w:val="52C71AE4"/>
    <w:rsid w:val="52C83D6E"/>
    <w:rsid w:val="52C9AFE0"/>
    <w:rsid w:val="52C9D3B3"/>
    <w:rsid w:val="52CA35C9"/>
    <w:rsid w:val="52CC3695"/>
    <w:rsid w:val="52D0C6B9"/>
    <w:rsid w:val="52D40266"/>
    <w:rsid w:val="52D5BE42"/>
    <w:rsid w:val="52DC554A"/>
    <w:rsid w:val="52DD61BF"/>
    <w:rsid w:val="52DE5FF2"/>
    <w:rsid w:val="52E259AC"/>
    <w:rsid w:val="52E2DC2F"/>
    <w:rsid w:val="52E4ED7E"/>
    <w:rsid w:val="52E6461C"/>
    <w:rsid w:val="52E66E7A"/>
    <w:rsid w:val="52E67D56"/>
    <w:rsid w:val="52E70E55"/>
    <w:rsid w:val="52EC0B06"/>
    <w:rsid w:val="52EE837E"/>
    <w:rsid w:val="52EEC110"/>
    <w:rsid w:val="52EFEA0B"/>
    <w:rsid w:val="52F00CB0"/>
    <w:rsid w:val="52F0B395"/>
    <w:rsid w:val="52F65E3B"/>
    <w:rsid w:val="52F8FBDB"/>
    <w:rsid w:val="52FF2814"/>
    <w:rsid w:val="5303C9D1"/>
    <w:rsid w:val="5306A312"/>
    <w:rsid w:val="5306E268"/>
    <w:rsid w:val="5307FAB0"/>
    <w:rsid w:val="5309BFCC"/>
    <w:rsid w:val="530A6DA5"/>
    <w:rsid w:val="53103162"/>
    <w:rsid w:val="53162E2B"/>
    <w:rsid w:val="53175712"/>
    <w:rsid w:val="531832FB"/>
    <w:rsid w:val="5319418A"/>
    <w:rsid w:val="53195448"/>
    <w:rsid w:val="531E6494"/>
    <w:rsid w:val="531E7F22"/>
    <w:rsid w:val="532248AF"/>
    <w:rsid w:val="5326E8F2"/>
    <w:rsid w:val="532C2190"/>
    <w:rsid w:val="5330D9C2"/>
    <w:rsid w:val="5333ACE9"/>
    <w:rsid w:val="5334EB12"/>
    <w:rsid w:val="533717AF"/>
    <w:rsid w:val="5337FBE9"/>
    <w:rsid w:val="53394239"/>
    <w:rsid w:val="5339904C"/>
    <w:rsid w:val="533BDCA7"/>
    <w:rsid w:val="533D26FB"/>
    <w:rsid w:val="533E13AD"/>
    <w:rsid w:val="534311E9"/>
    <w:rsid w:val="5343F44D"/>
    <w:rsid w:val="5344100C"/>
    <w:rsid w:val="5347D75C"/>
    <w:rsid w:val="53493208"/>
    <w:rsid w:val="534995BA"/>
    <w:rsid w:val="534A4762"/>
    <w:rsid w:val="534AB9AE"/>
    <w:rsid w:val="534C7B1F"/>
    <w:rsid w:val="534DB0F5"/>
    <w:rsid w:val="534E63D4"/>
    <w:rsid w:val="534F0AA3"/>
    <w:rsid w:val="534F2B14"/>
    <w:rsid w:val="534F2EA7"/>
    <w:rsid w:val="534F5726"/>
    <w:rsid w:val="5350C888"/>
    <w:rsid w:val="5350E6DF"/>
    <w:rsid w:val="5352DD44"/>
    <w:rsid w:val="535A2005"/>
    <w:rsid w:val="535B21AB"/>
    <w:rsid w:val="535B371E"/>
    <w:rsid w:val="535B7168"/>
    <w:rsid w:val="535BF227"/>
    <w:rsid w:val="535D3D93"/>
    <w:rsid w:val="535D599C"/>
    <w:rsid w:val="535F5507"/>
    <w:rsid w:val="53652DCD"/>
    <w:rsid w:val="53660866"/>
    <w:rsid w:val="5368489D"/>
    <w:rsid w:val="536A09B6"/>
    <w:rsid w:val="536A32BD"/>
    <w:rsid w:val="536B0E95"/>
    <w:rsid w:val="536B1D81"/>
    <w:rsid w:val="536C3FB0"/>
    <w:rsid w:val="536C6A01"/>
    <w:rsid w:val="536C771B"/>
    <w:rsid w:val="536F99C0"/>
    <w:rsid w:val="53715973"/>
    <w:rsid w:val="53729ADE"/>
    <w:rsid w:val="5372E6FF"/>
    <w:rsid w:val="5373B5F8"/>
    <w:rsid w:val="537622AB"/>
    <w:rsid w:val="537D5375"/>
    <w:rsid w:val="537E5093"/>
    <w:rsid w:val="537E54FC"/>
    <w:rsid w:val="537F5390"/>
    <w:rsid w:val="53845821"/>
    <w:rsid w:val="53846DAF"/>
    <w:rsid w:val="5386DA12"/>
    <w:rsid w:val="5387C556"/>
    <w:rsid w:val="53887BBD"/>
    <w:rsid w:val="538975D3"/>
    <w:rsid w:val="538B6A05"/>
    <w:rsid w:val="538B9D3E"/>
    <w:rsid w:val="538C8626"/>
    <w:rsid w:val="53917C74"/>
    <w:rsid w:val="53939739"/>
    <w:rsid w:val="53942C5D"/>
    <w:rsid w:val="53949650"/>
    <w:rsid w:val="539506CD"/>
    <w:rsid w:val="5398245D"/>
    <w:rsid w:val="539A4DE9"/>
    <w:rsid w:val="539A799E"/>
    <w:rsid w:val="539D02CD"/>
    <w:rsid w:val="539DA07B"/>
    <w:rsid w:val="539E28A3"/>
    <w:rsid w:val="53A30C40"/>
    <w:rsid w:val="53A52FE7"/>
    <w:rsid w:val="53A66065"/>
    <w:rsid w:val="53A95078"/>
    <w:rsid w:val="53AA3C2F"/>
    <w:rsid w:val="53AB08E6"/>
    <w:rsid w:val="53ACEBCB"/>
    <w:rsid w:val="53AD1AA4"/>
    <w:rsid w:val="53ADCBEE"/>
    <w:rsid w:val="53B0D3F5"/>
    <w:rsid w:val="53B37DF3"/>
    <w:rsid w:val="53B39E4A"/>
    <w:rsid w:val="53B4D35B"/>
    <w:rsid w:val="53B75EEE"/>
    <w:rsid w:val="53B8AB28"/>
    <w:rsid w:val="53B9DE53"/>
    <w:rsid w:val="53B9F87A"/>
    <w:rsid w:val="53BAEFE0"/>
    <w:rsid w:val="53BB29A2"/>
    <w:rsid w:val="53BDC1BB"/>
    <w:rsid w:val="53BF0BFF"/>
    <w:rsid w:val="53BF328D"/>
    <w:rsid w:val="53C471A3"/>
    <w:rsid w:val="53C51B8D"/>
    <w:rsid w:val="53C5DB77"/>
    <w:rsid w:val="53C5DDEC"/>
    <w:rsid w:val="53C860DC"/>
    <w:rsid w:val="53C8DBCE"/>
    <w:rsid w:val="53CB2A15"/>
    <w:rsid w:val="53CC7A3E"/>
    <w:rsid w:val="53CE7B4B"/>
    <w:rsid w:val="53CF2E34"/>
    <w:rsid w:val="53D0B08B"/>
    <w:rsid w:val="53D26FC3"/>
    <w:rsid w:val="53D510EF"/>
    <w:rsid w:val="53D66CDE"/>
    <w:rsid w:val="53D6F798"/>
    <w:rsid w:val="53D828C0"/>
    <w:rsid w:val="53DA290E"/>
    <w:rsid w:val="53DAEC4C"/>
    <w:rsid w:val="53DB0F0B"/>
    <w:rsid w:val="53DBB77A"/>
    <w:rsid w:val="53DFF2F4"/>
    <w:rsid w:val="53E17B98"/>
    <w:rsid w:val="53E2F398"/>
    <w:rsid w:val="53E3EA4E"/>
    <w:rsid w:val="53E55657"/>
    <w:rsid w:val="53E73150"/>
    <w:rsid w:val="53E99FE8"/>
    <w:rsid w:val="53EB6A12"/>
    <w:rsid w:val="53EB9904"/>
    <w:rsid w:val="53ECC369"/>
    <w:rsid w:val="53EDE625"/>
    <w:rsid w:val="53EF7AF3"/>
    <w:rsid w:val="53F47876"/>
    <w:rsid w:val="53F698DC"/>
    <w:rsid w:val="53F6EBC9"/>
    <w:rsid w:val="53F70951"/>
    <w:rsid w:val="53F9DF3D"/>
    <w:rsid w:val="53FA3C64"/>
    <w:rsid w:val="53FAC52B"/>
    <w:rsid w:val="53FBAE22"/>
    <w:rsid w:val="53FC05CF"/>
    <w:rsid w:val="53FD5C03"/>
    <w:rsid w:val="53FDB86F"/>
    <w:rsid w:val="54001ED7"/>
    <w:rsid w:val="540215D4"/>
    <w:rsid w:val="540224AE"/>
    <w:rsid w:val="5402703C"/>
    <w:rsid w:val="5405BECF"/>
    <w:rsid w:val="54096A3F"/>
    <w:rsid w:val="540CEC4F"/>
    <w:rsid w:val="540CF9F4"/>
    <w:rsid w:val="540DF0C4"/>
    <w:rsid w:val="540E155F"/>
    <w:rsid w:val="5413A922"/>
    <w:rsid w:val="5413A9DA"/>
    <w:rsid w:val="5413C645"/>
    <w:rsid w:val="5418900F"/>
    <w:rsid w:val="5418B70A"/>
    <w:rsid w:val="541A2048"/>
    <w:rsid w:val="541C4C82"/>
    <w:rsid w:val="541CDE0C"/>
    <w:rsid w:val="541E0890"/>
    <w:rsid w:val="5421C493"/>
    <w:rsid w:val="542953EB"/>
    <w:rsid w:val="5429733E"/>
    <w:rsid w:val="542A3E09"/>
    <w:rsid w:val="542C70DC"/>
    <w:rsid w:val="542E198F"/>
    <w:rsid w:val="542E6F43"/>
    <w:rsid w:val="543400C5"/>
    <w:rsid w:val="54340586"/>
    <w:rsid w:val="54372BEB"/>
    <w:rsid w:val="5437896A"/>
    <w:rsid w:val="5437F03D"/>
    <w:rsid w:val="543A3CB9"/>
    <w:rsid w:val="543B41D8"/>
    <w:rsid w:val="543F3C09"/>
    <w:rsid w:val="543FF81C"/>
    <w:rsid w:val="5441FA58"/>
    <w:rsid w:val="54439F85"/>
    <w:rsid w:val="54440EFF"/>
    <w:rsid w:val="54450450"/>
    <w:rsid w:val="54471482"/>
    <w:rsid w:val="5447C9C3"/>
    <w:rsid w:val="5448E304"/>
    <w:rsid w:val="544CAD62"/>
    <w:rsid w:val="544F472D"/>
    <w:rsid w:val="54514971"/>
    <w:rsid w:val="5452B940"/>
    <w:rsid w:val="5452EA40"/>
    <w:rsid w:val="54536A14"/>
    <w:rsid w:val="5454DF24"/>
    <w:rsid w:val="545A3E13"/>
    <w:rsid w:val="545B337E"/>
    <w:rsid w:val="54613E53"/>
    <w:rsid w:val="5465695C"/>
    <w:rsid w:val="5466C93F"/>
    <w:rsid w:val="5466D67F"/>
    <w:rsid w:val="546B0A2B"/>
    <w:rsid w:val="546E60B4"/>
    <w:rsid w:val="5471B8BB"/>
    <w:rsid w:val="5472311C"/>
    <w:rsid w:val="5472B3CE"/>
    <w:rsid w:val="5475500D"/>
    <w:rsid w:val="54769EF4"/>
    <w:rsid w:val="5477135A"/>
    <w:rsid w:val="54798763"/>
    <w:rsid w:val="547AA1CC"/>
    <w:rsid w:val="547DAF58"/>
    <w:rsid w:val="547EBB8B"/>
    <w:rsid w:val="54853CE9"/>
    <w:rsid w:val="54858447"/>
    <w:rsid w:val="54865B08"/>
    <w:rsid w:val="5487C526"/>
    <w:rsid w:val="548DF6BF"/>
    <w:rsid w:val="5492014E"/>
    <w:rsid w:val="54937B8A"/>
    <w:rsid w:val="549430F6"/>
    <w:rsid w:val="54978AEC"/>
    <w:rsid w:val="54979C4C"/>
    <w:rsid w:val="549879F3"/>
    <w:rsid w:val="549A6BBA"/>
    <w:rsid w:val="549A7A3D"/>
    <w:rsid w:val="549EB875"/>
    <w:rsid w:val="549EF598"/>
    <w:rsid w:val="54A08E6C"/>
    <w:rsid w:val="54A315CB"/>
    <w:rsid w:val="54A380E6"/>
    <w:rsid w:val="54A3FFBC"/>
    <w:rsid w:val="54A4748A"/>
    <w:rsid w:val="54A844C9"/>
    <w:rsid w:val="54A8D6D4"/>
    <w:rsid w:val="54AB9026"/>
    <w:rsid w:val="54AC2DB2"/>
    <w:rsid w:val="54AC40DB"/>
    <w:rsid w:val="54AC6460"/>
    <w:rsid w:val="54AEE400"/>
    <w:rsid w:val="54AFF1D6"/>
    <w:rsid w:val="54B21ED7"/>
    <w:rsid w:val="54B3A19F"/>
    <w:rsid w:val="54B6A66B"/>
    <w:rsid w:val="54B8A78F"/>
    <w:rsid w:val="54BDC28F"/>
    <w:rsid w:val="54C11ADB"/>
    <w:rsid w:val="54C17EDD"/>
    <w:rsid w:val="54C5FF01"/>
    <w:rsid w:val="54C7C5C8"/>
    <w:rsid w:val="54D06699"/>
    <w:rsid w:val="54D167AD"/>
    <w:rsid w:val="54D25580"/>
    <w:rsid w:val="54D37023"/>
    <w:rsid w:val="54D4316E"/>
    <w:rsid w:val="54D5057E"/>
    <w:rsid w:val="54D5F50B"/>
    <w:rsid w:val="54D64777"/>
    <w:rsid w:val="54D76B13"/>
    <w:rsid w:val="54D8209C"/>
    <w:rsid w:val="54D83401"/>
    <w:rsid w:val="54D8CC20"/>
    <w:rsid w:val="54DB39E5"/>
    <w:rsid w:val="54DBAD21"/>
    <w:rsid w:val="54DF08AF"/>
    <w:rsid w:val="54DF57DD"/>
    <w:rsid w:val="54E08E47"/>
    <w:rsid w:val="54E18B20"/>
    <w:rsid w:val="54E2AF51"/>
    <w:rsid w:val="54E2F30E"/>
    <w:rsid w:val="54E5613B"/>
    <w:rsid w:val="54E5FCF1"/>
    <w:rsid w:val="54E72D8A"/>
    <w:rsid w:val="54E89765"/>
    <w:rsid w:val="54EAA62E"/>
    <w:rsid w:val="54EB7D97"/>
    <w:rsid w:val="54EB986F"/>
    <w:rsid w:val="54F1EA1C"/>
    <w:rsid w:val="54F4CF50"/>
    <w:rsid w:val="54F5A748"/>
    <w:rsid w:val="54F93006"/>
    <w:rsid w:val="54FB15C0"/>
    <w:rsid w:val="54FC87D3"/>
    <w:rsid w:val="54FD0016"/>
    <w:rsid w:val="54FF87BF"/>
    <w:rsid w:val="54FFF2C5"/>
    <w:rsid w:val="550325C8"/>
    <w:rsid w:val="55037316"/>
    <w:rsid w:val="55045D4B"/>
    <w:rsid w:val="5504D78E"/>
    <w:rsid w:val="5504F35E"/>
    <w:rsid w:val="550755A4"/>
    <w:rsid w:val="55078AA0"/>
    <w:rsid w:val="55079F08"/>
    <w:rsid w:val="5507EA35"/>
    <w:rsid w:val="5507FDDF"/>
    <w:rsid w:val="55081792"/>
    <w:rsid w:val="550E092D"/>
    <w:rsid w:val="550F53EB"/>
    <w:rsid w:val="55101355"/>
    <w:rsid w:val="55119117"/>
    <w:rsid w:val="55134A40"/>
    <w:rsid w:val="5514EEF1"/>
    <w:rsid w:val="55180D72"/>
    <w:rsid w:val="551896D1"/>
    <w:rsid w:val="551CAB79"/>
    <w:rsid w:val="551D6E91"/>
    <w:rsid w:val="551F59C2"/>
    <w:rsid w:val="5521EEBB"/>
    <w:rsid w:val="5523BD7A"/>
    <w:rsid w:val="5526A614"/>
    <w:rsid w:val="5528319C"/>
    <w:rsid w:val="552C755C"/>
    <w:rsid w:val="553340CA"/>
    <w:rsid w:val="55343CDC"/>
    <w:rsid w:val="55370067"/>
    <w:rsid w:val="55399E14"/>
    <w:rsid w:val="5539A879"/>
    <w:rsid w:val="553A6E13"/>
    <w:rsid w:val="553A8136"/>
    <w:rsid w:val="553C5D6A"/>
    <w:rsid w:val="553DC8C4"/>
    <w:rsid w:val="553E74EC"/>
    <w:rsid w:val="553E83B7"/>
    <w:rsid w:val="553F0819"/>
    <w:rsid w:val="5541197A"/>
    <w:rsid w:val="5541CD54"/>
    <w:rsid w:val="55452853"/>
    <w:rsid w:val="55462F11"/>
    <w:rsid w:val="55482715"/>
    <w:rsid w:val="5549EF72"/>
    <w:rsid w:val="554AF5C9"/>
    <w:rsid w:val="554B510C"/>
    <w:rsid w:val="554E1D4D"/>
    <w:rsid w:val="554EBDAD"/>
    <w:rsid w:val="5550D8E8"/>
    <w:rsid w:val="55511505"/>
    <w:rsid w:val="5553A8C7"/>
    <w:rsid w:val="555A64F8"/>
    <w:rsid w:val="555A81E4"/>
    <w:rsid w:val="555AD01D"/>
    <w:rsid w:val="555B30EA"/>
    <w:rsid w:val="555DB2AA"/>
    <w:rsid w:val="55643E4B"/>
    <w:rsid w:val="5565507E"/>
    <w:rsid w:val="5565DCAA"/>
    <w:rsid w:val="55660694"/>
    <w:rsid w:val="55674DB1"/>
    <w:rsid w:val="556897EE"/>
    <w:rsid w:val="5568B02B"/>
    <w:rsid w:val="556E06CA"/>
    <w:rsid w:val="556ECBD2"/>
    <w:rsid w:val="5570F024"/>
    <w:rsid w:val="5575DE55"/>
    <w:rsid w:val="5578E75A"/>
    <w:rsid w:val="557CF53B"/>
    <w:rsid w:val="557F34F3"/>
    <w:rsid w:val="5580C495"/>
    <w:rsid w:val="55820270"/>
    <w:rsid w:val="5584475A"/>
    <w:rsid w:val="5587A8E9"/>
    <w:rsid w:val="5587D9B8"/>
    <w:rsid w:val="558A8E02"/>
    <w:rsid w:val="558AB2EF"/>
    <w:rsid w:val="558B1D31"/>
    <w:rsid w:val="558BED12"/>
    <w:rsid w:val="558D997D"/>
    <w:rsid w:val="558E8CA2"/>
    <w:rsid w:val="558EBEAA"/>
    <w:rsid w:val="558EE60A"/>
    <w:rsid w:val="558EEA37"/>
    <w:rsid w:val="5594904B"/>
    <w:rsid w:val="55974197"/>
    <w:rsid w:val="5597C287"/>
    <w:rsid w:val="559B3AA7"/>
    <w:rsid w:val="559C19A9"/>
    <w:rsid w:val="559E7146"/>
    <w:rsid w:val="559E94B7"/>
    <w:rsid w:val="55A02B0B"/>
    <w:rsid w:val="55A4B6E4"/>
    <w:rsid w:val="55A6AF7B"/>
    <w:rsid w:val="55A72838"/>
    <w:rsid w:val="55A9270A"/>
    <w:rsid w:val="55AD6026"/>
    <w:rsid w:val="55B26C2F"/>
    <w:rsid w:val="55B2B0CE"/>
    <w:rsid w:val="55B6378C"/>
    <w:rsid w:val="55B81585"/>
    <w:rsid w:val="55B8E702"/>
    <w:rsid w:val="55BA7537"/>
    <w:rsid w:val="55BB24F1"/>
    <w:rsid w:val="55BC49B9"/>
    <w:rsid w:val="55BCDD79"/>
    <w:rsid w:val="55BD1DBC"/>
    <w:rsid w:val="55BE19C9"/>
    <w:rsid w:val="55C00BCE"/>
    <w:rsid w:val="55C0CE7F"/>
    <w:rsid w:val="55C259F2"/>
    <w:rsid w:val="55C6813C"/>
    <w:rsid w:val="55C9BC84"/>
    <w:rsid w:val="55CCD3EE"/>
    <w:rsid w:val="55CD883F"/>
    <w:rsid w:val="55CD8C8A"/>
    <w:rsid w:val="55CEAE76"/>
    <w:rsid w:val="55CF3654"/>
    <w:rsid w:val="55CFDC07"/>
    <w:rsid w:val="55D3E540"/>
    <w:rsid w:val="55D6A486"/>
    <w:rsid w:val="55DC9BB8"/>
    <w:rsid w:val="55DDC744"/>
    <w:rsid w:val="55DF5E1C"/>
    <w:rsid w:val="55E03320"/>
    <w:rsid w:val="55E20208"/>
    <w:rsid w:val="55E45461"/>
    <w:rsid w:val="55E4B41F"/>
    <w:rsid w:val="55E5092D"/>
    <w:rsid w:val="55E5B6F6"/>
    <w:rsid w:val="55E5D783"/>
    <w:rsid w:val="55E703D8"/>
    <w:rsid w:val="55E8E66B"/>
    <w:rsid w:val="55E9A057"/>
    <w:rsid w:val="55EA93ED"/>
    <w:rsid w:val="55ECD96D"/>
    <w:rsid w:val="55EE32B4"/>
    <w:rsid w:val="55EFF092"/>
    <w:rsid w:val="55F12340"/>
    <w:rsid w:val="55F350C8"/>
    <w:rsid w:val="55FE125E"/>
    <w:rsid w:val="55FEE7F3"/>
    <w:rsid w:val="55FF7F1B"/>
    <w:rsid w:val="55FFA8C2"/>
    <w:rsid w:val="5600646D"/>
    <w:rsid w:val="5601195F"/>
    <w:rsid w:val="560143CA"/>
    <w:rsid w:val="5602DF14"/>
    <w:rsid w:val="56033290"/>
    <w:rsid w:val="56042C35"/>
    <w:rsid w:val="5605B264"/>
    <w:rsid w:val="5605CC75"/>
    <w:rsid w:val="560740F8"/>
    <w:rsid w:val="560AA335"/>
    <w:rsid w:val="560AC0CE"/>
    <w:rsid w:val="560C8416"/>
    <w:rsid w:val="561126EC"/>
    <w:rsid w:val="56114F69"/>
    <w:rsid w:val="5612C533"/>
    <w:rsid w:val="5616F429"/>
    <w:rsid w:val="56194189"/>
    <w:rsid w:val="561A2AC4"/>
    <w:rsid w:val="561A8575"/>
    <w:rsid w:val="561AAD6C"/>
    <w:rsid w:val="561AE293"/>
    <w:rsid w:val="561D6A0D"/>
    <w:rsid w:val="56200C45"/>
    <w:rsid w:val="5622D1CE"/>
    <w:rsid w:val="56282342"/>
    <w:rsid w:val="5628C304"/>
    <w:rsid w:val="5629A921"/>
    <w:rsid w:val="5629C1EF"/>
    <w:rsid w:val="562D5E64"/>
    <w:rsid w:val="562F5CBA"/>
    <w:rsid w:val="562F7E70"/>
    <w:rsid w:val="562FF0ED"/>
    <w:rsid w:val="5633721B"/>
    <w:rsid w:val="5634DECE"/>
    <w:rsid w:val="5635AE11"/>
    <w:rsid w:val="563725B1"/>
    <w:rsid w:val="5638AED3"/>
    <w:rsid w:val="563AEE0F"/>
    <w:rsid w:val="563C86EE"/>
    <w:rsid w:val="563E6C73"/>
    <w:rsid w:val="563F86C1"/>
    <w:rsid w:val="56445FBA"/>
    <w:rsid w:val="56455622"/>
    <w:rsid w:val="564573FA"/>
    <w:rsid w:val="5646B954"/>
    <w:rsid w:val="5648459E"/>
    <w:rsid w:val="564C2804"/>
    <w:rsid w:val="564DA9C7"/>
    <w:rsid w:val="564E9287"/>
    <w:rsid w:val="564F35B2"/>
    <w:rsid w:val="564FE0FF"/>
    <w:rsid w:val="565132FC"/>
    <w:rsid w:val="5654FC75"/>
    <w:rsid w:val="565820CE"/>
    <w:rsid w:val="565886A3"/>
    <w:rsid w:val="56593504"/>
    <w:rsid w:val="565BD9D7"/>
    <w:rsid w:val="565CE019"/>
    <w:rsid w:val="565E3676"/>
    <w:rsid w:val="565E43F1"/>
    <w:rsid w:val="5663FB4B"/>
    <w:rsid w:val="5664C1BE"/>
    <w:rsid w:val="5664CA72"/>
    <w:rsid w:val="56651CCF"/>
    <w:rsid w:val="5665D7B4"/>
    <w:rsid w:val="566687A8"/>
    <w:rsid w:val="5666F92B"/>
    <w:rsid w:val="56677F1F"/>
    <w:rsid w:val="566AAABC"/>
    <w:rsid w:val="566AD843"/>
    <w:rsid w:val="566BE902"/>
    <w:rsid w:val="566D63BC"/>
    <w:rsid w:val="566DF3AA"/>
    <w:rsid w:val="5672AC31"/>
    <w:rsid w:val="5675C1A0"/>
    <w:rsid w:val="5676D30E"/>
    <w:rsid w:val="5676E612"/>
    <w:rsid w:val="56794DC5"/>
    <w:rsid w:val="567971B2"/>
    <w:rsid w:val="567CAC91"/>
    <w:rsid w:val="567CE6DF"/>
    <w:rsid w:val="567D2A2F"/>
    <w:rsid w:val="567D6F50"/>
    <w:rsid w:val="567D9A1F"/>
    <w:rsid w:val="56835627"/>
    <w:rsid w:val="56838843"/>
    <w:rsid w:val="5683C563"/>
    <w:rsid w:val="568460E9"/>
    <w:rsid w:val="5687096C"/>
    <w:rsid w:val="568A7625"/>
    <w:rsid w:val="568B663D"/>
    <w:rsid w:val="568D2EA9"/>
    <w:rsid w:val="568DBB9B"/>
    <w:rsid w:val="5692DD2C"/>
    <w:rsid w:val="5693B857"/>
    <w:rsid w:val="56A10DD4"/>
    <w:rsid w:val="56A28D63"/>
    <w:rsid w:val="56A42309"/>
    <w:rsid w:val="56A47D37"/>
    <w:rsid w:val="56A5A668"/>
    <w:rsid w:val="56A8236B"/>
    <w:rsid w:val="56A8FBEB"/>
    <w:rsid w:val="56A91800"/>
    <w:rsid w:val="56A9C263"/>
    <w:rsid w:val="56AEB96D"/>
    <w:rsid w:val="56B4E3BE"/>
    <w:rsid w:val="56B9DF4E"/>
    <w:rsid w:val="56BA9C14"/>
    <w:rsid w:val="56BDD9A3"/>
    <w:rsid w:val="56BE3138"/>
    <w:rsid w:val="56BE8C83"/>
    <w:rsid w:val="56C0D39C"/>
    <w:rsid w:val="56C185FB"/>
    <w:rsid w:val="56C25E65"/>
    <w:rsid w:val="56C53CB4"/>
    <w:rsid w:val="56C5FA67"/>
    <w:rsid w:val="56C7EBD6"/>
    <w:rsid w:val="56C92C47"/>
    <w:rsid w:val="56C9DCE8"/>
    <w:rsid w:val="56CAF9C3"/>
    <w:rsid w:val="56CB6252"/>
    <w:rsid w:val="56CD38AF"/>
    <w:rsid w:val="56CE288B"/>
    <w:rsid w:val="56CF1C17"/>
    <w:rsid w:val="56CF3215"/>
    <w:rsid w:val="56CFA47D"/>
    <w:rsid w:val="56D099DF"/>
    <w:rsid w:val="56D4263D"/>
    <w:rsid w:val="56D80CDA"/>
    <w:rsid w:val="56DB92ED"/>
    <w:rsid w:val="56DC4423"/>
    <w:rsid w:val="56DD2806"/>
    <w:rsid w:val="56DDADCF"/>
    <w:rsid w:val="56DE32FD"/>
    <w:rsid w:val="56DEEF98"/>
    <w:rsid w:val="56E08C1B"/>
    <w:rsid w:val="56E1C415"/>
    <w:rsid w:val="56E2B2EB"/>
    <w:rsid w:val="56E65461"/>
    <w:rsid w:val="56EDB7ED"/>
    <w:rsid w:val="56F04EAC"/>
    <w:rsid w:val="56F0EC26"/>
    <w:rsid w:val="56F46968"/>
    <w:rsid w:val="56F50477"/>
    <w:rsid w:val="56F5A7ED"/>
    <w:rsid w:val="56F88F4E"/>
    <w:rsid w:val="56F9F539"/>
    <w:rsid w:val="56FAFAA9"/>
    <w:rsid w:val="56FB389D"/>
    <w:rsid w:val="56FCAFA5"/>
    <w:rsid w:val="56FD015F"/>
    <w:rsid w:val="56FE3454"/>
    <w:rsid w:val="56FE4C1F"/>
    <w:rsid w:val="56FE5762"/>
    <w:rsid w:val="5703E02D"/>
    <w:rsid w:val="5706A410"/>
    <w:rsid w:val="5707365E"/>
    <w:rsid w:val="5708433D"/>
    <w:rsid w:val="57091CB8"/>
    <w:rsid w:val="57095658"/>
    <w:rsid w:val="570A116E"/>
    <w:rsid w:val="570C9BDE"/>
    <w:rsid w:val="570E7DF8"/>
    <w:rsid w:val="5710C298"/>
    <w:rsid w:val="57146825"/>
    <w:rsid w:val="57149FAB"/>
    <w:rsid w:val="5714F634"/>
    <w:rsid w:val="5715CBE8"/>
    <w:rsid w:val="5716E8FD"/>
    <w:rsid w:val="571719AD"/>
    <w:rsid w:val="5717D096"/>
    <w:rsid w:val="5718635D"/>
    <w:rsid w:val="57191F03"/>
    <w:rsid w:val="5719263E"/>
    <w:rsid w:val="571A76C6"/>
    <w:rsid w:val="571D2402"/>
    <w:rsid w:val="571E6354"/>
    <w:rsid w:val="571EDF55"/>
    <w:rsid w:val="571F6EE7"/>
    <w:rsid w:val="5721A523"/>
    <w:rsid w:val="57250505"/>
    <w:rsid w:val="57276AD6"/>
    <w:rsid w:val="57290242"/>
    <w:rsid w:val="57291FA8"/>
    <w:rsid w:val="572EA66F"/>
    <w:rsid w:val="572FF4C8"/>
    <w:rsid w:val="5731C316"/>
    <w:rsid w:val="57355CB5"/>
    <w:rsid w:val="57360FFD"/>
    <w:rsid w:val="573652E0"/>
    <w:rsid w:val="5736E0A4"/>
    <w:rsid w:val="57382DEB"/>
    <w:rsid w:val="5738B8C6"/>
    <w:rsid w:val="57395116"/>
    <w:rsid w:val="5739795B"/>
    <w:rsid w:val="573C1E60"/>
    <w:rsid w:val="573E45D7"/>
    <w:rsid w:val="573F8095"/>
    <w:rsid w:val="573F9C70"/>
    <w:rsid w:val="57426121"/>
    <w:rsid w:val="57431AEB"/>
    <w:rsid w:val="5744DF3B"/>
    <w:rsid w:val="57451D8F"/>
    <w:rsid w:val="5745EBCE"/>
    <w:rsid w:val="574658A5"/>
    <w:rsid w:val="5746AD85"/>
    <w:rsid w:val="57474923"/>
    <w:rsid w:val="57480359"/>
    <w:rsid w:val="574919FA"/>
    <w:rsid w:val="574B3942"/>
    <w:rsid w:val="574BA000"/>
    <w:rsid w:val="574E0369"/>
    <w:rsid w:val="575059B7"/>
    <w:rsid w:val="575548C8"/>
    <w:rsid w:val="57561504"/>
    <w:rsid w:val="57592F08"/>
    <w:rsid w:val="575BDA8F"/>
    <w:rsid w:val="575C2926"/>
    <w:rsid w:val="575C8AF4"/>
    <w:rsid w:val="575D9BF5"/>
    <w:rsid w:val="576021D7"/>
    <w:rsid w:val="576272C5"/>
    <w:rsid w:val="5766F8BD"/>
    <w:rsid w:val="576C0290"/>
    <w:rsid w:val="576E0A1F"/>
    <w:rsid w:val="57706F79"/>
    <w:rsid w:val="577227C9"/>
    <w:rsid w:val="57737BF4"/>
    <w:rsid w:val="577429F1"/>
    <w:rsid w:val="5776DF11"/>
    <w:rsid w:val="5777F9A7"/>
    <w:rsid w:val="57790B1B"/>
    <w:rsid w:val="57801E5C"/>
    <w:rsid w:val="578070F9"/>
    <w:rsid w:val="578155F6"/>
    <w:rsid w:val="5781A44B"/>
    <w:rsid w:val="57843029"/>
    <w:rsid w:val="57845134"/>
    <w:rsid w:val="5784FF2B"/>
    <w:rsid w:val="578554BA"/>
    <w:rsid w:val="57857225"/>
    <w:rsid w:val="57861C74"/>
    <w:rsid w:val="578627D6"/>
    <w:rsid w:val="57867356"/>
    <w:rsid w:val="5787C301"/>
    <w:rsid w:val="5787D024"/>
    <w:rsid w:val="578806D3"/>
    <w:rsid w:val="57894E1A"/>
    <w:rsid w:val="5789C53A"/>
    <w:rsid w:val="578B02AF"/>
    <w:rsid w:val="578E3544"/>
    <w:rsid w:val="578F0798"/>
    <w:rsid w:val="578F58AF"/>
    <w:rsid w:val="57911CCD"/>
    <w:rsid w:val="57912DC1"/>
    <w:rsid w:val="5791F788"/>
    <w:rsid w:val="5792310C"/>
    <w:rsid w:val="57943909"/>
    <w:rsid w:val="579660E7"/>
    <w:rsid w:val="5798252A"/>
    <w:rsid w:val="579B41F7"/>
    <w:rsid w:val="579C0457"/>
    <w:rsid w:val="579C1D20"/>
    <w:rsid w:val="57A3F19E"/>
    <w:rsid w:val="57A49BDA"/>
    <w:rsid w:val="57AE0612"/>
    <w:rsid w:val="57AEB4BB"/>
    <w:rsid w:val="57B1B9C3"/>
    <w:rsid w:val="57B22121"/>
    <w:rsid w:val="57B33DE2"/>
    <w:rsid w:val="57B48754"/>
    <w:rsid w:val="57B4F25D"/>
    <w:rsid w:val="57B6188D"/>
    <w:rsid w:val="57B7DD86"/>
    <w:rsid w:val="57B800A2"/>
    <w:rsid w:val="57B84DB3"/>
    <w:rsid w:val="57B8AEC4"/>
    <w:rsid w:val="57B964B2"/>
    <w:rsid w:val="57BD5729"/>
    <w:rsid w:val="57C18C9B"/>
    <w:rsid w:val="57C24A16"/>
    <w:rsid w:val="57C252DC"/>
    <w:rsid w:val="57C47129"/>
    <w:rsid w:val="57C75968"/>
    <w:rsid w:val="57C803A8"/>
    <w:rsid w:val="57C83169"/>
    <w:rsid w:val="57C83FFC"/>
    <w:rsid w:val="57CB2EF7"/>
    <w:rsid w:val="57D133F2"/>
    <w:rsid w:val="57D2BAE1"/>
    <w:rsid w:val="57D2DFDE"/>
    <w:rsid w:val="57D3FC2D"/>
    <w:rsid w:val="57D40D6C"/>
    <w:rsid w:val="57D51ABA"/>
    <w:rsid w:val="57D5D82C"/>
    <w:rsid w:val="57D84604"/>
    <w:rsid w:val="57DA2E69"/>
    <w:rsid w:val="57DAF93E"/>
    <w:rsid w:val="57DC627B"/>
    <w:rsid w:val="57DCCD92"/>
    <w:rsid w:val="57DCD447"/>
    <w:rsid w:val="57DD3F77"/>
    <w:rsid w:val="57DF9A45"/>
    <w:rsid w:val="57E0271F"/>
    <w:rsid w:val="57E0AFF5"/>
    <w:rsid w:val="57E0DB93"/>
    <w:rsid w:val="57E0DDB2"/>
    <w:rsid w:val="57E14795"/>
    <w:rsid w:val="57E5DEE6"/>
    <w:rsid w:val="57E97AF0"/>
    <w:rsid w:val="57EBB267"/>
    <w:rsid w:val="57EC08D5"/>
    <w:rsid w:val="57ECB063"/>
    <w:rsid w:val="57F41F65"/>
    <w:rsid w:val="57F425B4"/>
    <w:rsid w:val="57F43B07"/>
    <w:rsid w:val="57F8EBFB"/>
    <w:rsid w:val="57FA1C23"/>
    <w:rsid w:val="57FA4589"/>
    <w:rsid w:val="57FC216C"/>
    <w:rsid w:val="57FC90B5"/>
    <w:rsid w:val="57FF7842"/>
    <w:rsid w:val="57FFB124"/>
    <w:rsid w:val="580576D6"/>
    <w:rsid w:val="5805A822"/>
    <w:rsid w:val="5807C25C"/>
    <w:rsid w:val="5807FC48"/>
    <w:rsid w:val="580CD292"/>
    <w:rsid w:val="5810E049"/>
    <w:rsid w:val="5810FA73"/>
    <w:rsid w:val="5811AB72"/>
    <w:rsid w:val="58132077"/>
    <w:rsid w:val="58135E44"/>
    <w:rsid w:val="581360F1"/>
    <w:rsid w:val="5814280B"/>
    <w:rsid w:val="581447DF"/>
    <w:rsid w:val="58179BBA"/>
    <w:rsid w:val="58182BB3"/>
    <w:rsid w:val="58185AD2"/>
    <w:rsid w:val="581A7B7A"/>
    <w:rsid w:val="581A82F1"/>
    <w:rsid w:val="581B248D"/>
    <w:rsid w:val="581BEA4E"/>
    <w:rsid w:val="581C7B95"/>
    <w:rsid w:val="581DC352"/>
    <w:rsid w:val="581E30DF"/>
    <w:rsid w:val="581E9D50"/>
    <w:rsid w:val="58202D69"/>
    <w:rsid w:val="5826A351"/>
    <w:rsid w:val="5829C9EB"/>
    <w:rsid w:val="582A65F2"/>
    <w:rsid w:val="582B62CD"/>
    <w:rsid w:val="582C3E3F"/>
    <w:rsid w:val="582E5DB8"/>
    <w:rsid w:val="582F167C"/>
    <w:rsid w:val="582F1E86"/>
    <w:rsid w:val="58304FA7"/>
    <w:rsid w:val="5831817C"/>
    <w:rsid w:val="5833575E"/>
    <w:rsid w:val="58400D34"/>
    <w:rsid w:val="58404658"/>
    <w:rsid w:val="58436304"/>
    <w:rsid w:val="5844495D"/>
    <w:rsid w:val="5844CABA"/>
    <w:rsid w:val="584520ED"/>
    <w:rsid w:val="5848F154"/>
    <w:rsid w:val="584964BE"/>
    <w:rsid w:val="5849E780"/>
    <w:rsid w:val="584B4B53"/>
    <w:rsid w:val="584C4BAD"/>
    <w:rsid w:val="584DB613"/>
    <w:rsid w:val="585169CA"/>
    <w:rsid w:val="58517E5A"/>
    <w:rsid w:val="5851CED7"/>
    <w:rsid w:val="58547593"/>
    <w:rsid w:val="58574784"/>
    <w:rsid w:val="58580FC1"/>
    <w:rsid w:val="5858454E"/>
    <w:rsid w:val="5858C3C7"/>
    <w:rsid w:val="58598054"/>
    <w:rsid w:val="585D8803"/>
    <w:rsid w:val="5861CD32"/>
    <w:rsid w:val="5864D769"/>
    <w:rsid w:val="58653688"/>
    <w:rsid w:val="5868287D"/>
    <w:rsid w:val="586BD75B"/>
    <w:rsid w:val="586CD6F1"/>
    <w:rsid w:val="586CF007"/>
    <w:rsid w:val="586E77EE"/>
    <w:rsid w:val="5871F69C"/>
    <w:rsid w:val="5873688D"/>
    <w:rsid w:val="5874A689"/>
    <w:rsid w:val="58767CF5"/>
    <w:rsid w:val="587845B5"/>
    <w:rsid w:val="587A1DB9"/>
    <w:rsid w:val="587AB189"/>
    <w:rsid w:val="587CF0D1"/>
    <w:rsid w:val="587F0E9A"/>
    <w:rsid w:val="587F16B7"/>
    <w:rsid w:val="587F496C"/>
    <w:rsid w:val="5881A8CA"/>
    <w:rsid w:val="5881F943"/>
    <w:rsid w:val="588220BA"/>
    <w:rsid w:val="58861FEC"/>
    <w:rsid w:val="58880935"/>
    <w:rsid w:val="5889026F"/>
    <w:rsid w:val="5889F1DB"/>
    <w:rsid w:val="588E6EF9"/>
    <w:rsid w:val="5891A313"/>
    <w:rsid w:val="589219B2"/>
    <w:rsid w:val="58927206"/>
    <w:rsid w:val="5896ED31"/>
    <w:rsid w:val="58985715"/>
    <w:rsid w:val="589BE1F5"/>
    <w:rsid w:val="58A0244B"/>
    <w:rsid w:val="58A4E111"/>
    <w:rsid w:val="58A4EBF2"/>
    <w:rsid w:val="58A81626"/>
    <w:rsid w:val="58AA00D0"/>
    <w:rsid w:val="58AB13B6"/>
    <w:rsid w:val="58AD04EE"/>
    <w:rsid w:val="58ADEABE"/>
    <w:rsid w:val="58AEDA6F"/>
    <w:rsid w:val="58AEF865"/>
    <w:rsid w:val="58AF606C"/>
    <w:rsid w:val="58B35753"/>
    <w:rsid w:val="58B54CB9"/>
    <w:rsid w:val="58B8B29D"/>
    <w:rsid w:val="58BD1DAB"/>
    <w:rsid w:val="58C05AA4"/>
    <w:rsid w:val="58C13724"/>
    <w:rsid w:val="58C3E4CF"/>
    <w:rsid w:val="58C5AB05"/>
    <w:rsid w:val="58C5BE6F"/>
    <w:rsid w:val="58C6534A"/>
    <w:rsid w:val="58C71E8B"/>
    <w:rsid w:val="58C7F50A"/>
    <w:rsid w:val="58C81D82"/>
    <w:rsid w:val="58CA5728"/>
    <w:rsid w:val="58CB74FB"/>
    <w:rsid w:val="58CB9920"/>
    <w:rsid w:val="58CCB2BC"/>
    <w:rsid w:val="58CFD0D6"/>
    <w:rsid w:val="58D03D8D"/>
    <w:rsid w:val="58D0BB74"/>
    <w:rsid w:val="58D122A4"/>
    <w:rsid w:val="58D154A3"/>
    <w:rsid w:val="58D1F812"/>
    <w:rsid w:val="58D28A1A"/>
    <w:rsid w:val="58D91C28"/>
    <w:rsid w:val="58DA2019"/>
    <w:rsid w:val="58DC7826"/>
    <w:rsid w:val="58DD13BE"/>
    <w:rsid w:val="58E0A383"/>
    <w:rsid w:val="58E157CE"/>
    <w:rsid w:val="58E18C66"/>
    <w:rsid w:val="58E1D08F"/>
    <w:rsid w:val="58E4C3DB"/>
    <w:rsid w:val="58E6DAFE"/>
    <w:rsid w:val="58E8B2DB"/>
    <w:rsid w:val="58EA591C"/>
    <w:rsid w:val="58EB1371"/>
    <w:rsid w:val="58ED4D32"/>
    <w:rsid w:val="58EEBF28"/>
    <w:rsid w:val="58EF0423"/>
    <w:rsid w:val="58F0F17E"/>
    <w:rsid w:val="58F14D06"/>
    <w:rsid w:val="58F22D2A"/>
    <w:rsid w:val="58F2A5F2"/>
    <w:rsid w:val="58F35D7E"/>
    <w:rsid w:val="58F417C7"/>
    <w:rsid w:val="58F5DAF2"/>
    <w:rsid w:val="58F5F3B4"/>
    <w:rsid w:val="58F6AFBA"/>
    <w:rsid w:val="58F6D303"/>
    <w:rsid w:val="58F964C8"/>
    <w:rsid w:val="58F96EDC"/>
    <w:rsid w:val="58FB0FFE"/>
    <w:rsid w:val="58FB4006"/>
    <w:rsid w:val="58FB880D"/>
    <w:rsid w:val="58FBE757"/>
    <w:rsid w:val="5901EBC2"/>
    <w:rsid w:val="5903F027"/>
    <w:rsid w:val="59065C7A"/>
    <w:rsid w:val="590A599D"/>
    <w:rsid w:val="590C541F"/>
    <w:rsid w:val="590C90B6"/>
    <w:rsid w:val="5910F06C"/>
    <w:rsid w:val="5910F7EF"/>
    <w:rsid w:val="5912F966"/>
    <w:rsid w:val="59165CAB"/>
    <w:rsid w:val="5916A75F"/>
    <w:rsid w:val="591734C0"/>
    <w:rsid w:val="591BD5DA"/>
    <w:rsid w:val="5921762C"/>
    <w:rsid w:val="59230024"/>
    <w:rsid w:val="592414D1"/>
    <w:rsid w:val="5925BB8D"/>
    <w:rsid w:val="592BCB47"/>
    <w:rsid w:val="592D04A4"/>
    <w:rsid w:val="592DDB8B"/>
    <w:rsid w:val="592E7DFD"/>
    <w:rsid w:val="593179D1"/>
    <w:rsid w:val="5931FA9D"/>
    <w:rsid w:val="5932D1B2"/>
    <w:rsid w:val="5935067D"/>
    <w:rsid w:val="59363DA1"/>
    <w:rsid w:val="59365B14"/>
    <w:rsid w:val="593676B4"/>
    <w:rsid w:val="59398AEC"/>
    <w:rsid w:val="593B1FAF"/>
    <w:rsid w:val="593BE84C"/>
    <w:rsid w:val="593EC671"/>
    <w:rsid w:val="594190F1"/>
    <w:rsid w:val="59442F8C"/>
    <w:rsid w:val="59457920"/>
    <w:rsid w:val="594733E7"/>
    <w:rsid w:val="594ADC0F"/>
    <w:rsid w:val="594B0A5F"/>
    <w:rsid w:val="594BC983"/>
    <w:rsid w:val="594CAD1B"/>
    <w:rsid w:val="594F925B"/>
    <w:rsid w:val="59505E72"/>
    <w:rsid w:val="595096B6"/>
    <w:rsid w:val="59517B0F"/>
    <w:rsid w:val="5951F078"/>
    <w:rsid w:val="5955AF92"/>
    <w:rsid w:val="5955DA92"/>
    <w:rsid w:val="59565A7B"/>
    <w:rsid w:val="59592442"/>
    <w:rsid w:val="59592E60"/>
    <w:rsid w:val="595A3CD8"/>
    <w:rsid w:val="595A7398"/>
    <w:rsid w:val="595E8DCB"/>
    <w:rsid w:val="595FBEEC"/>
    <w:rsid w:val="5960971C"/>
    <w:rsid w:val="59630C85"/>
    <w:rsid w:val="59641288"/>
    <w:rsid w:val="5964D53A"/>
    <w:rsid w:val="5965C50F"/>
    <w:rsid w:val="5965DF06"/>
    <w:rsid w:val="59671567"/>
    <w:rsid w:val="596AD798"/>
    <w:rsid w:val="596C64A1"/>
    <w:rsid w:val="596C997C"/>
    <w:rsid w:val="596D03C6"/>
    <w:rsid w:val="596D2F1A"/>
    <w:rsid w:val="596E1243"/>
    <w:rsid w:val="596F38AB"/>
    <w:rsid w:val="5972DBC0"/>
    <w:rsid w:val="59735CFA"/>
    <w:rsid w:val="59737070"/>
    <w:rsid w:val="597659A6"/>
    <w:rsid w:val="5976EB2D"/>
    <w:rsid w:val="5977E5B7"/>
    <w:rsid w:val="597B3F6D"/>
    <w:rsid w:val="597CD299"/>
    <w:rsid w:val="597D67E8"/>
    <w:rsid w:val="597F004B"/>
    <w:rsid w:val="5981BC95"/>
    <w:rsid w:val="59850959"/>
    <w:rsid w:val="598CA4F0"/>
    <w:rsid w:val="598D1A27"/>
    <w:rsid w:val="598EB94B"/>
    <w:rsid w:val="598FE5E5"/>
    <w:rsid w:val="59907237"/>
    <w:rsid w:val="59927894"/>
    <w:rsid w:val="5994FA84"/>
    <w:rsid w:val="59959554"/>
    <w:rsid w:val="59959983"/>
    <w:rsid w:val="5999759E"/>
    <w:rsid w:val="5999A761"/>
    <w:rsid w:val="599AFE8D"/>
    <w:rsid w:val="599BD78B"/>
    <w:rsid w:val="59A0828F"/>
    <w:rsid w:val="59A36300"/>
    <w:rsid w:val="59A795EA"/>
    <w:rsid w:val="59A834CD"/>
    <w:rsid w:val="59A8A538"/>
    <w:rsid w:val="59A9F9DA"/>
    <w:rsid w:val="59AB12E5"/>
    <w:rsid w:val="59AB8AA4"/>
    <w:rsid w:val="59AFC53C"/>
    <w:rsid w:val="59B50AE8"/>
    <w:rsid w:val="59B753D8"/>
    <w:rsid w:val="59B833E5"/>
    <w:rsid w:val="59B97BD6"/>
    <w:rsid w:val="59BC387B"/>
    <w:rsid w:val="59BD7DA7"/>
    <w:rsid w:val="59BF5C13"/>
    <w:rsid w:val="59BF79C7"/>
    <w:rsid w:val="59BFF1B9"/>
    <w:rsid w:val="59C0AD9D"/>
    <w:rsid w:val="59C6BC84"/>
    <w:rsid w:val="59C9047F"/>
    <w:rsid w:val="59CADE44"/>
    <w:rsid w:val="59CE732E"/>
    <w:rsid w:val="59D03AFF"/>
    <w:rsid w:val="59D0C1B4"/>
    <w:rsid w:val="59D11329"/>
    <w:rsid w:val="59D23E7D"/>
    <w:rsid w:val="59D7BC85"/>
    <w:rsid w:val="59D8320B"/>
    <w:rsid w:val="59DCE06A"/>
    <w:rsid w:val="59DEBCC4"/>
    <w:rsid w:val="59DECE7E"/>
    <w:rsid w:val="59DFE22F"/>
    <w:rsid w:val="59E2847F"/>
    <w:rsid w:val="59E4DA87"/>
    <w:rsid w:val="59E59094"/>
    <w:rsid w:val="59E5BF98"/>
    <w:rsid w:val="59E5D6A6"/>
    <w:rsid w:val="59E69DB6"/>
    <w:rsid w:val="59E6E0CC"/>
    <w:rsid w:val="59EBBB90"/>
    <w:rsid w:val="59ECE3CB"/>
    <w:rsid w:val="59EDFC07"/>
    <w:rsid w:val="59EFE229"/>
    <w:rsid w:val="59F2240A"/>
    <w:rsid w:val="59F2FAEE"/>
    <w:rsid w:val="59F3A9E0"/>
    <w:rsid w:val="59F7158C"/>
    <w:rsid w:val="59F9158E"/>
    <w:rsid w:val="59FC36F9"/>
    <w:rsid w:val="59FD788A"/>
    <w:rsid w:val="59FDEBCA"/>
    <w:rsid w:val="59FF4E26"/>
    <w:rsid w:val="5A0046E9"/>
    <w:rsid w:val="5A00A5A1"/>
    <w:rsid w:val="5A00DA73"/>
    <w:rsid w:val="5A029371"/>
    <w:rsid w:val="5A04F106"/>
    <w:rsid w:val="5A075619"/>
    <w:rsid w:val="5A076ADC"/>
    <w:rsid w:val="5A094EEA"/>
    <w:rsid w:val="5A09EA60"/>
    <w:rsid w:val="5A0B9626"/>
    <w:rsid w:val="5A0CC338"/>
    <w:rsid w:val="5A0D864B"/>
    <w:rsid w:val="5A0E57B8"/>
    <w:rsid w:val="5A113DBA"/>
    <w:rsid w:val="5A1218EF"/>
    <w:rsid w:val="5A1275D3"/>
    <w:rsid w:val="5A13AB96"/>
    <w:rsid w:val="5A146508"/>
    <w:rsid w:val="5A155376"/>
    <w:rsid w:val="5A1556BE"/>
    <w:rsid w:val="5A15610B"/>
    <w:rsid w:val="5A163C51"/>
    <w:rsid w:val="5A1663AD"/>
    <w:rsid w:val="5A1D8997"/>
    <w:rsid w:val="5A1E3838"/>
    <w:rsid w:val="5A206CD5"/>
    <w:rsid w:val="5A22CD4B"/>
    <w:rsid w:val="5A235E0C"/>
    <w:rsid w:val="5A248206"/>
    <w:rsid w:val="5A27D066"/>
    <w:rsid w:val="5A2819D1"/>
    <w:rsid w:val="5A2A7B90"/>
    <w:rsid w:val="5A2C2FFC"/>
    <w:rsid w:val="5A2C883D"/>
    <w:rsid w:val="5A2D2E45"/>
    <w:rsid w:val="5A2E5702"/>
    <w:rsid w:val="5A2FDD4C"/>
    <w:rsid w:val="5A322E3B"/>
    <w:rsid w:val="5A33864C"/>
    <w:rsid w:val="5A33BFDF"/>
    <w:rsid w:val="5A3423E6"/>
    <w:rsid w:val="5A346D71"/>
    <w:rsid w:val="5A3513E3"/>
    <w:rsid w:val="5A353314"/>
    <w:rsid w:val="5A37F56B"/>
    <w:rsid w:val="5A397460"/>
    <w:rsid w:val="5A39C4DB"/>
    <w:rsid w:val="5A3B266B"/>
    <w:rsid w:val="5A3BDA26"/>
    <w:rsid w:val="5A3E8BE9"/>
    <w:rsid w:val="5A466ADC"/>
    <w:rsid w:val="5A47117B"/>
    <w:rsid w:val="5A487E97"/>
    <w:rsid w:val="5A4C12E8"/>
    <w:rsid w:val="5A4CDE9C"/>
    <w:rsid w:val="5A51DA85"/>
    <w:rsid w:val="5A5235FD"/>
    <w:rsid w:val="5A524BD6"/>
    <w:rsid w:val="5A54671E"/>
    <w:rsid w:val="5A570D44"/>
    <w:rsid w:val="5A59252D"/>
    <w:rsid w:val="5A5BEC63"/>
    <w:rsid w:val="5A5E5F1A"/>
    <w:rsid w:val="5A60A162"/>
    <w:rsid w:val="5A616326"/>
    <w:rsid w:val="5A617078"/>
    <w:rsid w:val="5A6217ED"/>
    <w:rsid w:val="5A64718F"/>
    <w:rsid w:val="5A65ABB3"/>
    <w:rsid w:val="5A66E619"/>
    <w:rsid w:val="5A67413D"/>
    <w:rsid w:val="5A68AB73"/>
    <w:rsid w:val="5A6AFF99"/>
    <w:rsid w:val="5A6CD027"/>
    <w:rsid w:val="5A6D83C0"/>
    <w:rsid w:val="5A6F2B9A"/>
    <w:rsid w:val="5A712D5A"/>
    <w:rsid w:val="5A728388"/>
    <w:rsid w:val="5A75C7B8"/>
    <w:rsid w:val="5A7689A0"/>
    <w:rsid w:val="5A77CB96"/>
    <w:rsid w:val="5A7841CF"/>
    <w:rsid w:val="5A789154"/>
    <w:rsid w:val="5A78B28E"/>
    <w:rsid w:val="5A795085"/>
    <w:rsid w:val="5A795464"/>
    <w:rsid w:val="5A7966FE"/>
    <w:rsid w:val="5A798E5A"/>
    <w:rsid w:val="5A7BD6EF"/>
    <w:rsid w:val="5A7CB6AF"/>
    <w:rsid w:val="5A7D328D"/>
    <w:rsid w:val="5A7DD89C"/>
    <w:rsid w:val="5A7E0145"/>
    <w:rsid w:val="5A7E03C3"/>
    <w:rsid w:val="5A8182C5"/>
    <w:rsid w:val="5A819DF9"/>
    <w:rsid w:val="5A8228B8"/>
    <w:rsid w:val="5A84A7A4"/>
    <w:rsid w:val="5A866FF0"/>
    <w:rsid w:val="5A87BF16"/>
    <w:rsid w:val="5A8C711B"/>
    <w:rsid w:val="5A8D4386"/>
    <w:rsid w:val="5A8E0C6D"/>
    <w:rsid w:val="5A8F4913"/>
    <w:rsid w:val="5A91C077"/>
    <w:rsid w:val="5A925D48"/>
    <w:rsid w:val="5A92645A"/>
    <w:rsid w:val="5A962826"/>
    <w:rsid w:val="5A96A4A6"/>
    <w:rsid w:val="5A98D643"/>
    <w:rsid w:val="5A992288"/>
    <w:rsid w:val="5A9A7E7F"/>
    <w:rsid w:val="5A9C2FBA"/>
    <w:rsid w:val="5A9C6DCF"/>
    <w:rsid w:val="5A9D794C"/>
    <w:rsid w:val="5A9D9EDE"/>
    <w:rsid w:val="5A9F4C3B"/>
    <w:rsid w:val="5AA13AED"/>
    <w:rsid w:val="5AA1957E"/>
    <w:rsid w:val="5AA21DF4"/>
    <w:rsid w:val="5AA2A6F9"/>
    <w:rsid w:val="5AA4186C"/>
    <w:rsid w:val="5AA4FF71"/>
    <w:rsid w:val="5AA71E32"/>
    <w:rsid w:val="5AA87545"/>
    <w:rsid w:val="5AAC6152"/>
    <w:rsid w:val="5AACAB50"/>
    <w:rsid w:val="5AACFAC3"/>
    <w:rsid w:val="5AAD27C0"/>
    <w:rsid w:val="5AAE5B29"/>
    <w:rsid w:val="5AB522DC"/>
    <w:rsid w:val="5AB719D0"/>
    <w:rsid w:val="5AB9C7AD"/>
    <w:rsid w:val="5ABBFC6D"/>
    <w:rsid w:val="5ABD274C"/>
    <w:rsid w:val="5ABE6262"/>
    <w:rsid w:val="5ABEEC5E"/>
    <w:rsid w:val="5AC0F200"/>
    <w:rsid w:val="5AC14B98"/>
    <w:rsid w:val="5AC2DCE5"/>
    <w:rsid w:val="5AC3E487"/>
    <w:rsid w:val="5AC3FBC3"/>
    <w:rsid w:val="5AC966B9"/>
    <w:rsid w:val="5ACF770F"/>
    <w:rsid w:val="5ACFFE7A"/>
    <w:rsid w:val="5AD037C6"/>
    <w:rsid w:val="5AD68841"/>
    <w:rsid w:val="5AD74B77"/>
    <w:rsid w:val="5AD7C0D1"/>
    <w:rsid w:val="5AD905F4"/>
    <w:rsid w:val="5AE0E957"/>
    <w:rsid w:val="5AE2AEAE"/>
    <w:rsid w:val="5AE36F8B"/>
    <w:rsid w:val="5AE5232C"/>
    <w:rsid w:val="5AE82C07"/>
    <w:rsid w:val="5AE968A0"/>
    <w:rsid w:val="5AEA9F17"/>
    <w:rsid w:val="5AF1194C"/>
    <w:rsid w:val="5AF368A2"/>
    <w:rsid w:val="5AF5A3C0"/>
    <w:rsid w:val="5AF6B49C"/>
    <w:rsid w:val="5AF791C6"/>
    <w:rsid w:val="5AF9A7D2"/>
    <w:rsid w:val="5AFBA87E"/>
    <w:rsid w:val="5AFBEE35"/>
    <w:rsid w:val="5AFDF3E6"/>
    <w:rsid w:val="5AFE010D"/>
    <w:rsid w:val="5AFE68A4"/>
    <w:rsid w:val="5B0530FA"/>
    <w:rsid w:val="5B05CE5F"/>
    <w:rsid w:val="5B06A95C"/>
    <w:rsid w:val="5B06C6F2"/>
    <w:rsid w:val="5B06E041"/>
    <w:rsid w:val="5B07BB94"/>
    <w:rsid w:val="5B0972C5"/>
    <w:rsid w:val="5B09A0B7"/>
    <w:rsid w:val="5B0A29B1"/>
    <w:rsid w:val="5B0DE870"/>
    <w:rsid w:val="5B0E9DBF"/>
    <w:rsid w:val="5B0F222A"/>
    <w:rsid w:val="5B115F5E"/>
    <w:rsid w:val="5B118265"/>
    <w:rsid w:val="5B11A042"/>
    <w:rsid w:val="5B137BE0"/>
    <w:rsid w:val="5B15143C"/>
    <w:rsid w:val="5B16A999"/>
    <w:rsid w:val="5B1985E0"/>
    <w:rsid w:val="5B19D163"/>
    <w:rsid w:val="5B19EA0C"/>
    <w:rsid w:val="5B1C6099"/>
    <w:rsid w:val="5B1CA2E2"/>
    <w:rsid w:val="5B1E70FB"/>
    <w:rsid w:val="5B1E90A8"/>
    <w:rsid w:val="5B212D93"/>
    <w:rsid w:val="5B2261EF"/>
    <w:rsid w:val="5B2288F9"/>
    <w:rsid w:val="5B2624B4"/>
    <w:rsid w:val="5B2813AC"/>
    <w:rsid w:val="5B28C9DF"/>
    <w:rsid w:val="5B2A02C7"/>
    <w:rsid w:val="5B2AA51E"/>
    <w:rsid w:val="5B335C22"/>
    <w:rsid w:val="5B3487FA"/>
    <w:rsid w:val="5B351DE5"/>
    <w:rsid w:val="5B397389"/>
    <w:rsid w:val="5B3AE6AB"/>
    <w:rsid w:val="5B3BA1AA"/>
    <w:rsid w:val="5B3C62D5"/>
    <w:rsid w:val="5B3CE7A0"/>
    <w:rsid w:val="5B3D19BE"/>
    <w:rsid w:val="5B3DBF3F"/>
    <w:rsid w:val="5B3EF5F1"/>
    <w:rsid w:val="5B467DB2"/>
    <w:rsid w:val="5B496F04"/>
    <w:rsid w:val="5B49D24A"/>
    <w:rsid w:val="5B4A5482"/>
    <w:rsid w:val="5B4CA499"/>
    <w:rsid w:val="5B4DB93D"/>
    <w:rsid w:val="5B52839A"/>
    <w:rsid w:val="5B57C3C0"/>
    <w:rsid w:val="5B58C51E"/>
    <w:rsid w:val="5B58CC66"/>
    <w:rsid w:val="5B58E763"/>
    <w:rsid w:val="5B59D522"/>
    <w:rsid w:val="5B5A40FA"/>
    <w:rsid w:val="5B5C05CB"/>
    <w:rsid w:val="5B5C836F"/>
    <w:rsid w:val="5B5D9AA9"/>
    <w:rsid w:val="5B5E7CE9"/>
    <w:rsid w:val="5B60468B"/>
    <w:rsid w:val="5B6061A5"/>
    <w:rsid w:val="5B60D516"/>
    <w:rsid w:val="5B624AF5"/>
    <w:rsid w:val="5B625BE0"/>
    <w:rsid w:val="5B643B52"/>
    <w:rsid w:val="5B66E31F"/>
    <w:rsid w:val="5B683CAE"/>
    <w:rsid w:val="5B6843D1"/>
    <w:rsid w:val="5B69BA3B"/>
    <w:rsid w:val="5B6C8392"/>
    <w:rsid w:val="5B6E3DD1"/>
    <w:rsid w:val="5B7342AB"/>
    <w:rsid w:val="5B734725"/>
    <w:rsid w:val="5B75E1F2"/>
    <w:rsid w:val="5B773484"/>
    <w:rsid w:val="5B78BE04"/>
    <w:rsid w:val="5B79B998"/>
    <w:rsid w:val="5B7BD9AE"/>
    <w:rsid w:val="5B7D03E6"/>
    <w:rsid w:val="5B7E21D1"/>
    <w:rsid w:val="5B7F2A81"/>
    <w:rsid w:val="5B8179BE"/>
    <w:rsid w:val="5B83C4DA"/>
    <w:rsid w:val="5B8480D2"/>
    <w:rsid w:val="5B863D74"/>
    <w:rsid w:val="5B8DF306"/>
    <w:rsid w:val="5B8EA7B8"/>
    <w:rsid w:val="5B90802F"/>
    <w:rsid w:val="5B938F8F"/>
    <w:rsid w:val="5B96423C"/>
    <w:rsid w:val="5B96998F"/>
    <w:rsid w:val="5B97E044"/>
    <w:rsid w:val="5B9BA495"/>
    <w:rsid w:val="5B9BCD3B"/>
    <w:rsid w:val="5B9C22D7"/>
    <w:rsid w:val="5B9C4A76"/>
    <w:rsid w:val="5B9D0D27"/>
    <w:rsid w:val="5B9D16F5"/>
    <w:rsid w:val="5B9E44F7"/>
    <w:rsid w:val="5B9F9D67"/>
    <w:rsid w:val="5BA10477"/>
    <w:rsid w:val="5BA2012C"/>
    <w:rsid w:val="5BA23586"/>
    <w:rsid w:val="5BA425D0"/>
    <w:rsid w:val="5BA51348"/>
    <w:rsid w:val="5BA64FDD"/>
    <w:rsid w:val="5BA71A1D"/>
    <w:rsid w:val="5BA7AC84"/>
    <w:rsid w:val="5BAAEE5A"/>
    <w:rsid w:val="5BADF390"/>
    <w:rsid w:val="5BAE6B65"/>
    <w:rsid w:val="5BAFD799"/>
    <w:rsid w:val="5BB64998"/>
    <w:rsid w:val="5BB974F4"/>
    <w:rsid w:val="5BBA7BA4"/>
    <w:rsid w:val="5BBB1BF8"/>
    <w:rsid w:val="5BBBB37E"/>
    <w:rsid w:val="5BBC3173"/>
    <w:rsid w:val="5BBEBBAA"/>
    <w:rsid w:val="5BC0417F"/>
    <w:rsid w:val="5BC20A6F"/>
    <w:rsid w:val="5BC2867B"/>
    <w:rsid w:val="5BC3296F"/>
    <w:rsid w:val="5BC378AC"/>
    <w:rsid w:val="5BC44AFE"/>
    <w:rsid w:val="5BC59971"/>
    <w:rsid w:val="5BC80C6D"/>
    <w:rsid w:val="5BCD5729"/>
    <w:rsid w:val="5BD01DB1"/>
    <w:rsid w:val="5BD0B9AA"/>
    <w:rsid w:val="5BD287CA"/>
    <w:rsid w:val="5BD2D48C"/>
    <w:rsid w:val="5BD3DADB"/>
    <w:rsid w:val="5BD40CC5"/>
    <w:rsid w:val="5BD57B7E"/>
    <w:rsid w:val="5BD85D3F"/>
    <w:rsid w:val="5BDC34E8"/>
    <w:rsid w:val="5BDD5FFE"/>
    <w:rsid w:val="5BDEB412"/>
    <w:rsid w:val="5BDFD03F"/>
    <w:rsid w:val="5BE16B59"/>
    <w:rsid w:val="5BE20F2C"/>
    <w:rsid w:val="5BE37F8B"/>
    <w:rsid w:val="5BE6B812"/>
    <w:rsid w:val="5BE75756"/>
    <w:rsid w:val="5BE7F236"/>
    <w:rsid w:val="5BE8DB6A"/>
    <w:rsid w:val="5BEA65C5"/>
    <w:rsid w:val="5BEB730C"/>
    <w:rsid w:val="5BEB7B3A"/>
    <w:rsid w:val="5BECF023"/>
    <w:rsid w:val="5BED700E"/>
    <w:rsid w:val="5BF2C6F0"/>
    <w:rsid w:val="5BF362AE"/>
    <w:rsid w:val="5BF4A718"/>
    <w:rsid w:val="5BF56AA6"/>
    <w:rsid w:val="5BF5D1E8"/>
    <w:rsid w:val="5BF9AC09"/>
    <w:rsid w:val="5BF9B4AC"/>
    <w:rsid w:val="5BFBF3B5"/>
    <w:rsid w:val="5BFE895E"/>
    <w:rsid w:val="5C008E7C"/>
    <w:rsid w:val="5C015E16"/>
    <w:rsid w:val="5C039580"/>
    <w:rsid w:val="5C05927D"/>
    <w:rsid w:val="5C0B4ECD"/>
    <w:rsid w:val="5C0B70A9"/>
    <w:rsid w:val="5C0FF867"/>
    <w:rsid w:val="5C10106D"/>
    <w:rsid w:val="5C103F2E"/>
    <w:rsid w:val="5C16BEDA"/>
    <w:rsid w:val="5C1BD93F"/>
    <w:rsid w:val="5C1C4E16"/>
    <w:rsid w:val="5C1D13BC"/>
    <w:rsid w:val="5C1D60FC"/>
    <w:rsid w:val="5C21349E"/>
    <w:rsid w:val="5C2246AF"/>
    <w:rsid w:val="5C232627"/>
    <w:rsid w:val="5C249652"/>
    <w:rsid w:val="5C24BD60"/>
    <w:rsid w:val="5C27CEB8"/>
    <w:rsid w:val="5C29097C"/>
    <w:rsid w:val="5C2ABDAF"/>
    <w:rsid w:val="5C2B28FB"/>
    <w:rsid w:val="5C2CE89D"/>
    <w:rsid w:val="5C3046A8"/>
    <w:rsid w:val="5C312E2C"/>
    <w:rsid w:val="5C322DC1"/>
    <w:rsid w:val="5C33A9B4"/>
    <w:rsid w:val="5C35D5E5"/>
    <w:rsid w:val="5C364C47"/>
    <w:rsid w:val="5C3714D7"/>
    <w:rsid w:val="5C37A182"/>
    <w:rsid w:val="5C3CA71A"/>
    <w:rsid w:val="5C3F75A7"/>
    <w:rsid w:val="5C4400D0"/>
    <w:rsid w:val="5C448789"/>
    <w:rsid w:val="5C48B782"/>
    <w:rsid w:val="5C4A042C"/>
    <w:rsid w:val="5C4BAFDC"/>
    <w:rsid w:val="5C4C0274"/>
    <w:rsid w:val="5C4D5B8A"/>
    <w:rsid w:val="5C4EA2C8"/>
    <w:rsid w:val="5C5012B4"/>
    <w:rsid w:val="5C503BB3"/>
    <w:rsid w:val="5C50CAFF"/>
    <w:rsid w:val="5C543F87"/>
    <w:rsid w:val="5C54B930"/>
    <w:rsid w:val="5C55833D"/>
    <w:rsid w:val="5C563684"/>
    <w:rsid w:val="5C576044"/>
    <w:rsid w:val="5C57E7FF"/>
    <w:rsid w:val="5C5994AE"/>
    <w:rsid w:val="5C59E9F4"/>
    <w:rsid w:val="5C5A14C7"/>
    <w:rsid w:val="5C5A516F"/>
    <w:rsid w:val="5C5A5709"/>
    <w:rsid w:val="5C5AD1DA"/>
    <w:rsid w:val="5C602C9C"/>
    <w:rsid w:val="5C633AA6"/>
    <w:rsid w:val="5C6565A1"/>
    <w:rsid w:val="5C6941BD"/>
    <w:rsid w:val="5C6957DE"/>
    <w:rsid w:val="5C69D16B"/>
    <w:rsid w:val="5C6B274D"/>
    <w:rsid w:val="5C6CAA53"/>
    <w:rsid w:val="5C6F153C"/>
    <w:rsid w:val="5C6F841F"/>
    <w:rsid w:val="5C73C1BD"/>
    <w:rsid w:val="5C74875B"/>
    <w:rsid w:val="5C74CD30"/>
    <w:rsid w:val="5C7540D5"/>
    <w:rsid w:val="5C773BDC"/>
    <w:rsid w:val="5C79C629"/>
    <w:rsid w:val="5C79CDFB"/>
    <w:rsid w:val="5C7A6235"/>
    <w:rsid w:val="5C7B5735"/>
    <w:rsid w:val="5C8187F6"/>
    <w:rsid w:val="5C81D6FE"/>
    <w:rsid w:val="5C835040"/>
    <w:rsid w:val="5C85E918"/>
    <w:rsid w:val="5C882A4D"/>
    <w:rsid w:val="5C8874F1"/>
    <w:rsid w:val="5C8B41FC"/>
    <w:rsid w:val="5C8C3BFF"/>
    <w:rsid w:val="5C8DBC70"/>
    <w:rsid w:val="5C8EBD7C"/>
    <w:rsid w:val="5C8F75D7"/>
    <w:rsid w:val="5C8F8C91"/>
    <w:rsid w:val="5C9035AB"/>
    <w:rsid w:val="5C90FB70"/>
    <w:rsid w:val="5C924FD9"/>
    <w:rsid w:val="5C932678"/>
    <w:rsid w:val="5C935287"/>
    <w:rsid w:val="5C94D62B"/>
    <w:rsid w:val="5C98DDA0"/>
    <w:rsid w:val="5C9A822E"/>
    <w:rsid w:val="5C9AE66F"/>
    <w:rsid w:val="5C9B4A77"/>
    <w:rsid w:val="5C9D195B"/>
    <w:rsid w:val="5CA0FB41"/>
    <w:rsid w:val="5CA29825"/>
    <w:rsid w:val="5CA318CC"/>
    <w:rsid w:val="5CA36545"/>
    <w:rsid w:val="5CA573D0"/>
    <w:rsid w:val="5CA66DDE"/>
    <w:rsid w:val="5CAC5A7C"/>
    <w:rsid w:val="5CAC9ED1"/>
    <w:rsid w:val="5CB05BDE"/>
    <w:rsid w:val="5CB0A80B"/>
    <w:rsid w:val="5CB0ED68"/>
    <w:rsid w:val="5CB1D050"/>
    <w:rsid w:val="5CB65638"/>
    <w:rsid w:val="5CB79BA5"/>
    <w:rsid w:val="5CB9E596"/>
    <w:rsid w:val="5CBB88EA"/>
    <w:rsid w:val="5CBC9B0B"/>
    <w:rsid w:val="5CBD5589"/>
    <w:rsid w:val="5CBD7A29"/>
    <w:rsid w:val="5CC03A74"/>
    <w:rsid w:val="5CC19156"/>
    <w:rsid w:val="5CC2A9D8"/>
    <w:rsid w:val="5CC2EFC7"/>
    <w:rsid w:val="5CC73481"/>
    <w:rsid w:val="5CC78752"/>
    <w:rsid w:val="5CC85EEE"/>
    <w:rsid w:val="5CC9A679"/>
    <w:rsid w:val="5CC9AD4C"/>
    <w:rsid w:val="5CC9BE1A"/>
    <w:rsid w:val="5CCFE8EF"/>
    <w:rsid w:val="5CD173F8"/>
    <w:rsid w:val="5CD1E110"/>
    <w:rsid w:val="5CD4DF63"/>
    <w:rsid w:val="5CD588F6"/>
    <w:rsid w:val="5CD76976"/>
    <w:rsid w:val="5CD81141"/>
    <w:rsid w:val="5CD91D6A"/>
    <w:rsid w:val="5CDA4459"/>
    <w:rsid w:val="5CDB9A87"/>
    <w:rsid w:val="5CDE4DCB"/>
    <w:rsid w:val="5CDE8D75"/>
    <w:rsid w:val="5CE09754"/>
    <w:rsid w:val="5CE73EA6"/>
    <w:rsid w:val="5CE7950D"/>
    <w:rsid w:val="5CE7EDC1"/>
    <w:rsid w:val="5CE9465B"/>
    <w:rsid w:val="5CEA03F3"/>
    <w:rsid w:val="5CEA5903"/>
    <w:rsid w:val="5CEA5F0F"/>
    <w:rsid w:val="5CEF6EEA"/>
    <w:rsid w:val="5CF12E75"/>
    <w:rsid w:val="5CF3BE6E"/>
    <w:rsid w:val="5CF4420B"/>
    <w:rsid w:val="5CF7F735"/>
    <w:rsid w:val="5CF82F44"/>
    <w:rsid w:val="5CFC3AE8"/>
    <w:rsid w:val="5CFCD261"/>
    <w:rsid w:val="5CFFAB36"/>
    <w:rsid w:val="5D00F7A5"/>
    <w:rsid w:val="5D01A9CF"/>
    <w:rsid w:val="5D0284F0"/>
    <w:rsid w:val="5D084C11"/>
    <w:rsid w:val="5D087F45"/>
    <w:rsid w:val="5D08B007"/>
    <w:rsid w:val="5D0914A8"/>
    <w:rsid w:val="5D0B442F"/>
    <w:rsid w:val="5D0B6488"/>
    <w:rsid w:val="5D0C79FD"/>
    <w:rsid w:val="5D0D4152"/>
    <w:rsid w:val="5D0E6297"/>
    <w:rsid w:val="5D112F38"/>
    <w:rsid w:val="5D13345B"/>
    <w:rsid w:val="5D13567B"/>
    <w:rsid w:val="5D13C917"/>
    <w:rsid w:val="5D13CD6A"/>
    <w:rsid w:val="5D14C9F9"/>
    <w:rsid w:val="5D172718"/>
    <w:rsid w:val="5D175618"/>
    <w:rsid w:val="5D185F6D"/>
    <w:rsid w:val="5D19CD57"/>
    <w:rsid w:val="5D1A6C29"/>
    <w:rsid w:val="5D1D3780"/>
    <w:rsid w:val="5D1E5BFC"/>
    <w:rsid w:val="5D20DEF7"/>
    <w:rsid w:val="5D218202"/>
    <w:rsid w:val="5D21EF54"/>
    <w:rsid w:val="5D260C50"/>
    <w:rsid w:val="5D28126A"/>
    <w:rsid w:val="5D28B7D5"/>
    <w:rsid w:val="5D29597B"/>
    <w:rsid w:val="5D2E34CF"/>
    <w:rsid w:val="5D2E8BCE"/>
    <w:rsid w:val="5D2FCADE"/>
    <w:rsid w:val="5D301F57"/>
    <w:rsid w:val="5D30DB32"/>
    <w:rsid w:val="5D3349BF"/>
    <w:rsid w:val="5D33645D"/>
    <w:rsid w:val="5D33B7E9"/>
    <w:rsid w:val="5D37345B"/>
    <w:rsid w:val="5D378EED"/>
    <w:rsid w:val="5D379CF1"/>
    <w:rsid w:val="5D38499E"/>
    <w:rsid w:val="5D3BF9A2"/>
    <w:rsid w:val="5D3E80FE"/>
    <w:rsid w:val="5D3E83AA"/>
    <w:rsid w:val="5D3F7421"/>
    <w:rsid w:val="5D46BBB8"/>
    <w:rsid w:val="5D4850FE"/>
    <w:rsid w:val="5D49072C"/>
    <w:rsid w:val="5D493882"/>
    <w:rsid w:val="5D503FC8"/>
    <w:rsid w:val="5D5427A5"/>
    <w:rsid w:val="5D542CB2"/>
    <w:rsid w:val="5D557AC6"/>
    <w:rsid w:val="5D55D04E"/>
    <w:rsid w:val="5D5666C8"/>
    <w:rsid w:val="5D5B02C6"/>
    <w:rsid w:val="5D5B1D72"/>
    <w:rsid w:val="5D5D5105"/>
    <w:rsid w:val="5D5F0920"/>
    <w:rsid w:val="5D5F26C8"/>
    <w:rsid w:val="5D5F6A46"/>
    <w:rsid w:val="5D6108A2"/>
    <w:rsid w:val="5D610C0A"/>
    <w:rsid w:val="5D617347"/>
    <w:rsid w:val="5D61D35C"/>
    <w:rsid w:val="5D644CAC"/>
    <w:rsid w:val="5D655341"/>
    <w:rsid w:val="5D6592FD"/>
    <w:rsid w:val="5D660777"/>
    <w:rsid w:val="5D666F84"/>
    <w:rsid w:val="5D66BF8A"/>
    <w:rsid w:val="5D66E92B"/>
    <w:rsid w:val="5D672B80"/>
    <w:rsid w:val="5D67B172"/>
    <w:rsid w:val="5D68ADE5"/>
    <w:rsid w:val="5D6972C0"/>
    <w:rsid w:val="5D6C2821"/>
    <w:rsid w:val="5D6D5200"/>
    <w:rsid w:val="5D6E009E"/>
    <w:rsid w:val="5D7158C8"/>
    <w:rsid w:val="5D74CA03"/>
    <w:rsid w:val="5D772F9A"/>
    <w:rsid w:val="5D7807A0"/>
    <w:rsid w:val="5D791AED"/>
    <w:rsid w:val="5D7954DC"/>
    <w:rsid w:val="5D7D29D0"/>
    <w:rsid w:val="5D7E3146"/>
    <w:rsid w:val="5D7EF641"/>
    <w:rsid w:val="5D7F2C67"/>
    <w:rsid w:val="5D820339"/>
    <w:rsid w:val="5D842DEB"/>
    <w:rsid w:val="5D890E26"/>
    <w:rsid w:val="5D8C0DC2"/>
    <w:rsid w:val="5D8C5E23"/>
    <w:rsid w:val="5D8EA5EB"/>
    <w:rsid w:val="5D8FB989"/>
    <w:rsid w:val="5D8FBD5A"/>
    <w:rsid w:val="5D90BA6C"/>
    <w:rsid w:val="5D94B95C"/>
    <w:rsid w:val="5D95579A"/>
    <w:rsid w:val="5D96C81F"/>
    <w:rsid w:val="5D9AACCC"/>
    <w:rsid w:val="5D9B39DA"/>
    <w:rsid w:val="5D9B7D01"/>
    <w:rsid w:val="5D9C892E"/>
    <w:rsid w:val="5D9DD469"/>
    <w:rsid w:val="5D9F7A34"/>
    <w:rsid w:val="5DA10C0E"/>
    <w:rsid w:val="5DA6D1F3"/>
    <w:rsid w:val="5DA82174"/>
    <w:rsid w:val="5DA8D729"/>
    <w:rsid w:val="5DA966A3"/>
    <w:rsid w:val="5DA9C063"/>
    <w:rsid w:val="5DAC4D12"/>
    <w:rsid w:val="5DAFA840"/>
    <w:rsid w:val="5DAFDBEA"/>
    <w:rsid w:val="5DB26BDF"/>
    <w:rsid w:val="5DB74A59"/>
    <w:rsid w:val="5DB96008"/>
    <w:rsid w:val="5DBA2972"/>
    <w:rsid w:val="5DBAB513"/>
    <w:rsid w:val="5DBAD992"/>
    <w:rsid w:val="5DC3179E"/>
    <w:rsid w:val="5DC3C98D"/>
    <w:rsid w:val="5DC453E2"/>
    <w:rsid w:val="5DC90291"/>
    <w:rsid w:val="5DCA9EDF"/>
    <w:rsid w:val="5DCADF23"/>
    <w:rsid w:val="5DCB2420"/>
    <w:rsid w:val="5DCB6A04"/>
    <w:rsid w:val="5DD00827"/>
    <w:rsid w:val="5DD06240"/>
    <w:rsid w:val="5DD15ECF"/>
    <w:rsid w:val="5DD1A5EA"/>
    <w:rsid w:val="5DD2F984"/>
    <w:rsid w:val="5DD34824"/>
    <w:rsid w:val="5DD72505"/>
    <w:rsid w:val="5DD90DFB"/>
    <w:rsid w:val="5DDB5EC7"/>
    <w:rsid w:val="5DE1B9AA"/>
    <w:rsid w:val="5DE1BFB2"/>
    <w:rsid w:val="5DE2CC97"/>
    <w:rsid w:val="5DE34B52"/>
    <w:rsid w:val="5DE441BC"/>
    <w:rsid w:val="5DE479E9"/>
    <w:rsid w:val="5DE81414"/>
    <w:rsid w:val="5DE936AB"/>
    <w:rsid w:val="5DEA33CD"/>
    <w:rsid w:val="5DEEC454"/>
    <w:rsid w:val="5DEFF27D"/>
    <w:rsid w:val="5DF059FD"/>
    <w:rsid w:val="5DF27471"/>
    <w:rsid w:val="5DF6DBC1"/>
    <w:rsid w:val="5DFD1AA8"/>
    <w:rsid w:val="5DFD369A"/>
    <w:rsid w:val="5E0142E7"/>
    <w:rsid w:val="5E018E79"/>
    <w:rsid w:val="5E04D3F5"/>
    <w:rsid w:val="5E0618C0"/>
    <w:rsid w:val="5E063ED3"/>
    <w:rsid w:val="5E066981"/>
    <w:rsid w:val="5E082978"/>
    <w:rsid w:val="5E095C81"/>
    <w:rsid w:val="5E0B439A"/>
    <w:rsid w:val="5E0C0AAE"/>
    <w:rsid w:val="5E0C752F"/>
    <w:rsid w:val="5E0E590C"/>
    <w:rsid w:val="5E0EE53A"/>
    <w:rsid w:val="5E10F209"/>
    <w:rsid w:val="5E11D791"/>
    <w:rsid w:val="5E128396"/>
    <w:rsid w:val="5E1336E3"/>
    <w:rsid w:val="5E16FA05"/>
    <w:rsid w:val="5E1A84E3"/>
    <w:rsid w:val="5E1AEC1D"/>
    <w:rsid w:val="5E1CA5C8"/>
    <w:rsid w:val="5E1E0B6A"/>
    <w:rsid w:val="5E1EE88D"/>
    <w:rsid w:val="5E21A080"/>
    <w:rsid w:val="5E21ABDB"/>
    <w:rsid w:val="5E21DCF2"/>
    <w:rsid w:val="5E2206B3"/>
    <w:rsid w:val="5E22EAF8"/>
    <w:rsid w:val="5E23926D"/>
    <w:rsid w:val="5E25ACD6"/>
    <w:rsid w:val="5E25BB21"/>
    <w:rsid w:val="5E2605C6"/>
    <w:rsid w:val="5E27538F"/>
    <w:rsid w:val="5E291DF4"/>
    <w:rsid w:val="5E2B454F"/>
    <w:rsid w:val="5E2D4E7E"/>
    <w:rsid w:val="5E2E0F39"/>
    <w:rsid w:val="5E317702"/>
    <w:rsid w:val="5E31C17F"/>
    <w:rsid w:val="5E328437"/>
    <w:rsid w:val="5E3E70A5"/>
    <w:rsid w:val="5E3F9DCA"/>
    <w:rsid w:val="5E4017F1"/>
    <w:rsid w:val="5E44394C"/>
    <w:rsid w:val="5E450200"/>
    <w:rsid w:val="5E451F8A"/>
    <w:rsid w:val="5E455179"/>
    <w:rsid w:val="5E45A827"/>
    <w:rsid w:val="5E47A28F"/>
    <w:rsid w:val="5E47EB45"/>
    <w:rsid w:val="5E48AA75"/>
    <w:rsid w:val="5E49314A"/>
    <w:rsid w:val="5E4AC019"/>
    <w:rsid w:val="5E4E4F57"/>
    <w:rsid w:val="5E50633C"/>
    <w:rsid w:val="5E53B744"/>
    <w:rsid w:val="5E548750"/>
    <w:rsid w:val="5E558AFB"/>
    <w:rsid w:val="5E58CE55"/>
    <w:rsid w:val="5E59C514"/>
    <w:rsid w:val="5E5CA112"/>
    <w:rsid w:val="5E5CE753"/>
    <w:rsid w:val="5E632C5F"/>
    <w:rsid w:val="5E63B3BC"/>
    <w:rsid w:val="5E63C845"/>
    <w:rsid w:val="5E6576D3"/>
    <w:rsid w:val="5E660E9B"/>
    <w:rsid w:val="5E68D926"/>
    <w:rsid w:val="5E6B72C8"/>
    <w:rsid w:val="5E6BF108"/>
    <w:rsid w:val="5E6C9217"/>
    <w:rsid w:val="5E6D014E"/>
    <w:rsid w:val="5E6F6D6B"/>
    <w:rsid w:val="5E70B711"/>
    <w:rsid w:val="5E711CBD"/>
    <w:rsid w:val="5E743001"/>
    <w:rsid w:val="5E75C9FE"/>
    <w:rsid w:val="5E75FEAF"/>
    <w:rsid w:val="5E777AAB"/>
    <w:rsid w:val="5E7867A5"/>
    <w:rsid w:val="5E7B1CF9"/>
    <w:rsid w:val="5E7C1281"/>
    <w:rsid w:val="5E7D6A07"/>
    <w:rsid w:val="5E7EB738"/>
    <w:rsid w:val="5E7F2B79"/>
    <w:rsid w:val="5E80C150"/>
    <w:rsid w:val="5E815DCC"/>
    <w:rsid w:val="5E8391FA"/>
    <w:rsid w:val="5E84B508"/>
    <w:rsid w:val="5E84BAED"/>
    <w:rsid w:val="5E86BB93"/>
    <w:rsid w:val="5E881306"/>
    <w:rsid w:val="5E8BA1DC"/>
    <w:rsid w:val="5E905709"/>
    <w:rsid w:val="5E90DBE1"/>
    <w:rsid w:val="5E90EF81"/>
    <w:rsid w:val="5E93BC30"/>
    <w:rsid w:val="5E978EB0"/>
    <w:rsid w:val="5E9B1FD6"/>
    <w:rsid w:val="5E9BED93"/>
    <w:rsid w:val="5E9BF640"/>
    <w:rsid w:val="5E9CF29B"/>
    <w:rsid w:val="5E9E4312"/>
    <w:rsid w:val="5EA0BDF4"/>
    <w:rsid w:val="5EA23316"/>
    <w:rsid w:val="5EA33966"/>
    <w:rsid w:val="5EA360E4"/>
    <w:rsid w:val="5EA3A07A"/>
    <w:rsid w:val="5EA48903"/>
    <w:rsid w:val="5EA4EA52"/>
    <w:rsid w:val="5EA73D15"/>
    <w:rsid w:val="5EA7607E"/>
    <w:rsid w:val="5EA77401"/>
    <w:rsid w:val="5EA82862"/>
    <w:rsid w:val="5EAC2A4A"/>
    <w:rsid w:val="5EAD0B58"/>
    <w:rsid w:val="5EAE6715"/>
    <w:rsid w:val="5EB3D2EB"/>
    <w:rsid w:val="5EB4E1E9"/>
    <w:rsid w:val="5EB5811D"/>
    <w:rsid w:val="5EB5CEB2"/>
    <w:rsid w:val="5EB65E37"/>
    <w:rsid w:val="5EB84460"/>
    <w:rsid w:val="5EB9F366"/>
    <w:rsid w:val="5EBA77AB"/>
    <w:rsid w:val="5EBBEC2A"/>
    <w:rsid w:val="5EC01E4C"/>
    <w:rsid w:val="5EC0FB1D"/>
    <w:rsid w:val="5EC1B319"/>
    <w:rsid w:val="5EC205CC"/>
    <w:rsid w:val="5EC39931"/>
    <w:rsid w:val="5EC3C44B"/>
    <w:rsid w:val="5EC6FB66"/>
    <w:rsid w:val="5EC7F75D"/>
    <w:rsid w:val="5EC86A5A"/>
    <w:rsid w:val="5ECB6DA4"/>
    <w:rsid w:val="5ECCF717"/>
    <w:rsid w:val="5ECD6D4B"/>
    <w:rsid w:val="5ECF10DB"/>
    <w:rsid w:val="5ED4D845"/>
    <w:rsid w:val="5ED73C44"/>
    <w:rsid w:val="5ED7DACF"/>
    <w:rsid w:val="5EDB8284"/>
    <w:rsid w:val="5EDCA2B4"/>
    <w:rsid w:val="5EDDCFD3"/>
    <w:rsid w:val="5EDE4A92"/>
    <w:rsid w:val="5EDF4216"/>
    <w:rsid w:val="5EE38CC7"/>
    <w:rsid w:val="5EE78AA3"/>
    <w:rsid w:val="5EE8ABCB"/>
    <w:rsid w:val="5EEA98C1"/>
    <w:rsid w:val="5EEC70CF"/>
    <w:rsid w:val="5EEFCB45"/>
    <w:rsid w:val="5EF00581"/>
    <w:rsid w:val="5EF3318C"/>
    <w:rsid w:val="5EF359E1"/>
    <w:rsid w:val="5EF475F2"/>
    <w:rsid w:val="5EFA6AC8"/>
    <w:rsid w:val="5EFF9DD0"/>
    <w:rsid w:val="5F039A14"/>
    <w:rsid w:val="5F056B03"/>
    <w:rsid w:val="5F05E48F"/>
    <w:rsid w:val="5F07664A"/>
    <w:rsid w:val="5F0DF2C8"/>
    <w:rsid w:val="5F0E849D"/>
    <w:rsid w:val="5F101107"/>
    <w:rsid w:val="5F112DEC"/>
    <w:rsid w:val="5F129891"/>
    <w:rsid w:val="5F13DB94"/>
    <w:rsid w:val="5F1840EA"/>
    <w:rsid w:val="5F1D6A5A"/>
    <w:rsid w:val="5F1E0434"/>
    <w:rsid w:val="5F1ECED0"/>
    <w:rsid w:val="5F2040A4"/>
    <w:rsid w:val="5F21CB80"/>
    <w:rsid w:val="5F22652D"/>
    <w:rsid w:val="5F23F4C4"/>
    <w:rsid w:val="5F246BB8"/>
    <w:rsid w:val="5F24D915"/>
    <w:rsid w:val="5F255065"/>
    <w:rsid w:val="5F2AACFE"/>
    <w:rsid w:val="5F2C97BB"/>
    <w:rsid w:val="5F2DA4BC"/>
    <w:rsid w:val="5F2DA6D7"/>
    <w:rsid w:val="5F2E373A"/>
    <w:rsid w:val="5F2EF0C6"/>
    <w:rsid w:val="5F2F70D0"/>
    <w:rsid w:val="5F2FC952"/>
    <w:rsid w:val="5F313AC7"/>
    <w:rsid w:val="5F318B12"/>
    <w:rsid w:val="5F320819"/>
    <w:rsid w:val="5F326119"/>
    <w:rsid w:val="5F3416E3"/>
    <w:rsid w:val="5F37550F"/>
    <w:rsid w:val="5F3756FD"/>
    <w:rsid w:val="5F389EA0"/>
    <w:rsid w:val="5F38F8D4"/>
    <w:rsid w:val="5F39D5AF"/>
    <w:rsid w:val="5F3BE8B8"/>
    <w:rsid w:val="5F3D93ED"/>
    <w:rsid w:val="5F3EA0AA"/>
    <w:rsid w:val="5F3ED25E"/>
    <w:rsid w:val="5F447C9E"/>
    <w:rsid w:val="5F4510E8"/>
    <w:rsid w:val="5F459817"/>
    <w:rsid w:val="5F4B3804"/>
    <w:rsid w:val="5F4BA56C"/>
    <w:rsid w:val="5F4C1829"/>
    <w:rsid w:val="5F514A92"/>
    <w:rsid w:val="5F523722"/>
    <w:rsid w:val="5F56657F"/>
    <w:rsid w:val="5F56C6EB"/>
    <w:rsid w:val="5F5762CE"/>
    <w:rsid w:val="5F5918AB"/>
    <w:rsid w:val="5F5926A5"/>
    <w:rsid w:val="5F59E706"/>
    <w:rsid w:val="5F5AD4AC"/>
    <w:rsid w:val="5F5DF03F"/>
    <w:rsid w:val="5F5E19C5"/>
    <w:rsid w:val="5F5EEE6F"/>
    <w:rsid w:val="5F5F5461"/>
    <w:rsid w:val="5F60841D"/>
    <w:rsid w:val="5F61F5DC"/>
    <w:rsid w:val="5F632C22"/>
    <w:rsid w:val="5F63B04C"/>
    <w:rsid w:val="5F64B0A0"/>
    <w:rsid w:val="5F64B56A"/>
    <w:rsid w:val="5F67A7D9"/>
    <w:rsid w:val="5F68872E"/>
    <w:rsid w:val="5F68DADC"/>
    <w:rsid w:val="5F690EE3"/>
    <w:rsid w:val="5F6C7B5A"/>
    <w:rsid w:val="5F6FF3D8"/>
    <w:rsid w:val="5F73B925"/>
    <w:rsid w:val="5F76F300"/>
    <w:rsid w:val="5F79508A"/>
    <w:rsid w:val="5F7DCF01"/>
    <w:rsid w:val="5F7EDF79"/>
    <w:rsid w:val="5F864D7B"/>
    <w:rsid w:val="5F8C84C0"/>
    <w:rsid w:val="5F8EBCB8"/>
    <w:rsid w:val="5F8FC0C5"/>
    <w:rsid w:val="5F900B4E"/>
    <w:rsid w:val="5F919CC8"/>
    <w:rsid w:val="5F92F102"/>
    <w:rsid w:val="5F993DEC"/>
    <w:rsid w:val="5F99F608"/>
    <w:rsid w:val="5F9B5375"/>
    <w:rsid w:val="5F9F21EA"/>
    <w:rsid w:val="5F9FA26F"/>
    <w:rsid w:val="5FA09358"/>
    <w:rsid w:val="5FA1A78F"/>
    <w:rsid w:val="5FA5CFC1"/>
    <w:rsid w:val="5FA6AD75"/>
    <w:rsid w:val="5FA728C1"/>
    <w:rsid w:val="5FA939C1"/>
    <w:rsid w:val="5FAF2391"/>
    <w:rsid w:val="5FAF30D1"/>
    <w:rsid w:val="5FB01BC4"/>
    <w:rsid w:val="5FB176AC"/>
    <w:rsid w:val="5FB311CC"/>
    <w:rsid w:val="5FB39FD4"/>
    <w:rsid w:val="5FBB1676"/>
    <w:rsid w:val="5FBBD752"/>
    <w:rsid w:val="5FBDEAB1"/>
    <w:rsid w:val="5FBE92EE"/>
    <w:rsid w:val="5FBFE69E"/>
    <w:rsid w:val="5FC0715A"/>
    <w:rsid w:val="5FC09AE3"/>
    <w:rsid w:val="5FC2F097"/>
    <w:rsid w:val="5FC38AA8"/>
    <w:rsid w:val="5FC6F540"/>
    <w:rsid w:val="5FC9B309"/>
    <w:rsid w:val="5FCEF0E8"/>
    <w:rsid w:val="5FCFEA6C"/>
    <w:rsid w:val="5FD8B603"/>
    <w:rsid w:val="5FD92AFE"/>
    <w:rsid w:val="5FD97288"/>
    <w:rsid w:val="5FD9EB9B"/>
    <w:rsid w:val="5FDFCDFB"/>
    <w:rsid w:val="5FE19BB5"/>
    <w:rsid w:val="5FE4C0A4"/>
    <w:rsid w:val="5FE5DB66"/>
    <w:rsid w:val="5FE76FB7"/>
    <w:rsid w:val="5FE82924"/>
    <w:rsid w:val="5FEDADE7"/>
    <w:rsid w:val="5FEEADD5"/>
    <w:rsid w:val="5FEFBF1F"/>
    <w:rsid w:val="5FF02515"/>
    <w:rsid w:val="5FF06740"/>
    <w:rsid w:val="5FF70308"/>
    <w:rsid w:val="5FF84139"/>
    <w:rsid w:val="5FF8A671"/>
    <w:rsid w:val="5FFD6DFA"/>
    <w:rsid w:val="5FFF1EB7"/>
    <w:rsid w:val="5FFF782E"/>
    <w:rsid w:val="6000DB98"/>
    <w:rsid w:val="6002BCBE"/>
    <w:rsid w:val="6005F7B2"/>
    <w:rsid w:val="6006AC17"/>
    <w:rsid w:val="60070F72"/>
    <w:rsid w:val="60090D72"/>
    <w:rsid w:val="60097DC8"/>
    <w:rsid w:val="6009E1F3"/>
    <w:rsid w:val="600A20BA"/>
    <w:rsid w:val="600B1B34"/>
    <w:rsid w:val="600BC17B"/>
    <w:rsid w:val="600BD657"/>
    <w:rsid w:val="600C03F3"/>
    <w:rsid w:val="600D51F1"/>
    <w:rsid w:val="600DC0D3"/>
    <w:rsid w:val="600E7F79"/>
    <w:rsid w:val="600E8E2A"/>
    <w:rsid w:val="601044C6"/>
    <w:rsid w:val="6011FDEA"/>
    <w:rsid w:val="601265CF"/>
    <w:rsid w:val="60155B38"/>
    <w:rsid w:val="60163AD9"/>
    <w:rsid w:val="6016E032"/>
    <w:rsid w:val="6018CB9D"/>
    <w:rsid w:val="60190E8C"/>
    <w:rsid w:val="6019BCE7"/>
    <w:rsid w:val="6019DB89"/>
    <w:rsid w:val="601B3EDC"/>
    <w:rsid w:val="601B715E"/>
    <w:rsid w:val="601BC00B"/>
    <w:rsid w:val="601CA662"/>
    <w:rsid w:val="602269BB"/>
    <w:rsid w:val="60230E88"/>
    <w:rsid w:val="6023123D"/>
    <w:rsid w:val="602675EF"/>
    <w:rsid w:val="602835A9"/>
    <w:rsid w:val="60294018"/>
    <w:rsid w:val="6029EEBE"/>
    <w:rsid w:val="602AA70C"/>
    <w:rsid w:val="602B90B7"/>
    <w:rsid w:val="6030F626"/>
    <w:rsid w:val="60315D16"/>
    <w:rsid w:val="60342E1E"/>
    <w:rsid w:val="60345680"/>
    <w:rsid w:val="60346019"/>
    <w:rsid w:val="603675CA"/>
    <w:rsid w:val="6036FAD0"/>
    <w:rsid w:val="6039FA13"/>
    <w:rsid w:val="603B218B"/>
    <w:rsid w:val="603D8991"/>
    <w:rsid w:val="60402B2E"/>
    <w:rsid w:val="60425728"/>
    <w:rsid w:val="604515CF"/>
    <w:rsid w:val="604588E6"/>
    <w:rsid w:val="604AAF72"/>
    <w:rsid w:val="604C5673"/>
    <w:rsid w:val="604E172A"/>
    <w:rsid w:val="6052776A"/>
    <w:rsid w:val="605283D9"/>
    <w:rsid w:val="60552364"/>
    <w:rsid w:val="60570F9A"/>
    <w:rsid w:val="605924E2"/>
    <w:rsid w:val="605B700C"/>
    <w:rsid w:val="605C7EEF"/>
    <w:rsid w:val="605CD758"/>
    <w:rsid w:val="605D916F"/>
    <w:rsid w:val="605E6A71"/>
    <w:rsid w:val="605E8CFB"/>
    <w:rsid w:val="605FFF83"/>
    <w:rsid w:val="60652A39"/>
    <w:rsid w:val="606712B9"/>
    <w:rsid w:val="606CA05A"/>
    <w:rsid w:val="606CA90D"/>
    <w:rsid w:val="606E0554"/>
    <w:rsid w:val="606E5FEC"/>
    <w:rsid w:val="606EA395"/>
    <w:rsid w:val="6073A26E"/>
    <w:rsid w:val="60774CFB"/>
    <w:rsid w:val="607B5EB5"/>
    <w:rsid w:val="607D2ABA"/>
    <w:rsid w:val="607DFDA6"/>
    <w:rsid w:val="60807D6F"/>
    <w:rsid w:val="60810F24"/>
    <w:rsid w:val="608357B8"/>
    <w:rsid w:val="60902875"/>
    <w:rsid w:val="60917482"/>
    <w:rsid w:val="60995212"/>
    <w:rsid w:val="609A293E"/>
    <w:rsid w:val="60A0D38B"/>
    <w:rsid w:val="60A1A4B5"/>
    <w:rsid w:val="60A24D47"/>
    <w:rsid w:val="60A5F8C0"/>
    <w:rsid w:val="60A8831E"/>
    <w:rsid w:val="60ACD637"/>
    <w:rsid w:val="60AD6C10"/>
    <w:rsid w:val="60ADEFAA"/>
    <w:rsid w:val="60AF7C2C"/>
    <w:rsid w:val="60B165EB"/>
    <w:rsid w:val="60B26A69"/>
    <w:rsid w:val="60B49D26"/>
    <w:rsid w:val="60B98EF0"/>
    <w:rsid w:val="60BACEE7"/>
    <w:rsid w:val="60C01427"/>
    <w:rsid w:val="60C13847"/>
    <w:rsid w:val="60C15A46"/>
    <w:rsid w:val="60C15FE5"/>
    <w:rsid w:val="60C22682"/>
    <w:rsid w:val="60C2739E"/>
    <w:rsid w:val="60C5A5F7"/>
    <w:rsid w:val="60C73900"/>
    <w:rsid w:val="60C93BB4"/>
    <w:rsid w:val="60C976A9"/>
    <w:rsid w:val="60C9CAEC"/>
    <w:rsid w:val="60CDEC2C"/>
    <w:rsid w:val="60CF6E39"/>
    <w:rsid w:val="60D0B53C"/>
    <w:rsid w:val="60D0C9D0"/>
    <w:rsid w:val="60D1A4E6"/>
    <w:rsid w:val="60D60F43"/>
    <w:rsid w:val="60D69095"/>
    <w:rsid w:val="60DA8101"/>
    <w:rsid w:val="60DB6E0E"/>
    <w:rsid w:val="60DE0589"/>
    <w:rsid w:val="60DFF02B"/>
    <w:rsid w:val="60E00212"/>
    <w:rsid w:val="60E04E72"/>
    <w:rsid w:val="60E435F2"/>
    <w:rsid w:val="60E52F63"/>
    <w:rsid w:val="60E647FA"/>
    <w:rsid w:val="60E91680"/>
    <w:rsid w:val="60EA2C0F"/>
    <w:rsid w:val="60F2EA84"/>
    <w:rsid w:val="60FE473C"/>
    <w:rsid w:val="60FEB63E"/>
    <w:rsid w:val="60FFBF20"/>
    <w:rsid w:val="60FFE25A"/>
    <w:rsid w:val="610183E7"/>
    <w:rsid w:val="6104EEC7"/>
    <w:rsid w:val="610735DA"/>
    <w:rsid w:val="6109B13D"/>
    <w:rsid w:val="610A5C9A"/>
    <w:rsid w:val="610A7A8B"/>
    <w:rsid w:val="610AFAAF"/>
    <w:rsid w:val="610C1AAD"/>
    <w:rsid w:val="610C6A0B"/>
    <w:rsid w:val="610E630A"/>
    <w:rsid w:val="610F0EB4"/>
    <w:rsid w:val="610F2A3F"/>
    <w:rsid w:val="61119D42"/>
    <w:rsid w:val="6112BF70"/>
    <w:rsid w:val="6113114C"/>
    <w:rsid w:val="61150DAD"/>
    <w:rsid w:val="61154974"/>
    <w:rsid w:val="61175BA6"/>
    <w:rsid w:val="6119F4C7"/>
    <w:rsid w:val="611C8715"/>
    <w:rsid w:val="611CD06A"/>
    <w:rsid w:val="611D4B1A"/>
    <w:rsid w:val="61222003"/>
    <w:rsid w:val="6123706A"/>
    <w:rsid w:val="61239B27"/>
    <w:rsid w:val="61248370"/>
    <w:rsid w:val="6126447C"/>
    <w:rsid w:val="61272412"/>
    <w:rsid w:val="6127B8A3"/>
    <w:rsid w:val="61285451"/>
    <w:rsid w:val="612F4372"/>
    <w:rsid w:val="612F5953"/>
    <w:rsid w:val="613137D9"/>
    <w:rsid w:val="61315E0C"/>
    <w:rsid w:val="613277AC"/>
    <w:rsid w:val="6135487F"/>
    <w:rsid w:val="61359FE2"/>
    <w:rsid w:val="613762C2"/>
    <w:rsid w:val="6139A127"/>
    <w:rsid w:val="613FF6DF"/>
    <w:rsid w:val="6141C13A"/>
    <w:rsid w:val="6141DD8F"/>
    <w:rsid w:val="61428A91"/>
    <w:rsid w:val="6142CB61"/>
    <w:rsid w:val="61430D47"/>
    <w:rsid w:val="61439AA5"/>
    <w:rsid w:val="614410B2"/>
    <w:rsid w:val="61442CC7"/>
    <w:rsid w:val="61480EA9"/>
    <w:rsid w:val="61488BA9"/>
    <w:rsid w:val="614A4DE7"/>
    <w:rsid w:val="614CB55E"/>
    <w:rsid w:val="614D4C54"/>
    <w:rsid w:val="614FC8A0"/>
    <w:rsid w:val="6150C2F3"/>
    <w:rsid w:val="6150C4AF"/>
    <w:rsid w:val="6150F4CD"/>
    <w:rsid w:val="6154D139"/>
    <w:rsid w:val="61563732"/>
    <w:rsid w:val="61567C8D"/>
    <w:rsid w:val="61576783"/>
    <w:rsid w:val="615B1C3C"/>
    <w:rsid w:val="615CA7E7"/>
    <w:rsid w:val="615CD95F"/>
    <w:rsid w:val="615D9875"/>
    <w:rsid w:val="615E6C5E"/>
    <w:rsid w:val="615E6CDA"/>
    <w:rsid w:val="615F3B36"/>
    <w:rsid w:val="615F8742"/>
    <w:rsid w:val="616036BC"/>
    <w:rsid w:val="6162B4D0"/>
    <w:rsid w:val="61648A4F"/>
    <w:rsid w:val="6165AE0E"/>
    <w:rsid w:val="6165D7F9"/>
    <w:rsid w:val="6167F3AB"/>
    <w:rsid w:val="616CFD7E"/>
    <w:rsid w:val="616E0473"/>
    <w:rsid w:val="6172E7AE"/>
    <w:rsid w:val="61754DF6"/>
    <w:rsid w:val="6176F192"/>
    <w:rsid w:val="61770265"/>
    <w:rsid w:val="61772ECA"/>
    <w:rsid w:val="61776528"/>
    <w:rsid w:val="6177E997"/>
    <w:rsid w:val="6178F1FD"/>
    <w:rsid w:val="6179440D"/>
    <w:rsid w:val="6179BECF"/>
    <w:rsid w:val="617C8973"/>
    <w:rsid w:val="617CBB79"/>
    <w:rsid w:val="617ECC83"/>
    <w:rsid w:val="61855C46"/>
    <w:rsid w:val="6188562A"/>
    <w:rsid w:val="61886D9A"/>
    <w:rsid w:val="618A9999"/>
    <w:rsid w:val="618B915F"/>
    <w:rsid w:val="618CB157"/>
    <w:rsid w:val="6190E9E9"/>
    <w:rsid w:val="6192B092"/>
    <w:rsid w:val="6193CE3B"/>
    <w:rsid w:val="6195F166"/>
    <w:rsid w:val="619929B4"/>
    <w:rsid w:val="61996C28"/>
    <w:rsid w:val="6199EF75"/>
    <w:rsid w:val="619B19CD"/>
    <w:rsid w:val="61A0F82E"/>
    <w:rsid w:val="61A25737"/>
    <w:rsid w:val="61A45341"/>
    <w:rsid w:val="61A47DCE"/>
    <w:rsid w:val="61A54768"/>
    <w:rsid w:val="61A56713"/>
    <w:rsid w:val="61A5967D"/>
    <w:rsid w:val="61A6F96A"/>
    <w:rsid w:val="61A79039"/>
    <w:rsid w:val="61A82886"/>
    <w:rsid w:val="61A84ADA"/>
    <w:rsid w:val="61AD9F34"/>
    <w:rsid w:val="61AE29E7"/>
    <w:rsid w:val="61AFFB6C"/>
    <w:rsid w:val="61B03F5E"/>
    <w:rsid w:val="61B27828"/>
    <w:rsid w:val="61B2E8A4"/>
    <w:rsid w:val="61B4F604"/>
    <w:rsid w:val="61B525C2"/>
    <w:rsid w:val="61B75211"/>
    <w:rsid w:val="61B9A775"/>
    <w:rsid w:val="61BD0CE6"/>
    <w:rsid w:val="61BD12FC"/>
    <w:rsid w:val="61BDB5A4"/>
    <w:rsid w:val="61BF72AF"/>
    <w:rsid w:val="61BFCBDC"/>
    <w:rsid w:val="61C11A10"/>
    <w:rsid w:val="61C38300"/>
    <w:rsid w:val="61C53B42"/>
    <w:rsid w:val="61C8447F"/>
    <w:rsid w:val="61C876ED"/>
    <w:rsid w:val="61C9764F"/>
    <w:rsid w:val="61CCA7C2"/>
    <w:rsid w:val="61CEB439"/>
    <w:rsid w:val="61CF7994"/>
    <w:rsid w:val="61D0E84E"/>
    <w:rsid w:val="61D10C3B"/>
    <w:rsid w:val="61D12BF5"/>
    <w:rsid w:val="61D5174B"/>
    <w:rsid w:val="61D639A8"/>
    <w:rsid w:val="61D640F1"/>
    <w:rsid w:val="61DB1FF8"/>
    <w:rsid w:val="61DC36A2"/>
    <w:rsid w:val="61E01730"/>
    <w:rsid w:val="61E1134E"/>
    <w:rsid w:val="61E42014"/>
    <w:rsid w:val="61E72AD5"/>
    <w:rsid w:val="61E77B1D"/>
    <w:rsid w:val="61EA031C"/>
    <w:rsid w:val="61ED492F"/>
    <w:rsid w:val="61EDCA96"/>
    <w:rsid w:val="61EDF454"/>
    <w:rsid w:val="61EF47B4"/>
    <w:rsid w:val="61F08EF2"/>
    <w:rsid w:val="61F2A87B"/>
    <w:rsid w:val="61F6D9D1"/>
    <w:rsid w:val="61F84B8E"/>
    <w:rsid w:val="61FA19D8"/>
    <w:rsid w:val="61FAB56A"/>
    <w:rsid w:val="61FBF8E4"/>
    <w:rsid w:val="61FFC39A"/>
    <w:rsid w:val="62006032"/>
    <w:rsid w:val="6201B7DA"/>
    <w:rsid w:val="6201E939"/>
    <w:rsid w:val="62030A1E"/>
    <w:rsid w:val="6204F4BB"/>
    <w:rsid w:val="6205B728"/>
    <w:rsid w:val="62079ADB"/>
    <w:rsid w:val="6208CE77"/>
    <w:rsid w:val="62099E0D"/>
    <w:rsid w:val="620E2525"/>
    <w:rsid w:val="6213EA2C"/>
    <w:rsid w:val="6214E16D"/>
    <w:rsid w:val="6214F9E0"/>
    <w:rsid w:val="6215058A"/>
    <w:rsid w:val="621529BC"/>
    <w:rsid w:val="6217654C"/>
    <w:rsid w:val="62195077"/>
    <w:rsid w:val="62196DE8"/>
    <w:rsid w:val="621AD048"/>
    <w:rsid w:val="621FE3F0"/>
    <w:rsid w:val="622028F4"/>
    <w:rsid w:val="6220981B"/>
    <w:rsid w:val="6228EFCC"/>
    <w:rsid w:val="62292ADB"/>
    <w:rsid w:val="622C1481"/>
    <w:rsid w:val="622C4D57"/>
    <w:rsid w:val="6230A75B"/>
    <w:rsid w:val="6233A395"/>
    <w:rsid w:val="62349DBF"/>
    <w:rsid w:val="62355265"/>
    <w:rsid w:val="62390366"/>
    <w:rsid w:val="623A2090"/>
    <w:rsid w:val="623BA3C2"/>
    <w:rsid w:val="623BB9E5"/>
    <w:rsid w:val="623CF5C6"/>
    <w:rsid w:val="623E415C"/>
    <w:rsid w:val="623E46DA"/>
    <w:rsid w:val="624576A7"/>
    <w:rsid w:val="624E2B4E"/>
    <w:rsid w:val="62501848"/>
    <w:rsid w:val="62546074"/>
    <w:rsid w:val="62555A26"/>
    <w:rsid w:val="62583534"/>
    <w:rsid w:val="6259D7AF"/>
    <w:rsid w:val="625BA10C"/>
    <w:rsid w:val="625EEC27"/>
    <w:rsid w:val="625EFAAB"/>
    <w:rsid w:val="62609D67"/>
    <w:rsid w:val="62612211"/>
    <w:rsid w:val="6266002F"/>
    <w:rsid w:val="62678912"/>
    <w:rsid w:val="626AAADF"/>
    <w:rsid w:val="626C9FCA"/>
    <w:rsid w:val="626CC664"/>
    <w:rsid w:val="626D9FE9"/>
    <w:rsid w:val="626E9403"/>
    <w:rsid w:val="626F180F"/>
    <w:rsid w:val="62727568"/>
    <w:rsid w:val="6272FC48"/>
    <w:rsid w:val="62759CB1"/>
    <w:rsid w:val="62785EE2"/>
    <w:rsid w:val="62794E0C"/>
    <w:rsid w:val="62798CD2"/>
    <w:rsid w:val="627B9EE5"/>
    <w:rsid w:val="627C1B37"/>
    <w:rsid w:val="62806E43"/>
    <w:rsid w:val="62815413"/>
    <w:rsid w:val="62819185"/>
    <w:rsid w:val="628397CC"/>
    <w:rsid w:val="6284AA8E"/>
    <w:rsid w:val="6285DAEA"/>
    <w:rsid w:val="6287D788"/>
    <w:rsid w:val="628D6A88"/>
    <w:rsid w:val="628F8EC7"/>
    <w:rsid w:val="62A27B4F"/>
    <w:rsid w:val="62A2B31F"/>
    <w:rsid w:val="62A63FE1"/>
    <w:rsid w:val="62A6E9D6"/>
    <w:rsid w:val="62A71535"/>
    <w:rsid w:val="62ABFE15"/>
    <w:rsid w:val="62AF6207"/>
    <w:rsid w:val="62B23B14"/>
    <w:rsid w:val="62B6D1DF"/>
    <w:rsid w:val="62B83F46"/>
    <w:rsid w:val="62B9D94F"/>
    <w:rsid w:val="62BABCC2"/>
    <w:rsid w:val="62BD2A46"/>
    <w:rsid w:val="62BE7B15"/>
    <w:rsid w:val="62BF4594"/>
    <w:rsid w:val="62C07CD7"/>
    <w:rsid w:val="62C5C0A6"/>
    <w:rsid w:val="62CA82A9"/>
    <w:rsid w:val="62CB34A8"/>
    <w:rsid w:val="62CBD20C"/>
    <w:rsid w:val="62CCEC82"/>
    <w:rsid w:val="62CD18B6"/>
    <w:rsid w:val="62CDF72A"/>
    <w:rsid w:val="62D10C15"/>
    <w:rsid w:val="62D30092"/>
    <w:rsid w:val="62D4A629"/>
    <w:rsid w:val="62D4DD00"/>
    <w:rsid w:val="62D9AC95"/>
    <w:rsid w:val="62D9E2F5"/>
    <w:rsid w:val="62DC5F89"/>
    <w:rsid w:val="62DDF709"/>
    <w:rsid w:val="62DFFDB7"/>
    <w:rsid w:val="62E2D784"/>
    <w:rsid w:val="62E8D58B"/>
    <w:rsid w:val="62E99037"/>
    <w:rsid w:val="62EE9C60"/>
    <w:rsid w:val="62F193F5"/>
    <w:rsid w:val="62F3D29F"/>
    <w:rsid w:val="62F4A825"/>
    <w:rsid w:val="62F63023"/>
    <w:rsid w:val="62F7A70B"/>
    <w:rsid w:val="62F7B006"/>
    <w:rsid w:val="62F7E3C9"/>
    <w:rsid w:val="62F872B2"/>
    <w:rsid w:val="62F8BFA3"/>
    <w:rsid w:val="62FA690A"/>
    <w:rsid w:val="62FB7FED"/>
    <w:rsid w:val="62FBB107"/>
    <w:rsid w:val="62FC045F"/>
    <w:rsid w:val="62FCA7D0"/>
    <w:rsid w:val="62FCDDB1"/>
    <w:rsid w:val="62FEDB59"/>
    <w:rsid w:val="63002329"/>
    <w:rsid w:val="630114D8"/>
    <w:rsid w:val="63017D0F"/>
    <w:rsid w:val="6304183F"/>
    <w:rsid w:val="6306BBC1"/>
    <w:rsid w:val="6309BFB2"/>
    <w:rsid w:val="630CAEFD"/>
    <w:rsid w:val="6310CDA7"/>
    <w:rsid w:val="6310F601"/>
    <w:rsid w:val="631452BE"/>
    <w:rsid w:val="6314FC24"/>
    <w:rsid w:val="6317643A"/>
    <w:rsid w:val="6318B17A"/>
    <w:rsid w:val="631F8A76"/>
    <w:rsid w:val="6320D318"/>
    <w:rsid w:val="6322F579"/>
    <w:rsid w:val="6325AC8E"/>
    <w:rsid w:val="6327A512"/>
    <w:rsid w:val="63281F4F"/>
    <w:rsid w:val="6328CB54"/>
    <w:rsid w:val="6328CCE2"/>
    <w:rsid w:val="63297466"/>
    <w:rsid w:val="632E91F7"/>
    <w:rsid w:val="632FBDFA"/>
    <w:rsid w:val="6334E8F7"/>
    <w:rsid w:val="633680DE"/>
    <w:rsid w:val="633A7C97"/>
    <w:rsid w:val="633A8DDF"/>
    <w:rsid w:val="633E9942"/>
    <w:rsid w:val="63414C66"/>
    <w:rsid w:val="63453BF7"/>
    <w:rsid w:val="6345A20A"/>
    <w:rsid w:val="6346282E"/>
    <w:rsid w:val="634DCE28"/>
    <w:rsid w:val="634E55AA"/>
    <w:rsid w:val="634F1376"/>
    <w:rsid w:val="63537B65"/>
    <w:rsid w:val="63539B9F"/>
    <w:rsid w:val="6355B836"/>
    <w:rsid w:val="635A7E97"/>
    <w:rsid w:val="635C9ABB"/>
    <w:rsid w:val="635F4C0C"/>
    <w:rsid w:val="6362891A"/>
    <w:rsid w:val="6364435B"/>
    <w:rsid w:val="63646814"/>
    <w:rsid w:val="6365D1DF"/>
    <w:rsid w:val="6366D1B0"/>
    <w:rsid w:val="63687587"/>
    <w:rsid w:val="636A1578"/>
    <w:rsid w:val="636A405B"/>
    <w:rsid w:val="636C22F6"/>
    <w:rsid w:val="636C6B98"/>
    <w:rsid w:val="636DFD25"/>
    <w:rsid w:val="636E41EE"/>
    <w:rsid w:val="636F0D74"/>
    <w:rsid w:val="636F17AF"/>
    <w:rsid w:val="637081BC"/>
    <w:rsid w:val="63712FD9"/>
    <w:rsid w:val="63714065"/>
    <w:rsid w:val="63738889"/>
    <w:rsid w:val="637401B1"/>
    <w:rsid w:val="6378C899"/>
    <w:rsid w:val="637AECA4"/>
    <w:rsid w:val="637BCD75"/>
    <w:rsid w:val="637CFC11"/>
    <w:rsid w:val="637DDC6E"/>
    <w:rsid w:val="637E050D"/>
    <w:rsid w:val="637EF7F9"/>
    <w:rsid w:val="63807210"/>
    <w:rsid w:val="63807D10"/>
    <w:rsid w:val="63808557"/>
    <w:rsid w:val="6380DA8B"/>
    <w:rsid w:val="6380FA34"/>
    <w:rsid w:val="63818CFA"/>
    <w:rsid w:val="6382B349"/>
    <w:rsid w:val="638381EE"/>
    <w:rsid w:val="638462E9"/>
    <w:rsid w:val="6385505E"/>
    <w:rsid w:val="638B303D"/>
    <w:rsid w:val="638C55B0"/>
    <w:rsid w:val="638CEA9C"/>
    <w:rsid w:val="638ED04D"/>
    <w:rsid w:val="63926C3E"/>
    <w:rsid w:val="6396F74F"/>
    <w:rsid w:val="6397FE2C"/>
    <w:rsid w:val="639867C3"/>
    <w:rsid w:val="6399204B"/>
    <w:rsid w:val="639929E3"/>
    <w:rsid w:val="63A118F2"/>
    <w:rsid w:val="63A194AC"/>
    <w:rsid w:val="63A26BB9"/>
    <w:rsid w:val="63A2B804"/>
    <w:rsid w:val="63A2CFBF"/>
    <w:rsid w:val="63A36435"/>
    <w:rsid w:val="63A3A17B"/>
    <w:rsid w:val="63A3D085"/>
    <w:rsid w:val="63A3DBDC"/>
    <w:rsid w:val="63A65E87"/>
    <w:rsid w:val="63A7A800"/>
    <w:rsid w:val="63AAEAAF"/>
    <w:rsid w:val="63ABFFEA"/>
    <w:rsid w:val="63AD2119"/>
    <w:rsid w:val="63AE932D"/>
    <w:rsid w:val="63AEC863"/>
    <w:rsid w:val="63B054B9"/>
    <w:rsid w:val="63B07695"/>
    <w:rsid w:val="63B0FD9E"/>
    <w:rsid w:val="63B158C9"/>
    <w:rsid w:val="63B40E0F"/>
    <w:rsid w:val="63B46270"/>
    <w:rsid w:val="63B61DEF"/>
    <w:rsid w:val="63B7C7C5"/>
    <w:rsid w:val="63B9373C"/>
    <w:rsid w:val="63BB0A79"/>
    <w:rsid w:val="63BBAD33"/>
    <w:rsid w:val="63BC863C"/>
    <w:rsid w:val="63BD3386"/>
    <w:rsid w:val="63BDA57D"/>
    <w:rsid w:val="63BEF608"/>
    <w:rsid w:val="63C7AB6F"/>
    <w:rsid w:val="63CB5BA4"/>
    <w:rsid w:val="63CB71EB"/>
    <w:rsid w:val="63D18827"/>
    <w:rsid w:val="63D5C04E"/>
    <w:rsid w:val="63D670DC"/>
    <w:rsid w:val="63DCDD00"/>
    <w:rsid w:val="63DE48E3"/>
    <w:rsid w:val="63DF9E56"/>
    <w:rsid w:val="63E0AD2F"/>
    <w:rsid w:val="63E1C79D"/>
    <w:rsid w:val="63E2D0D7"/>
    <w:rsid w:val="63E34BD5"/>
    <w:rsid w:val="63E47A77"/>
    <w:rsid w:val="63E4A486"/>
    <w:rsid w:val="63E83BE8"/>
    <w:rsid w:val="63E8ADF4"/>
    <w:rsid w:val="63E9A3D2"/>
    <w:rsid w:val="63E9AC4A"/>
    <w:rsid w:val="63EB9BD1"/>
    <w:rsid w:val="63ED3EAC"/>
    <w:rsid w:val="63EDEAD2"/>
    <w:rsid w:val="63F1A66A"/>
    <w:rsid w:val="63F70608"/>
    <w:rsid w:val="63FA21F2"/>
    <w:rsid w:val="63FB208A"/>
    <w:rsid w:val="63FE9427"/>
    <w:rsid w:val="6401C88C"/>
    <w:rsid w:val="64041FC9"/>
    <w:rsid w:val="64091C7E"/>
    <w:rsid w:val="640AD71A"/>
    <w:rsid w:val="640D4A2F"/>
    <w:rsid w:val="640D9903"/>
    <w:rsid w:val="64111D3C"/>
    <w:rsid w:val="6412667B"/>
    <w:rsid w:val="6413875F"/>
    <w:rsid w:val="6413DFD3"/>
    <w:rsid w:val="64141391"/>
    <w:rsid w:val="641419C3"/>
    <w:rsid w:val="64166F2E"/>
    <w:rsid w:val="64181E0D"/>
    <w:rsid w:val="641A4421"/>
    <w:rsid w:val="641B7069"/>
    <w:rsid w:val="641D5764"/>
    <w:rsid w:val="641DFCAA"/>
    <w:rsid w:val="641F582C"/>
    <w:rsid w:val="641F9224"/>
    <w:rsid w:val="642173FC"/>
    <w:rsid w:val="64265F8F"/>
    <w:rsid w:val="6427522C"/>
    <w:rsid w:val="6428ABEA"/>
    <w:rsid w:val="642B02C8"/>
    <w:rsid w:val="642C5C75"/>
    <w:rsid w:val="642D53B5"/>
    <w:rsid w:val="642DAE57"/>
    <w:rsid w:val="642FF34C"/>
    <w:rsid w:val="6430D45D"/>
    <w:rsid w:val="643190E1"/>
    <w:rsid w:val="64321D6A"/>
    <w:rsid w:val="6432E97D"/>
    <w:rsid w:val="64341757"/>
    <w:rsid w:val="64399E56"/>
    <w:rsid w:val="643A9EFF"/>
    <w:rsid w:val="643D8141"/>
    <w:rsid w:val="643EB8ED"/>
    <w:rsid w:val="643F7DE1"/>
    <w:rsid w:val="643FEC92"/>
    <w:rsid w:val="6441151B"/>
    <w:rsid w:val="6441400F"/>
    <w:rsid w:val="6443BC1F"/>
    <w:rsid w:val="64463822"/>
    <w:rsid w:val="64496C9F"/>
    <w:rsid w:val="644A05FF"/>
    <w:rsid w:val="6450E5F6"/>
    <w:rsid w:val="645128BB"/>
    <w:rsid w:val="6451BFF4"/>
    <w:rsid w:val="6452CE1C"/>
    <w:rsid w:val="645767E8"/>
    <w:rsid w:val="64578A06"/>
    <w:rsid w:val="6458F99D"/>
    <w:rsid w:val="6459995D"/>
    <w:rsid w:val="6459C5DE"/>
    <w:rsid w:val="645C4B8C"/>
    <w:rsid w:val="645C5174"/>
    <w:rsid w:val="645CD6F1"/>
    <w:rsid w:val="645DD2BE"/>
    <w:rsid w:val="64610BFD"/>
    <w:rsid w:val="6461EF75"/>
    <w:rsid w:val="6462204C"/>
    <w:rsid w:val="64654869"/>
    <w:rsid w:val="64657201"/>
    <w:rsid w:val="64690758"/>
    <w:rsid w:val="646D0E47"/>
    <w:rsid w:val="646D7746"/>
    <w:rsid w:val="646E1A3A"/>
    <w:rsid w:val="646FA620"/>
    <w:rsid w:val="64723BA8"/>
    <w:rsid w:val="6474AF27"/>
    <w:rsid w:val="64753BD3"/>
    <w:rsid w:val="6476B512"/>
    <w:rsid w:val="647C091E"/>
    <w:rsid w:val="647C7BB9"/>
    <w:rsid w:val="6484A540"/>
    <w:rsid w:val="64856220"/>
    <w:rsid w:val="64858829"/>
    <w:rsid w:val="6485DACA"/>
    <w:rsid w:val="6485E265"/>
    <w:rsid w:val="64860743"/>
    <w:rsid w:val="64886399"/>
    <w:rsid w:val="648AC9B5"/>
    <w:rsid w:val="648D5625"/>
    <w:rsid w:val="64900483"/>
    <w:rsid w:val="64914B97"/>
    <w:rsid w:val="6491890B"/>
    <w:rsid w:val="6493FF9B"/>
    <w:rsid w:val="64995E8B"/>
    <w:rsid w:val="649A52C0"/>
    <w:rsid w:val="649AFDBE"/>
    <w:rsid w:val="649C5DAC"/>
    <w:rsid w:val="649E73D6"/>
    <w:rsid w:val="64A07212"/>
    <w:rsid w:val="64A3FE5E"/>
    <w:rsid w:val="64A5F966"/>
    <w:rsid w:val="64AACB72"/>
    <w:rsid w:val="64AAE372"/>
    <w:rsid w:val="64AB051E"/>
    <w:rsid w:val="64AB317C"/>
    <w:rsid w:val="64ABD248"/>
    <w:rsid w:val="64AF975E"/>
    <w:rsid w:val="64B19879"/>
    <w:rsid w:val="64B2610B"/>
    <w:rsid w:val="64B4B88C"/>
    <w:rsid w:val="64B5ED5E"/>
    <w:rsid w:val="64B6FD2C"/>
    <w:rsid w:val="64B7F5AD"/>
    <w:rsid w:val="64B8868F"/>
    <w:rsid w:val="64B8BEBC"/>
    <w:rsid w:val="64B8C723"/>
    <w:rsid w:val="64B932A2"/>
    <w:rsid w:val="64B9EAF3"/>
    <w:rsid w:val="64BB400D"/>
    <w:rsid w:val="64BB7A67"/>
    <w:rsid w:val="64BE416C"/>
    <w:rsid w:val="64C1F36B"/>
    <w:rsid w:val="64C205C1"/>
    <w:rsid w:val="64C414B5"/>
    <w:rsid w:val="64C43466"/>
    <w:rsid w:val="64C4AD5A"/>
    <w:rsid w:val="64C51DF7"/>
    <w:rsid w:val="64C5CF6D"/>
    <w:rsid w:val="64C5D0FD"/>
    <w:rsid w:val="64C7BFC8"/>
    <w:rsid w:val="64C97773"/>
    <w:rsid w:val="64C9A761"/>
    <w:rsid w:val="64CCCCC1"/>
    <w:rsid w:val="64CD129F"/>
    <w:rsid w:val="64CD9E22"/>
    <w:rsid w:val="64CE5C9E"/>
    <w:rsid w:val="64CE8B89"/>
    <w:rsid w:val="64CF15AA"/>
    <w:rsid w:val="64CF8D82"/>
    <w:rsid w:val="64D02B51"/>
    <w:rsid w:val="64D4032D"/>
    <w:rsid w:val="64D73E49"/>
    <w:rsid w:val="64D76447"/>
    <w:rsid w:val="64D87E4C"/>
    <w:rsid w:val="64DAC0C4"/>
    <w:rsid w:val="64DB1259"/>
    <w:rsid w:val="64DE3CE0"/>
    <w:rsid w:val="64DF46F7"/>
    <w:rsid w:val="64DF724A"/>
    <w:rsid w:val="64E05A54"/>
    <w:rsid w:val="64E483AF"/>
    <w:rsid w:val="64E48FD8"/>
    <w:rsid w:val="64E670B0"/>
    <w:rsid w:val="64E7C13E"/>
    <w:rsid w:val="64E900AB"/>
    <w:rsid w:val="64E92458"/>
    <w:rsid w:val="64ECD410"/>
    <w:rsid w:val="64EF3563"/>
    <w:rsid w:val="64F2AC15"/>
    <w:rsid w:val="64F30ED4"/>
    <w:rsid w:val="64F33B5D"/>
    <w:rsid w:val="64F523BE"/>
    <w:rsid w:val="64F6693E"/>
    <w:rsid w:val="64F8DB26"/>
    <w:rsid w:val="64FBB8CC"/>
    <w:rsid w:val="64FC8F02"/>
    <w:rsid w:val="64FDB6DA"/>
    <w:rsid w:val="65000428"/>
    <w:rsid w:val="6502FFE8"/>
    <w:rsid w:val="65075824"/>
    <w:rsid w:val="650B42D0"/>
    <w:rsid w:val="650C164E"/>
    <w:rsid w:val="650D04D9"/>
    <w:rsid w:val="650FFF9B"/>
    <w:rsid w:val="65117032"/>
    <w:rsid w:val="6511D3C0"/>
    <w:rsid w:val="65132B6C"/>
    <w:rsid w:val="651349B4"/>
    <w:rsid w:val="6513B1DC"/>
    <w:rsid w:val="651549FB"/>
    <w:rsid w:val="6515BE02"/>
    <w:rsid w:val="651620E6"/>
    <w:rsid w:val="65172738"/>
    <w:rsid w:val="6517DBB6"/>
    <w:rsid w:val="6518A99D"/>
    <w:rsid w:val="65192D8B"/>
    <w:rsid w:val="6519D4A7"/>
    <w:rsid w:val="651A0091"/>
    <w:rsid w:val="651A35B3"/>
    <w:rsid w:val="651C3C0C"/>
    <w:rsid w:val="651D3531"/>
    <w:rsid w:val="651DEFF4"/>
    <w:rsid w:val="65202D95"/>
    <w:rsid w:val="652229E1"/>
    <w:rsid w:val="6527E2D7"/>
    <w:rsid w:val="65289F0B"/>
    <w:rsid w:val="6528D66F"/>
    <w:rsid w:val="65297935"/>
    <w:rsid w:val="652BA60B"/>
    <w:rsid w:val="652D45D7"/>
    <w:rsid w:val="652DC978"/>
    <w:rsid w:val="6530DC5C"/>
    <w:rsid w:val="65312460"/>
    <w:rsid w:val="6532E2F6"/>
    <w:rsid w:val="653494B5"/>
    <w:rsid w:val="6538F85D"/>
    <w:rsid w:val="6539FF96"/>
    <w:rsid w:val="653A1431"/>
    <w:rsid w:val="653E71D2"/>
    <w:rsid w:val="653F0A1A"/>
    <w:rsid w:val="6541DACB"/>
    <w:rsid w:val="65438230"/>
    <w:rsid w:val="654494F3"/>
    <w:rsid w:val="65465C2C"/>
    <w:rsid w:val="654814F0"/>
    <w:rsid w:val="65484DDE"/>
    <w:rsid w:val="6549F3A4"/>
    <w:rsid w:val="654A18AE"/>
    <w:rsid w:val="654ACB7F"/>
    <w:rsid w:val="654DC991"/>
    <w:rsid w:val="654DE911"/>
    <w:rsid w:val="655232FA"/>
    <w:rsid w:val="65537B67"/>
    <w:rsid w:val="655436B0"/>
    <w:rsid w:val="65547869"/>
    <w:rsid w:val="65568176"/>
    <w:rsid w:val="6558D3DB"/>
    <w:rsid w:val="655A087A"/>
    <w:rsid w:val="655AD8CB"/>
    <w:rsid w:val="6563B5FE"/>
    <w:rsid w:val="6564E3EE"/>
    <w:rsid w:val="6565A23C"/>
    <w:rsid w:val="65666CCA"/>
    <w:rsid w:val="65670BB2"/>
    <w:rsid w:val="6568F9EC"/>
    <w:rsid w:val="656B560E"/>
    <w:rsid w:val="656CEECA"/>
    <w:rsid w:val="656F1147"/>
    <w:rsid w:val="656F4ED5"/>
    <w:rsid w:val="6570E7F7"/>
    <w:rsid w:val="6571E7A3"/>
    <w:rsid w:val="657413BD"/>
    <w:rsid w:val="6574CDBD"/>
    <w:rsid w:val="6579BE63"/>
    <w:rsid w:val="657A1A86"/>
    <w:rsid w:val="657BF2E7"/>
    <w:rsid w:val="657CABD5"/>
    <w:rsid w:val="657E88C2"/>
    <w:rsid w:val="6581DA4D"/>
    <w:rsid w:val="658219C4"/>
    <w:rsid w:val="6589A921"/>
    <w:rsid w:val="658E7277"/>
    <w:rsid w:val="6592D050"/>
    <w:rsid w:val="6595A181"/>
    <w:rsid w:val="65972F3F"/>
    <w:rsid w:val="659A4A6E"/>
    <w:rsid w:val="659B3FE1"/>
    <w:rsid w:val="659B688E"/>
    <w:rsid w:val="659C462A"/>
    <w:rsid w:val="659D5126"/>
    <w:rsid w:val="659D95A7"/>
    <w:rsid w:val="659E479E"/>
    <w:rsid w:val="659FA1FC"/>
    <w:rsid w:val="65A18F8F"/>
    <w:rsid w:val="65A1F60F"/>
    <w:rsid w:val="65A481A2"/>
    <w:rsid w:val="65A5730F"/>
    <w:rsid w:val="65A6B4C1"/>
    <w:rsid w:val="65AA5922"/>
    <w:rsid w:val="65AA7B39"/>
    <w:rsid w:val="65AF1ECB"/>
    <w:rsid w:val="65B13CFA"/>
    <w:rsid w:val="65B1DCAB"/>
    <w:rsid w:val="65B3B266"/>
    <w:rsid w:val="65B426BB"/>
    <w:rsid w:val="65B4C6F0"/>
    <w:rsid w:val="65B546EE"/>
    <w:rsid w:val="65B6651D"/>
    <w:rsid w:val="65B830F7"/>
    <w:rsid w:val="65BA4BF3"/>
    <w:rsid w:val="65BF1F04"/>
    <w:rsid w:val="65BF2147"/>
    <w:rsid w:val="65BF538C"/>
    <w:rsid w:val="65C24387"/>
    <w:rsid w:val="65C396E4"/>
    <w:rsid w:val="65C566D4"/>
    <w:rsid w:val="65C65577"/>
    <w:rsid w:val="65C84837"/>
    <w:rsid w:val="65C9828D"/>
    <w:rsid w:val="65CBCCDE"/>
    <w:rsid w:val="65CC20C2"/>
    <w:rsid w:val="65CC7FE0"/>
    <w:rsid w:val="65CEAA35"/>
    <w:rsid w:val="65D00AD6"/>
    <w:rsid w:val="65D0E388"/>
    <w:rsid w:val="65D11FE1"/>
    <w:rsid w:val="65D1C015"/>
    <w:rsid w:val="65D29C3D"/>
    <w:rsid w:val="65D49E04"/>
    <w:rsid w:val="65D52F4E"/>
    <w:rsid w:val="65D5EB48"/>
    <w:rsid w:val="65D61539"/>
    <w:rsid w:val="65D62C99"/>
    <w:rsid w:val="65D647D1"/>
    <w:rsid w:val="65D68AB4"/>
    <w:rsid w:val="65D8E618"/>
    <w:rsid w:val="65D9BDC6"/>
    <w:rsid w:val="65D9CA0D"/>
    <w:rsid w:val="65E06C5F"/>
    <w:rsid w:val="65E0DB64"/>
    <w:rsid w:val="65E18DF7"/>
    <w:rsid w:val="65E1D587"/>
    <w:rsid w:val="65ECCD93"/>
    <w:rsid w:val="65ED584F"/>
    <w:rsid w:val="65EDBAEE"/>
    <w:rsid w:val="65F21C27"/>
    <w:rsid w:val="65F2354B"/>
    <w:rsid w:val="65F240E2"/>
    <w:rsid w:val="65F26490"/>
    <w:rsid w:val="65F926D2"/>
    <w:rsid w:val="65FA8670"/>
    <w:rsid w:val="65FE606A"/>
    <w:rsid w:val="6602516F"/>
    <w:rsid w:val="6603C6E9"/>
    <w:rsid w:val="6604D662"/>
    <w:rsid w:val="66062757"/>
    <w:rsid w:val="66096E9F"/>
    <w:rsid w:val="660F54D6"/>
    <w:rsid w:val="6610D2B1"/>
    <w:rsid w:val="661251B6"/>
    <w:rsid w:val="66129C71"/>
    <w:rsid w:val="66138232"/>
    <w:rsid w:val="66138E2F"/>
    <w:rsid w:val="66153C97"/>
    <w:rsid w:val="66154566"/>
    <w:rsid w:val="66163721"/>
    <w:rsid w:val="6618A960"/>
    <w:rsid w:val="6618C0EC"/>
    <w:rsid w:val="661C96BB"/>
    <w:rsid w:val="661DF150"/>
    <w:rsid w:val="6620F6C0"/>
    <w:rsid w:val="66245B3C"/>
    <w:rsid w:val="6624800D"/>
    <w:rsid w:val="662637E8"/>
    <w:rsid w:val="66285FA3"/>
    <w:rsid w:val="662AEF97"/>
    <w:rsid w:val="662B792F"/>
    <w:rsid w:val="662D8EC3"/>
    <w:rsid w:val="662F2BCF"/>
    <w:rsid w:val="66301D05"/>
    <w:rsid w:val="66307FE9"/>
    <w:rsid w:val="6630C0ED"/>
    <w:rsid w:val="6630FBB2"/>
    <w:rsid w:val="663201EB"/>
    <w:rsid w:val="66323E32"/>
    <w:rsid w:val="663243F1"/>
    <w:rsid w:val="66337052"/>
    <w:rsid w:val="66363330"/>
    <w:rsid w:val="6636FF45"/>
    <w:rsid w:val="6638C7AD"/>
    <w:rsid w:val="663943FD"/>
    <w:rsid w:val="663B27FE"/>
    <w:rsid w:val="663B2F72"/>
    <w:rsid w:val="663E457E"/>
    <w:rsid w:val="663E8032"/>
    <w:rsid w:val="6642F772"/>
    <w:rsid w:val="66433EA4"/>
    <w:rsid w:val="664657FC"/>
    <w:rsid w:val="66479C11"/>
    <w:rsid w:val="6648C197"/>
    <w:rsid w:val="664A4424"/>
    <w:rsid w:val="664BB841"/>
    <w:rsid w:val="664ECCAE"/>
    <w:rsid w:val="664F882E"/>
    <w:rsid w:val="66504411"/>
    <w:rsid w:val="66505479"/>
    <w:rsid w:val="6651C617"/>
    <w:rsid w:val="6652DA2A"/>
    <w:rsid w:val="6657CBD5"/>
    <w:rsid w:val="665A0573"/>
    <w:rsid w:val="665BF161"/>
    <w:rsid w:val="665E04ED"/>
    <w:rsid w:val="665FE44B"/>
    <w:rsid w:val="666100FE"/>
    <w:rsid w:val="66621613"/>
    <w:rsid w:val="6663E825"/>
    <w:rsid w:val="666462D9"/>
    <w:rsid w:val="6665AAE0"/>
    <w:rsid w:val="66671EF6"/>
    <w:rsid w:val="66676153"/>
    <w:rsid w:val="66697BA3"/>
    <w:rsid w:val="666A0932"/>
    <w:rsid w:val="666BD4C0"/>
    <w:rsid w:val="666CBC9C"/>
    <w:rsid w:val="66702FD9"/>
    <w:rsid w:val="66722152"/>
    <w:rsid w:val="66736ECC"/>
    <w:rsid w:val="6677F4CB"/>
    <w:rsid w:val="6678DDC2"/>
    <w:rsid w:val="66798868"/>
    <w:rsid w:val="667A8EEE"/>
    <w:rsid w:val="667C3ECE"/>
    <w:rsid w:val="667CDDF4"/>
    <w:rsid w:val="667EFF25"/>
    <w:rsid w:val="667FE561"/>
    <w:rsid w:val="668645BC"/>
    <w:rsid w:val="66880092"/>
    <w:rsid w:val="668A44A2"/>
    <w:rsid w:val="668ADF1E"/>
    <w:rsid w:val="668B86CE"/>
    <w:rsid w:val="668CC48D"/>
    <w:rsid w:val="668EA8FB"/>
    <w:rsid w:val="66947FB9"/>
    <w:rsid w:val="669832D0"/>
    <w:rsid w:val="669914A9"/>
    <w:rsid w:val="669B294B"/>
    <w:rsid w:val="669C5655"/>
    <w:rsid w:val="669D8CD4"/>
    <w:rsid w:val="669DFC4E"/>
    <w:rsid w:val="669E02C5"/>
    <w:rsid w:val="669E28F3"/>
    <w:rsid w:val="669FC8DC"/>
    <w:rsid w:val="669FEF54"/>
    <w:rsid w:val="669FF8AD"/>
    <w:rsid w:val="66A143CF"/>
    <w:rsid w:val="66A19464"/>
    <w:rsid w:val="66A35C00"/>
    <w:rsid w:val="66A72359"/>
    <w:rsid w:val="66A7AF06"/>
    <w:rsid w:val="66AB49E4"/>
    <w:rsid w:val="66ABEF97"/>
    <w:rsid w:val="66AC3FC7"/>
    <w:rsid w:val="66B0CF7B"/>
    <w:rsid w:val="66B5C4B9"/>
    <w:rsid w:val="66B5ECF4"/>
    <w:rsid w:val="66BA3B70"/>
    <w:rsid w:val="66BCD3A5"/>
    <w:rsid w:val="66BEF0BA"/>
    <w:rsid w:val="66C148AE"/>
    <w:rsid w:val="66C33C2F"/>
    <w:rsid w:val="66D05422"/>
    <w:rsid w:val="66D346FD"/>
    <w:rsid w:val="66D3B130"/>
    <w:rsid w:val="66D62DFB"/>
    <w:rsid w:val="66D6F79F"/>
    <w:rsid w:val="66D72087"/>
    <w:rsid w:val="66D7E7C1"/>
    <w:rsid w:val="66D98CA0"/>
    <w:rsid w:val="66DDEA4A"/>
    <w:rsid w:val="66E7F6F9"/>
    <w:rsid w:val="66E9753D"/>
    <w:rsid w:val="66EC815F"/>
    <w:rsid w:val="66EE241B"/>
    <w:rsid w:val="66EE8962"/>
    <w:rsid w:val="66F0E46E"/>
    <w:rsid w:val="66F23383"/>
    <w:rsid w:val="66F42FE1"/>
    <w:rsid w:val="66F724B5"/>
    <w:rsid w:val="66F84427"/>
    <w:rsid w:val="66F85A1A"/>
    <w:rsid w:val="66F87265"/>
    <w:rsid w:val="66FA9AEE"/>
    <w:rsid w:val="66FBBF26"/>
    <w:rsid w:val="66FC9BFE"/>
    <w:rsid w:val="6704B9B5"/>
    <w:rsid w:val="67058F0C"/>
    <w:rsid w:val="6707F397"/>
    <w:rsid w:val="670931C2"/>
    <w:rsid w:val="670A04BC"/>
    <w:rsid w:val="670A04C3"/>
    <w:rsid w:val="670A9ED0"/>
    <w:rsid w:val="670E52A0"/>
    <w:rsid w:val="67102AAD"/>
    <w:rsid w:val="67108A97"/>
    <w:rsid w:val="671388A0"/>
    <w:rsid w:val="671A8030"/>
    <w:rsid w:val="671AAF8B"/>
    <w:rsid w:val="671BA7DE"/>
    <w:rsid w:val="671C2543"/>
    <w:rsid w:val="671C4E10"/>
    <w:rsid w:val="671C51DC"/>
    <w:rsid w:val="671E3EF3"/>
    <w:rsid w:val="671E5275"/>
    <w:rsid w:val="671E8C54"/>
    <w:rsid w:val="671F88D4"/>
    <w:rsid w:val="6720377D"/>
    <w:rsid w:val="67204C15"/>
    <w:rsid w:val="672267B8"/>
    <w:rsid w:val="672550F2"/>
    <w:rsid w:val="67265751"/>
    <w:rsid w:val="6726E8B0"/>
    <w:rsid w:val="6726F2CF"/>
    <w:rsid w:val="672FB3FE"/>
    <w:rsid w:val="67300200"/>
    <w:rsid w:val="6730532A"/>
    <w:rsid w:val="67317604"/>
    <w:rsid w:val="6733DB86"/>
    <w:rsid w:val="6734880B"/>
    <w:rsid w:val="67381717"/>
    <w:rsid w:val="6738B82E"/>
    <w:rsid w:val="673E6F94"/>
    <w:rsid w:val="6740CB5B"/>
    <w:rsid w:val="674326B3"/>
    <w:rsid w:val="67475B00"/>
    <w:rsid w:val="674D55FD"/>
    <w:rsid w:val="674D9190"/>
    <w:rsid w:val="67544161"/>
    <w:rsid w:val="675946D7"/>
    <w:rsid w:val="67594F0D"/>
    <w:rsid w:val="6759794D"/>
    <w:rsid w:val="675A9BA4"/>
    <w:rsid w:val="675B1225"/>
    <w:rsid w:val="675C34FC"/>
    <w:rsid w:val="675C8CC6"/>
    <w:rsid w:val="6761646E"/>
    <w:rsid w:val="6761E4EB"/>
    <w:rsid w:val="676367EB"/>
    <w:rsid w:val="67637A66"/>
    <w:rsid w:val="676497C0"/>
    <w:rsid w:val="67657C9F"/>
    <w:rsid w:val="676BA407"/>
    <w:rsid w:val="676FB82C"/>
    <w:rsid w:val="67704947"/>
    <w:rsid w:val="67705E0F"/>
    <w:rsid w:val="6772A633"/>
    <w:rsid w:val="6776A68F"/>
    <w:rsid w:val="67793949"/>
    <w:rsid w:val="67795DBE"/>
    <w:rsid w:val="6779AC5B"/>
    <w:rsid w:val="6779B3CA"/>
    <w:rsid w:val="6779EE7E"/>
    <w:rsid w:val="677AE4B0"/>
    <w:rsid w:val="677F83EE"/>
    <w:rsid w:val="677FB3D7"/>
    <w:rsid w:val="6780DEE0"/>
    <w:rsid w:val="67832F5F"/>
    <w:rsid w:val="6783BD91"/>
    <w:rsid w:val="67869F9F"/>
    <w:rsid w:val="6787F671"/>
    <w:rsid w:val="6788E67E"/>
    <w:rsid w:val="67891BE5"/>
    <w:rsid w:val="678D5DE5"/>
    <w:rsid w:val="678FC47C"/>
    <w:rsid w:val="678FEB69"/>
    <w:rsid w:val="6793D72A"/>
    <w:rsid w:val="6794C8AF"/>
    <w:rsid w:val="67950FEB"/>
    <w:rsid w:val="6796BDF4"/>
    <w:rsid w:val="67995B62"/>
    <w:rsid w:val="679B6CEA"/>
    <w:rsid w:val="679FB08B"/>
    <w:rsid w:val="67A18B55"/>
    <w:rsid w:val="67A2EA97"/>
    <w:rsid w:val="67A72DBE"/>
    <w:rsid w:val="67AC6B5F"/>
    <w:rsid w:val="67AEEAEA"/>
    <w:rsid w:val="67B75757"/>
    <w:rsid w:val="67B92EB2"/>
    <w:rsid w:val="67B951AA"/>
    <w:rsid w:val="67BD05E2"/>
    <w:rsid w:val="67C1049D"/>
    <w:rsid w:val="67C41FF4"/>
    <w:rsid w:val="67C5D210"/>
    <w:rsid w:val="67C7A42B"/>
    <w:rsid w:val="67C9D1DA"/>
    <w:rsid w:val="67CA3AD3"/>
    <w:rsid w:val="67CAD990"/>
    <w:rsid w:val="67CD9097"/>
    <w:rsid w:val="67CDA02D"/>
    <w:rsid w:val="67CE9660"/>
    <w:rsid w:val="67CF91C2"/>
    <w:rsid w:val="67D8A97E"/>
    <w:rsid w:val="67DB0702"/>
    <w:rsid w:val="67DD56D3"/>
    <w:rsid w:val="67DE85D1"/>
    <w:rsid w:val="67DF9EA6"/>
    <w:rsid w:val="67E1AA14"/>
    <w:rsid w:val="67E2604F"/>
    <w:rsid w:val="67E739A3"/>
    <w:rsid w:val="67EC80A8"/>
    <w:rsid w:val="67ED369C"/>
    <w:rsid w:val="67F12C00"/>
    <w:rsid w:val="67F4BB36"/>
    <w:rsid w:val="67F6D49D"/>
    <w:rsid w:val="67F8289E"/>
    <w:rsid w:val="67F8B4C9"/>
    <w:rsid w:val="67F8C016"/>
    <w:rsid w:val="67FA4539"/>
    <w:rsid w:val="67FC9DA9"/>
    <w:rsid w:val="67FE4CBF"/>
    <w:rsid w:val="67FF8617"/>
    <w:rsid w:val="68003A42"/>
    <w:rsid w:val="68028151"/>
    <w:rsid w:val="68030580"/>
    <w:rsid w:val="6807B933"/>
    <w:rsid w:val="680AF6A7"/>
    <w:rsid w:val="680B3007"/>
    <w:rsid w:val="680C044D"/>
    <w:rsid w:val="680C20CE"/>
    <w:rsid w:val="680C45DE"/>
    <w:rsid w:val="680CD752"/>
    <w:rsid w:val="6811B2F6"/>
    <w:rsid w:val="68121B59"/>
    <w:rsid w:val="68122BD1"/>
    <w:rsid w:val="68160A3A"/>
    <w:rsid w:val="681733F0"/>
    <w:rsid w:val="681A034A"/>
    <w:rsid w:val="681AA48F"/>
    <w:rsid w:val="681D0F27"/>
    <w:rsid w:val="681EF474"/>
    <w:rsid w:val="681EFA5F"/>
    <w:rsid w:val="681F8430"/>
    <w:rsid w:val="68206ABE"/>
    <w:rsid w:val="6822551C"/>
    <w:rsid w:val="6823D668"/>
    <w:rsid w:val="682C2300"/>
    <w:rsid w:val="682D0658"/>
    <w:rsid w:val="682D25CA"/>
    <w:rsid w:val="68307587"/>
    <w:rsid w:val="68315208"/>
    <w:rsid w:val="68315A4C"/>
    <w:rsid w:val="68315B9C"/>
    <w:rsid w:val="68331443"/>
    <w:rsid w:val="6833B9AA"/>
    <w:rsid w:val="68355415"/>
    <w:rsid w:val="6835CBE7"/>
    <w:rsid w:val="6837B507"/>
    <w:rsid w:val="683AF74F"/>
    <w:rsid w:val="683B3802"/>
    <w:rsid w:val="683D1251"/>
    <w:rsid w:val="68400129"/>
    <w:rsid w:val="68411CEB"/>
    <w:rsid w:val="6842684D"/>
    <w:rsid w:val="68426860"/>
    <w:rsid w:val="6843474D"/>
    <w:rsid w:val="68454480"/>
    <w:rsid w:val="68476566"/>
    <w:rsid w:val="684CF809"/>
    <w:rsid w:val="684DFE9A"/>
    <w:rsid w:val="684F647A"/>
    <w:rsid w:val="684FF21C"/>
    <w:rsid w:val="68505731"/>
    <w:rsid w:val="6851C139"/>
    <w:rsid w:val="6853D878"/>
    <w:rsid w:val="6855CE3F"/>
    <w:rsid w:val="68577C5D"/>
    <w:rsid w:val="6858CB22"/>
    <w:rsid w:val="685A9F28"/>
    <w:rsid w:val="68608304"/>
    <w:rsid w:val="68669D21"/>
    <w:rsid w:val="68679EF8"/>
    <w:rsid w:val="686C8469"/>
    <w:rsid w:val="686CC1E1"/>
    <w:rsid w:val="68708696"/>
    <w:rsid w:val="6872CB48"/>
    <w:rsid w:val="687384D4"/>
    <w:rsid w:val="6876FBB7"/>
    <w:rsid w:val="6877BE67"/>
    <w:rsid w:val="6878FB2C"/>
    <w:rsid w:val="687A995E"/>
    <w:rsid w:val="687B1E11"/>
    <w:rsid w:val="687EED43"/>
    <w:rsid w:val="6880AAEC"/>
    <w:rsid w:val="6881F086"/>
    <w:rsid w:val="6884DF91"/>
    <w:rsid w:val="6885B179"/>
    <w:rsid w:val="6885C2DF"/>
    <w:rsid w:val="6889AEFD"/>
    <w:rsid w:val="688BFFBD"/>
    <w:rsid w:val="688C254C"/>
    <w:rsid w:val="688DF6DC"/>
    <w:rsid w:val="688E0382"/>
    <w:rsid w:val="688ED845"/>
    <w:rsid w:val="6893BACE"/>
    <w:rsid w:val="68940EA7"/>
    <w:rsid w:val="689425C4"/>
    <w:rsid w:val="68943AC9"/>
    <w:rsid w:val="68977837"/>
    <w:rsid w:val="6898C579"/>
    <w:rsid w:val="689AF5DD"/>
    <w:rsid w:val="689B1C6A"/>
    <w:rsid w:val="689B22E4"/>
    <w:rsid w:val="689BDE45"/>
    <w:rsid w:val="689CE4FF"/>
    <w:rsid w:val="689D1342"/>
    <w:rsid w:val="689EC2E3"/>
    <w:rsid w:val="68A1F881"/>
    <w:rsid w:val="68A519EF"/>
    <w:rsid w:val="68A6D99C"/>
    <w:rsid w:val="68A83D18"/>
    <w:rsid w:val="68A8DC77"/>
    <w:rsid w:val="68AA2D8A"/>
    <w:rsid w:val="68AA5E5D"/>
    <w:rsid w:val="68AA8B8A"/>
    <w:rsid w:val="68AABB7C"/>
    <w:rsid w:val="68AD480D"/>
    <w:rsid w:val="68AE35B4"/>
    <w:rsid w:val="68AE5640"/>
    <w:rsid w:val="68AE90B4"/>
    <w:rsid w:val="68AF2BA5"/>
    <w:rsid w:val="68B10DF3"/>
    <w:rsid w:val="68B38F80"/>
    <w:rsid w:val="68B3CEC3"/>
    <w:rsid w:val="68B45A57"/>
    <w:rsid w:val="68B4D378"/>
    <w:rsid w:val="68B5DD12"/>
    <w:rsid w:val="68B73619"/>
    <w:rsid w:val="68B83AB4"/>
    <w:rsid w:val="68BC5360"/>
    <w:rsid w:val="68C12E4F"/>
    <w:rsid w:val="68C199FC"/>
    <w:rsid w:val="68C21B13"/>
    <w:rsid w:val="68CACAA3"/>
    <w:rsid w:val="68CD5A72"/>
    <w:rsid w:val="68CFBAAC"/>
    <w:rsid w:val="68CFE5F9"/>
    <w:rsid w:val="68D7660B"/>
    <w:rsid w:val="68D81A11"/>
    <w:rsid w:val="68D8F2B7"/>
    <w:rsid w:val="68DA5BD7"/>
    <w:rsid w:val="68DB50AA"/>
    <w:rsid w:val="68DD4157"/>
    <w:rsid w:val="68DF6C79"/>
    <w:rsid w:val="68DFC65D"/>
    <w:rsid w:val="68E7086F"/>
    <w:rsid w:val="68E9CF2B"/>
    <w:rsid w:val="68EC599E"/>
    <w:rsid w:val="68ECA964"/>
    <w:rsid w:val="68EFCEA8"/>
    <w:rsid w:val="68F30064"/>
    <w:rsid w:val="68F34996"/>
    <w:rsid w:val="68F48501"/>
    <w:rsid w:val="68F68036"/>
    <w:rsid w:val="68F86E26"/>
    <w:rsid w:val="68F96E0B"/>
    <w:rsid w:val="68FAFC6C"/>
    <w:rsid w:val="69025759"/>
    <w:rsid w:val="69055DAA"/>
    <w:rsid w:val="69056CD5"/>
    <w:rsid w:val="6906D315"/>
    <w:rsid w:val="6907282C"/>
    <w:rsid w:val="69098157"/>
    <w:rsid w:val="690FC694"/>
    <w:rsid w:val="6910A03D"/>
    <w:rsid w:val="69125F43"/>
    <w:rsid w:val="6913CA4A"/>
    <w:rsid w:val="6913FE51"/>
    <w:rsid w:val="69142B58"/>
    <w:rsid w:val="6914571B"/>
    <w:rsid w:val="6914C077"/>
    <w:rsid w:val="69162E3A"/>
    <w:rsid w:val="6916777F"/>
    <w:rsid w:val="6916D76E"/>
    <w:rsid w:val="691745C2"/>
    <w:rsid w:val="69177CA9"/>
    <w:rsid w:val="69180E88"/>
    <w:rsid w:val="69189631"/>
    <w:rsid w:val="691991AC"/>
    <w:rsid w:val="691A66C9"/>
    <w:rsid w:val="691E23BD"/>
    <w:rsid w:val="691EC485"/>
    <w:rsid w:val="691EEC88"/>
    <w:rsid w:val="6920059A"/>
    <w:rsid w:val="692038FD"/>
    <w:rsid w:val="6921FD05"/>
    <w:rsid w:val="69220D6C"/>
    <w:rsid w:val="69222F88"/>
    <w:rsid w:val="6925BA85"/>
    <w:rsid w:val="692614A1"/>
    <w:rsid w:val="69293F68"/>
    <w:rsid w:val="692A8C44"/>
    <w:rsid w:val="692B9669"/>
    <w:rsid w:val="692CC51E"/>
    <w:rsid w:val="692FC7FD"/>
    <w:rsid w:val="69300ADE"/>
    <w:rsid w:val="6931107A"/>
    <w:rsid w:val="69327786"/>
    <w:rsid w:val="6932F3C1"/>
    <w:rsid w:val="69331185"/>
    <w:rsid w:val="69331C18"/>
    <w:rsid w:val="6934CF6C"/>
    <w:rsid w:val="69353CAB"/>
    <w:rsid w:val="6937D6A1"/>
    <w:rsid w:val="6937EEBF"/>
    <w:rsid w:val="6939B417"/>
    <w:rsid w:val="693B8618"/>
    <w:rsid w:val="693D6936"/>
    <w:rsid w:val="693D7B12"/>
    <w:rsid w:val="693E50F3"/>
    <w:rsid w:val="6941AC1B"/>
    <w:rsid w:val="694395DE"/>
    <w:rsid w:val="6944156C"/>
    <w:rsid w:val="694592C0"/>
    <w:rsid w:val="6946A772"/>
    <w:rsid w:val="69473292"/>
    <w:rsid w:val="6949FC9A"/>
    <w:rsid w:val="694B733E"/>
    <w:rsid w:val="694C2CC1"/>
    <w:rsid w:val="694E3FE3"/>
    <w:rsid w:val="69518E56"/>
    <w:rsid w:val="6955BED8"/>
    <w:rsid w:val="695B3A89"/>
    <w:rsid w:val="695C3F66"/>
    <w:rsid w:val="695EFE81"/>
    <w:rsid w:val="69601FE9"/>
    <w:rsid w:val="69639FB7"/>
    <w:rsid w:val="696572E5"/>
    <w:rsid w:val="69690BA7"/>
    <w:rsid w:val="696A5D70"/>
    <w:rsid w:val="696A92B8"/>
    <w:rsid w:val="696D0E51"/>
    <w:rsid w:val="696DABCE"/>
    <w:rsid w:val="696FE111"/>
    <w:rsid w:val="69701DB1"/>
    <w:rsid w:val="69722B80"/>
    <w:rsid w:val="697496F0"/>
    <w:rsid w:val="697672C5"/>
    <w:rsid w:val="697BE8F4"/>
    <w:rsid w:val="697DB30B"/>
    <w:rsid w:val="69803A59"/>
    <w:rsid w:val="6983B4F9"/>
    <w:rsid w:val="69866FF4"/>
    <w:rsid w:val="69869DE4"/>
    <w:rsid w:val="6986F0BE"/>
    <w:rsid w:val="698845C4"/>
    <w:rsid w:val="698AA3A5"/>
    <w:rsid w:val="698B52E4"/>
    <w:rsid w:val="698DF91E"/>
    <w:rsid w:val="69911888"/>
    <w:rsid w:val="699253A7"/>
    <w:rsid w:val="6995C75B"/>
    <w:rsid w:val="69990930"/>
    <w:rsid w:val="699B6845"/>
    <w:rsid w:val="699CBEFC"/>
    <w:rsid w:val="699E8098"/>
    <w:rsid w:val="699ECC39"/>
    <w:rsid w:val="69A2CA4F"/>
    <w:rsid w:val="69A2E960"/>
    <w:rsid w:val="69A37E39"/>
    <w:rsid w:val="69A61A38"/>
    <w:rsid w:val="69A728B8"/>
    <w:rsid w:val="69A7BF0E"/>
    <w:rsid w:val="69A8D725"/>
    <w:rsid w:val="69AA8E7C"/>
    <w:rsid w:val="69AD207A"/>
    <w:rsid w:val="69B16D91"/>
    <w:rsid w:val="69B32337"/>
    <w:rsid w:val="69B50F65"/>
    <w:rsid w:val="69B5885A"/>
    <w:rsid w:val="69B689C9"/>
    <w:rsid w:val="69B6A5B5"/>
    <w:rsid w:val="69B8CAD8"/>
    <w:rsid w:val="69B8FE5F"/>
    <w:rsid w:val="69BB3CC9"/>
    <w:rsid w:val="69BBB4B1"/>
    <w:rsid w:val="69C2A192"/>
    <w:rsid w:val="69C42CC9"/>
    <w:rsid w:val="69C7F630"/>
    <w:rsid w:val="69C95F5B"/>
    <w:rsid w:val="69CA6F9F"/>
    <w:rsid w:val="69CB19B2"/>
    <w:rsid w:val="69CDF160"/>
    <w:rsid w:val="69CFCCA5"/>
    <w:rsid w:val="69D2539E"/>
    <w:rsid w:val="69D30437"/>
    <w:rsid w:val="69D4AE81"/>
    <w:rsid w:val="69D4D560"/>
    <w:rsid w:val="69D50105"/>
    <w:rsid w:val="69D55587"/>
    <w:rsid w:val="69D579E7"/>
    <w:rsid w:val="69D6294A"/>
    <w:rsid w:val="69D845DC"/>
    <w:rsid w:val="69DD6325"/>
    <w:rsid w:val="69DD95A2"/>
    <w:rsid w:val="69DE3710"/>
    <w:rsid w:val="69E6A402"/>
    <w:rsid w:val="69EADB57"/>
    <w:rsid w:val="69EB5762"/>
    <w:rsid w:val="69ECFC4C"/>
    <w:rsid w:val="69EF9212"/>
    <w:rsid w:val="69F0E096"/>
    <w:rsid w:val="69F0E94B"/>
    <w:rsid w:val="69F4F687"/>
    <w:rsid w:val="69F5801A"/>
    <w:rsid w:val="69F6D16C"/>
    <w:rsid w:val="69F72242"/>
    <w:rsid w:val="69FA9CF7"/>
    <w:rsid w:val="69FBAB73"/>
    <w:rsid w:val="69FC2225"/>
    <w:rsid w:val="69FD9BAC"/>
    <w:rsid w:val="69FEDD28"/>
    <w:rsid w:val="69FEFFA0"/>
    <w:rsid w:val="6A014512"/>
    <w:rsid w:val="6A02E65D"/>
    <w:rsid w:val="6A045C60"/>
    <w:rsid w:val="6A051472"/>
    <w:rsid w:val="6A09B0A2"/>
    <w:rsid w:val="6A0CB8F5"/>
    <w:rsid w:val="6A0CF13A"/>
    <w:rsid w:val="6A1023B0"/>
    <w:rsid w:val="6A1027A5"/>
    <w:rsid w:val="6A108CBE"/>
    <w:rsid w:val="6A10D266"/>
    <w:rsid w:val="6A11CD0E"/>
    <w:rsid w:val="6A17F8AF"/>
    <w:rsid w:val="6A1A98C5"/>
    <w:rsid w:val="6A1A9C61"/>
    <w:rsid w:val="6A1C2477"/>
    <w:rsid w:val="6A1CA77A"/>
    <w:rsid w:val="6A1D25B0"/>
    <w:rsid w:val="6A1FC3F1"/>
    <w:rsid w:val="6A22C61A"/>
    <w:rsid w:val="6A270BE5"/>
    <w:rsid w:val="6A2866E4"/>
    <w:rsid w:val="6A287D62"/>
    <w:rsid w:val="6A2A9715"/>
    <w:rsid w:val="6A2D1504"/>
    <w:rsid w:val="6A2D7DE7"/>
    <w:rsid w:val="6A3220BB"/>
    <w:rsid w:val="6A333FD5"/>
    <w:rsid w:val="6A356418"/>
    <w:rsid w:val="6A3745D5"/>
    <w:rsid w:val="6A37BC0A"/>
    <w:rsid w:val="6A38B094"/>
    <w:rsid w:val="6A3B4CB0"/>
    <w:rsid w:val="6A3BF0B5"/>
    <w:rsid w:val="6A3CE55E"/>
    <w:rsid w:val="6A3E2ED8"/>
    <w:rsid w:val="6A3F1314"/>
    <w:rsid w:val="6A432231"/>
    <w:rsid w:val="6A45F5D6"/>
    <w:rsid w:val="6A47C13A"/>
    <w:rsid w:val="6A497B92"/>
    <w:rsid w:val="6A4A2914"/>
    <w:rsid w:val="6A4D47F2"/>
    <w:rsid w:val="6A4E0E8E"/>
    <w:rsid w:val="6A4F2B65"/>
    <w:rsid w:val="6A4F33A9"/>
    <w:rsid w:val="6A4F3970"/>
    <w:rsid w:val="6A502BA3"/>
    <w:rsid w:val="6A508D3A"/>
    <w:rsid w:val="6A519D3B"/>
    <w:rsid w:val="6A540458"/>
    <w:rsid w:val="6A54EAB5"/>
    <w:rsid w:val="6A55CEDF"/>
    <w:rsid w:val="6A55E386"/>
    <w:rsid w:val="6A5EDAFF"/>
    <w:rsid w:val="6A616E50"/>
    <w:rsid w:val="6A61B2C7"/>
    <w:rsid w:val="6A6373E9"/>
    <w:rsid w:val="6A65A436"/>
    <w:rsid w:val="6A6665F9"/>
    <w:rsid w:val="6A669F97"/>
    <w:rsid w:val="6A671A4B"/>
    <w:rsid w:val="6A6AAD2B"/>
    <w:rsid w:val="6A71599A"/>
    <w:rsid w:val="6A726CFF"/>
    <w:rsid w:val="6A72E46A"/>
    <w:rsid w:val="6A7611AA"/>
    <w:rsid w:val="6A7934CE"/>
    <w:rsid w:val="6A7B2184"/>
    <w:rsid w:val="6A7CBBCA"/>
    <w:rsid w:val="6A7DD244"/>
    <w:rsid w:val="6A807E4B"/>
    <w:rsid w:val="6A813875"/>
    <w:rsid w:val="6A8A653E"/>
    <w:rsid w:val="6A8B8EB6"/>
    <w:rsid w:val="6A8B9861"/>
    <w:rsid w:val="6A8BFA2B"/>
    <w:rsid w:val="6A8C8DCD"/>
    <w:rsid w:val="6A8CD9CA"/>
    <w:rsid w:val="6A8ED97C"/>
    <w:rsid w:val="6A91DC22"/>
    <w:rsid w:val="6A95BE65"/>
    <w:rsid w:val="6A983516"/>
    <w:rsid w:val="6A9846DB"/>
    <w:rsid w:val="6A9A84D5"/>
    <w:rsid w:val="6A9D9E8D"/>
    <w:rsid w:val="6A9E4187"/>
    <w:rsid w:val="6A9F1B39"/>
    <w:rsid w:val="6AA01706"/>
    <w:rsid w:val="6AA08661"/>
    <w:rsid w:val="6AA0D192"/>
    <w:rsid w:val="6AA15DD1"/>
    <w:rsid w:val="6AA29442"/>
    <w:rsid w:val="6AA322F2"/>
    <w:rsid w:val="6AA33728"/>
    <w:rsid w:val="6AA39B80"/>
    <w:rsid w:val="6AA42DA3"/>
    <w:rsid w:val="6AA6C7BA"/>
    <w:rsid w:val="6AA6DE8C"/>
    <w:rsid w:val="6AAA09B1"/>
    <w:rsid w:val="6AAA0B05"/>
    <w:rsid w:val="6AAAE31F"/>
    <w:rsid w:val="6AAB0934"/>
    <w:rsid w:val="6AAEC381"/>
    <w:rsid w:val="6AB1D9B2"/>
    <w:rsid w:val="6AB2730E"/>
    <w:rsid w:val="6AB75174"/>
    <w:rsid w:val="6AB81A01"/>
    <w:rsid w:val="6AB8CDCD"/>
    <w:rsid w:val="6AB9F0CA"/>
    <w:rsid w:val="6ABA4D34"/>
    <w:rsid w:val="6ABAEA9A"/>
    <w:rsid w:val="6ABB21DE"/>
    <w:rsid w:val="6ABB25DA"/>
    <w:rsid w:val="6ABE4DD7"/>
    <w:rsid w:val="6ABEF063"/>
    <w:rsid w:val="6AC0611C"/>
    <w:rsid w:val="6AC18E69"/>
    <w:rsid w:val="6AC27245"/>
    <w:rsid w:val="6AC3C40F"/>
    <w:rsid w:val="6AC3F509"/>
    <w:rsid w:val="6AC610D4"/>
    <w:rsid w:val="6AC6BB97"/>
    <w:rsid w:val="6AC797D9"/>
    <w:rsid w:val="6ACA56B3"/>
    <w:rsid w:val="6ACB0313"/>
    <w:rsid w:val="6ACDC6EC"/>
    <w:rsid w:val="6AD04735"/>
    <w:rsid w:val="6AD1B31B"/>
    <w:rsid w:val="6AD23D92"/>
    <w:rsid w:val="6AD40754"/>
    <w:rsid w:val="6AD42A51"/>
    <w:rsid w:val="6AD666E9"/>
    <w:rsid w:val="6AD683F6"/>
    <w:rsid w:val="6AD7E6EC"/>
    <w:rsid w:val="6AD98701"/>
    <w:rsid w:val="6AD9BE0F"/>
    <w:rsid w:val="6ADD4581"/>
    <w:rsid w:val="6AE06487"/>
    <w:rsid w:val="6AE394CC"/>
    <w:rsid w:val="6AE52DED"/>
    <w:rsid w:val="6AE6342B"/>
    <w:rsid w:val="6AEB33B2"/>
    <w:rsid w:val="6AEBFFB9"/>
    <w:rsid w:val="6AEC5254"/>
    <w:rsid w:val="6AEC88A3"/>
    <w:rsid w:val="6AEC9A55"/>
    <w:rsid w:val="6AEE3C22"/>
    <w:rsid w:val="6AEE60AD"/>
    <w:rsid w:val="6AEEFC2C"/>
    <w:rsid w:val="6AF0F778"/>
    <w:rsid w:val="6AF4B854"/>
    <w:rsid w:val="6AF52E7B"/>
    <w:rsid w:val="6AF5A1AD"/>
    <w:rsid w:val="6AF9C913"/>
    <w:rsid w:val="6AFA6C94"/>
    <w:rsid w:val="6AFA99E3"/>
    <w:rsid w:val="6AFB50E0"/>
    <w:rsid w:val="6AFB66B9"/>
    <w:rsid w:val="6AFB9FE3"/>
    <w:rsid w:val="6AFBA43E"/>
    <w:rsid w:val="6AFCF7F4"/>
    <w:rsid w:val="6AFEE9D8"/>
    <w:rsid w:val="6B012E94"/>
    <w:rsid w:val="6B01B285"/>
    <w:rsid w:val="6B04AB4A"/>
    <w:rsid w:val="6B0546C1"/>
    <w:rsid w:val="6B058219"/>
    <w:rsid w:val="6B05E16C"/>
    <w:rsid w:val="6B07144E"/>
    <w:rsid w:val="6B0AD741"/>
    <w:rsid w:val="6B0B86F4"/>
    <w:rsid w:val="6B0D26D3"/>
    <w:rsid w:val="6B117987"/>
    <w:rsid w:val="6B11F6A6"/>
    <w:rsid w:val="6B123109"/>
    <w:rsid w:val="6B123ED4"/>
    <w:rsid w:val="6B142B0B"/>
    <w:rsid w:val="6B151512"/>
    <w:rsid w:val="6B164B4C"/>
    <w:rsid w:val="6B169FCC"/>
    <w:rsid w:val="6B17AAF6"/>
    <w:rsid w:val="6B1CD74B"/>
    <w:rsid w:val="6B211B1C"/>
    <w:rsid w:val="6B21F539"/>
    <w:rsid w:val="6B232271"/>
    <w:rsid w:val="6B24108B"/>
    <w:rsid w:val="6B260CCA"/>
    <w:rsid w:val="6B275D98"/>
    <w:rsid w:val="6B27FAE6"/>
    <w:rsid w:val="6B295507"/>
    <w:rsid w:val="6B29C32F"/>
    <w:rsid w:val="6B2A8DD2"/>
    <w:rsid w:val="6B2B0F01"/>
    <w:rsid w:val="6B2C13AC"/>
    <w:rsid w:val="6B2D1A06"/>
    <w:rsid w:val="6B2E0BAE"/>
    <w:rsid w:val="6B2E4435"/>
    <w:rsid w:val="6B2E77B9"/>
    <w:rsid w:val="6B306922"/>
    <w:rsid w:val="6B309EDA"/>
    <w:rsid w:val="6B342A77"/>
    <w:rsid w:val="6B356C54"/>
    <w:rsid w:val="6B3588DA"/>
    <w:rsid w:val="6B35BD66"/>
    <w:rsid w:val="6B3612E9"/>
    <w:rsid w:val="6B363B8F"/>
    <w:rsid w:val="6B3684E4"/>
    <w:rsid w:val="6B3CD1B9"/>
    <w:rsid w:val="6B3F8635"/>
    <w:rsid w:val="6B4217D0"/>
    <w:rsid w:val="6B444E83"/>
    <w:rsid w:val="6B470D89"/>
    <w:rsid w:val="6B479A8D"/>
    <w:rsid w:val="6B499E6E"/>
    <w:rsid w:val="6B4B50E9"/>
    <w:rsid w:val="6B4C08DB"/>
    <w:rsid w:val="6B50D7F7"/>
    <w:rsid w:val="6B52017B"/>
    <w:rsid w:val="6B52B457"/>
    <w:rsid w:val="6B5312A3"/>
    <w:rsid w:val="6B53D071"/>
    <w:rsid w:val="6B54EFF0"/>
    <w:rsid w:val="6B57766B"/>
    <w:rsid w:val="6B584897"/>
    <w:rsid w:val="6B5B4272"/>
    <w:rsid w:val="6B644818"/>
    <w:rsid w:val="6B64C1C2"/>
    <w:rsid w:val="6B673CF5"/>
    <w:rsid w:val="6B68EACE"/>
    <w:rsid w:val="6B6BEBBD"/>
    <w:rsid w:val="6B6CB51C"/>
    <w:rsid w:val="6B6CC289"/>
    <w:rsid w:val="6B6D8D97"/>
    <w:rsid w:val="6B72E33C"/>
    <w:rsid w:val="6B75928C"/>
    <w:rsid w:val="6B75FE5C"/>
    <w:rsid w:val="6B77DF75"/>
    <w:rsid w:val="6B78653E"/>
    <w:rsid w:val="6B79AFA3"/>
    <w:rsid w:val="6B7B8A7C"/>
    <w:rsid w:val="6B7D091F"/>
    <w:rsid w:val="6B7DD8E8"/>
    <w:rsid w:val="6B842322"/>
    <w:rsid w:val="6B846371"/>
    <w:rsid w:val="6B84A756"/>
    <w:rsid w:val="6B8841D4"/>
    <w:rsid w:val="6B8AAFA1"/>
    <w:rsid w:val="6B8B25A1"/>
    <w:rsid w:val="6B8CC4D8"/>
    <w:rsid w:val="6B8CEC95"/>
    <w:rsid w:val="6B8DD281"/>
    <w:rsid w:val="6B8F377D"/>
    <w:rsid w:val="6B920955"/>
    <w:rsid w:val="6B953A85"/>
    <w:rsid w:val="6B963000"/>
    <w:rsid w:val="6B965FB7"/>
    <w:rsid w:val="6B97F298"/>
    <w:rsid w:val="6B98BDB4"/>
    <w:rsid w:val="6B9A11AB"/>
    <w:rsid w:val="6B9CE2AD"/>
    <w:rsid w:val="6B9DA014"/>
    <w:rsid w:val="6B9F7F9E"/>
    <w:rsid w:val="6BA00654"/>
    <w:rsid w:val="6BA497AD"/>
    <w:rsid w:val="6BA78C4D"/>
    <w:rsid w:val="6BA7A411"/>
    <w:rsid w:val="6BAA14F6"/>
    <w:rsid w:val="6BAA23EC"/>
    <w:rsid w:val="6BAADE3F"/>
    <w:rsid w:val="6BAB5A3A"/>
    <w:rsid w:val="6BAB8B39"/>
    <w:rsid w:val="6BABAB99"/>
    <w:rsid w:val="6BAC0138"/>
    <w:rsid w:val="6BAD5B77"/>
    <w:rsid w:val="6BAE9683"/>
    <w:rsid w:val="6BAEC643"/>
    <w:rsid w:val="6BB04646"/>
    <w:rsid w:val="6BB94460"/>
    <w:rsid w:val="6BC17820"/>
    <w:rsid w:val="6BC184DC"/>
    <w:rsid w:val="6BC31477"/>
    <w:rsid w:val="6BC65AC5"/>
    <w:rsid w:val="6BCA74F1"/>
    <w:rsid w:val="6BCB23A6"/>
    <w:rsid w:val="6BCBE518"/>
    <w:rsid w:val="6BCCE1B8"/>
    <w:rsid w:val="6BCD4BFC"/>
    <w:rsid w:val="6BCE5E62"/>
    <w:rsid w:val="6BCFD5AF"/>
    <w:rsid w:val="6BD00D21"/>
    <w:rsid w:val="6BD12197"/>
    <w:rsid w:val="6BD284B2"/>
    <w:rsid w:val="6BD329D4"/>
    <w:rsid w:val="6BD33048"/>
    <w:rsid w:val="6BD3FCEB"/>
    <w:rsid w:val="6BD404A3"/>
    <w:rsid w:val="6BD5963C"/>
    <w:rsid w:val="6BD88BB1"/>
    <w:rsid w:val="6BD8E497"/>
    <w:rsid w:val="6BDF29C8"/>
    <w:rsid w:val="6BDFC315"/>
    <w:rsid w:val="6BE09D5C"/>
    <w:rsid w:val="6BE1137B"/>
    <w:rsid w:val="6BE1D01C"/>
    <w:rsid w:val="6BE2DAA0"/>
    <w:rsid w:val="6BE32ED9"/>
    <w:rsid w:val="6BE48AEC"/>
    <w:rsid w:val="6BE66C8C"/>
    <w:rsid w:val="6BE6E4ED"/>
    <w:rsid w:val="6BE9ACDB"/>
    <w:rsid w:val="6BEBA10F"/>
    <w:rsid w:val="6BEC27BB"/>
    <w:rsid w:val="6BEC75DB"/>
    <w:rsid w:val="6BEEE05E"/>
    <w:rsid w:val="6BF0183C"/>
    <w:rsid w:val="6BF34DD7"/>
    <w:rsid w:val="6BF8F033"/>
    <w:rsid w:val="6BFA01DB"/>
    <w:rsid w:val="6BFA1541"/>
    <w:rsid w:val="6BFA5FFA"/>
    <w:rsid w:val="6BFE3497"/>
    <w:rsid w:val="6BFF086E"/>
    <w:rsid w:val="6C00C47F"/>
    <w:rsid w:val="6C011A9C"/>
    <w:rsid w:val="6C0ABCF4"/>
    <w:rsid w:val="6C0C0DA0"/>
    <w:rsid w:val="6C0C2773"/>
    <w:rsid w:val="6C0D8F84"/>
    <w:rsid w:val="6C1095AA"/>
    <w:rsid w:val="6C11972E"/>
    <w:rsid w:val="6C149C2E"/>
    <w:rsid w:val="6C152B59"/>
    <w:rsid w:val="6C15CC92"/>
    <w:rsid w:val="6C16423E"/>
    <w:rsid w:val="6C173D70"/>
    <w:rsid w:val="6C17D19D"/>
    <w:rsid w:val="6C1D825A"/>
    <w:rsid w:val="6C1E5B11"/>
    <w:rsid w:val="6C2086B1"/>
    <w:rsid w:val="6C225D18"/>
    <w:rsid w:val="6C24327E"/>
    <w:rsid w:val="6C24B62B"/>
    <w:rsid w:val="6C250FD4"/>
    <w:rsid w:val="6C26F259"/>
    <w:rsid w:val="6C2A8AED"/>
    <w:rsid w:val="6C2CAFC2"/>
    <w:rsid w:val="6C302A18"/>
    <w:rsid w:val="6C31D605"/>
    <w:rsid w:val="6C323B63"/>
    <w:rsid w:val="6C37A710"/>
    <w:rsid w:val="6C3DC9E2"/>
    <w:rsid w:val="6C409550"/>
    <w:rsid w:val="6C448CFA"/>
    <w:rsid w:val="6C453A8A"/>
    <w:rsid w:val="6C48CEF7"/>
    <w:rsid w:val="6C48DDB3"/>
    <w:rsid w:val="6C495CFB"/>
    <w:rsid w:val="6C4E489F"/>
    <w:rsid w:val="6C51B9E4"/>
    <w:rsid w:val="6C55B747"/>
    <w:rsid w:val="6C569881"/>
    <w:rsid w:val="6C5AE762"/>
    <w:rsid w:val="6C5C1CAC"/>
    <w:rsid w:val="6C5D578D"/>
    <w:rsid w:val="6C5DC674"/>
    <w:rsid w:val="6C5FEBD9"/>
    <w:rsid w:val="6C60E72E"/>
    <w:rsid w:val="6C62739E"/>
    <w:rsid w:val="6C63D301"/>
    <w:rsid w:val="6C6413BA"/>
    <w:rsid w:val="6C672944"/>
    <w:rsid w:val="6C672FCE"/>
    <w:rsid w:val="6C67C7C4"/>
    <w:rsid w:val="6C684292"/>
    <w:rsid w:val="6C68B66B"/>
    <w:rsid w:val="6C6B24B1"/>
    <w:rsid w:val="6C6DFCA0"/>
    <w:rsid w:val="6C71E001"/>
    <w:rsid w:val="6C73C918"/>
    <w:rsid w:val="6C74A68B"/>
    <w:rsid w:val="6C76B2BA"/>
    <w:rsid w:val="6C76D588"/>
    <w:rsid w:val="6C78F39C"/>
    <w:rsid w:val="6C79D4D8"/>
    <w:rsid w:val="6C7AA3C9"/>
    <w:rsid w:val="6C7AC6F4"/>
    <w:rsid w:val="6C7CA31B"/>
    <w:rsid w:val="6C7CAECB"/>
    <w:rsid w:val="6C80817A"/>
    <w:rsid w:val="6C81768C"/>
    <w:rsid w:val="6C84F64D"/>
    <w:rsid w:val="6C8506D7"/>
    <w:rsid w:val="6C8A8E63"/>
    <w:rsid w:val="6C8ACAAE"/>
    <w:rsid w:val="6C8AEFD4"/>
    <w:rsid w:val="6C8B9A2C"/>
    <w:rsid w:val="6C8B9C38"/>
    <w:rsid w:val="6C8BA97A"/>
    <w:rsid w:val="6C8DF019"/>
    <w:rsid w:val="6C8F7172"/>
    <w:rsid w:val="6C9094DC"/>
    <w:rsid w:val="6C935E2E"/>
    <w:rsid w:val="6C94E4FB"/>
    <w:rsid w:val="6C94EA5C"/>
    <w:rsid w:val="6C94F7D6"/>
    <w:rsid w:val="6C97F001"/>
    <w:rsid w:val="6C982A60"/>
    <w:rsid w:val="6C988AFB"/>
    <w:rsid w:val="6C9B5B54"/>
    <w:rsid w:val="6C9CEE60"/>
    <w:rsid w:val="6CA10DEC"/>
    <w:rsid w:val="6CA1F7FE"/>
    <w:rsid w:val="6CA37332"/>
    <w:rsid w:val="6CA5641B"/>
    <w:rsid w:val="6CA6BE85"/>
    <w:rsid w:val="6CA6EFE8"/>
    <w:rsid w:val="6CA8D3F5"/>
    <w:rsid w:val="6CAA179B"/>
    <w:rsid w:val="6CAA1C1B"/>
    <w:rsid w:val="6CAC410C"/>
    <w:rsid w:val="6CAD2A3A"/>
    <w:rsid w:val="6CB33595"/>
    <w:rsid w:val="6CB339B2"/>
    <w:rsid w:val="6CB44D58"/>
    <w:rsid w:val="6CB65397"/>
    <w:rsid w:val="6CB6CE7E"/>
    <w:rsid w:val="6CB7393F"/>
    <w:rsid w:val="6CB8CBA6"/>
    <w:rsid w:val="6CBB021A"/>
    <w:rsid w:val="6CBD1B4A"/>
    <w:rsid w:val="6CC0FB64"/>
    <w:rsid w:val="6CC13357"/>
    <w:rsid w:val="6CC40578"/>
    <w:rsid w:val="6CC444A7"/>
    <w:rsid w:val="6CCC1B03"/>
    <w:rsid w:val="6CD30B35"/>
    <w:rsid w:val="6CD39E08"/>
    <w:rsid w:val="6CD43D27"/>
    <w:rsid w:val="6CD67F3C"/>
    <w:rsid w:val="6CD69970"/>
    <w:rsid w:val="6CDACF1E"/>
    <w:rsid w:val="6CDC7577"/>
    <w:rsid w:val="6CDF95C1"/>
    <w:rsid w:val="6CE18DFA"/>
    <w:rsid w:val="6CE3D42B"/>
    <w:rsid w:val="6CE4258E"/>
    <w:rsid w:val="6CE7A397"/>
    <w:rsid w:val="6CEB45E4"/>
    <w:rsid w:val="6CEC68FA"/>
    <w:rsid w:val="6CEF4E7E"/>
    <w:rsid w:val="6CF0F8B9"/>
    <w:rsid w:val="6CF1A223"/>
    <w:rsid w:val="6CF2116A"/>
    <w:rsid w:val="6CF23E4F"/>
    <w:rsid w:val="6CF5141E"/>
    <w:rsid w:val="6CF5C02A"/>
    <w:rsid w:val="6CF6149C"/>
    <w:rsid w:val="6CF83F0C"/>
    <w:rsid w:val="6D0242D6"/>
    <w:rsid w:val="6D0255DF"/>
    <w:rsid w:val="6D038537"/>
    <w:rsid w:val="6D08725F"/>
    <w:rsid w:val="6D0BA016"/>
    <w:rsid w:val="6D0D7569"/>
    <w:rsid w:val="6D0F81CD"/>
    <w:rsid w:val="6D0FAA26"/>
    <w:rsid w:val="6D1A80EB"/>
    <w:rsid w:val="6D1CB9F4"/>
    <w:rsid w:val="6D1D841F"/>
    <w:rsid w:val="6D1E043C"/>
    <w:rsid w:val="6D1F2723"/>
    <w:rsid w:val="6D22A6D5"/>
    <w:rsid w:val="6D23423D"/>
    <w:rsid w:val="6D23F279"/>
    <w:rsid w:val="6D265E76"/>
    <w:rsid w:val="6D2AFF50"/>
    <w:rsid w:val="6D2B1FE7"/>
    <w:rsid w:val="6D2D986B"/>
    <w:rsid w:val="6D3018CB"/>
    <w:rsid w:val="6D306FCB"/>
    <w:rsid w:val="6D34794E"/>
    <w:rsid w:val="6D34E506"/>
    <w:rsid w:val="6D3A130D"/>
    <w:rsid w:val="6D3B06C9"/>
    <w:rsid w:val="6D3BC5F6"/>
    <w:rsid w:val="6D3E7EAA"/>
    <w:rsid w:val="6D423A6C"/>
    <w:rsid w:val="6D437F42"/>
    <w:rsid w:val="6D43A9D2"/>
    <w:rsid w:val="6D45AC2A"/>
    <w:rsid w:val="6D45D300"/>
    <w:rsid w:val="6D46CC04"/>
    <w:rsid w:val="6D499A4C"/>
    <w:rsid w:val="6D4B7C01"/>
    <w:rsid w:val="6D4C0F74"/>
    <w:rsid w:val="6D4C897A"/>
    <w:rsid w:val="6D4C9F1A"/>
    <w:rsid w:val="6D4D13E2"/>
    <w:rsid w:val="6D4D1D12"/>
    <w:rsid w:val="6D4DF482"/>
    <w:rsid w:val="6D4E15AE"/>
    <w:rsid w:val="6D50AD93"/>
    <w:rsid w:val="6D51C39D"/>
    <w:rsid w:val="6D52B164"/>
    <w:rsid w:val="6D53892C"/>
    <w:rsid w:val="6D5426CA"/>
    <w:rsid w:val="6D54280F"/>
    <w:rsid w:val="6D57F03F"/>
    <w:rsid w:val="6D5956CF"/>
    <w:rsid w:val="6D59656E"/>
    <w:rsid w:val="6D5A1554"/>
    <w:rsid w:val="6D5FD68B"/>
    <w:rsid w:val="6D606CC4"/>
    <w:rsid w:val="6D607239"/>
    <w:rsid w:val="6D62E4FB"/>
    <w:rsid w:val="6D65617F"/>
    <w:rsid w:val="6D67933B"/>
    <w:rsid w:val="6D681961"/>
    <w:rsid w:val="6D6AA25D"/>
    <w:rsid w:val="6D6D32E4"/>
    <w:rsid w:val="6D6FD7C3"/>
    <w:rsid w:val="6D75BD5B"/>
    <w:rsid w:val="6D7B75D8"/>
    <w:rsid w:val="6D7CB633"/>
    <w:rsid w:val="6D7D73DB"/>
    <w:rsid w:val="6D7F0A72"/>
    <w:rsid w:val="6D8213D8"/>
    <w:rsid w:val="6D82D0D2"/>
    <w:rsid w:val="6D83A67C"/>
    <w:rsid w:val="6D83EB82"/>
    <w:rsid w:val="6D85660C"/>
    <w:rsid w:val="6D876199"/>
    <w:rsid w:val="6D877AAB"/>
    <w:rsid w:val="6D886D37"/>
    <w:rsid w:val="6D893DDB"/>
    <w:rsid w:val="6D896CDD"/>
    <w:rsid w:val="6D8AE02E"/>
    <w:rsid w:val="6D8B7B36"/>
    <w:rsid w:val="6D8FBDA7"/>
    <w:rsid w:val="6D91F704"/>
    <w:rsid w:val="6D935738"/>
    <w:rsid w:val="6D96C079"/>
    <w:rsid w:val="6D974D96"/>
    <w:rsid w:val="6D97A0A0"/>
    <w:rsid w:val="6D9882A5"/>
    <w:rsid w:val="6D996FD8"/>
    <w:rsid w:val="6D9A2A5A"/>
    <w:rsid w:val="6D9A5653"/>
    <w:rsid w:val="6D9EAA8F"/>
    <w:rsid w:val="6D9F4B21"/>
    <w:rsid w:val="6D9F8205"/>
    <w:rsid w:val="6DA063C4"/>
    <w:rsid w:val="6DA0D2EE"/>
    <w:rsid w:val="6DA21F22"/>
    <w:rsid w:val="6DA269E0"/>
    <w:rsid w:val="6DA26BC8"/>
    <w:rsid w:val="6DA50C0A"/>
    <w:rsid w:val="6DA50D24"/>
    <w:rsid w:val="6DA51018"/>
    <w:rsid w:val="6DA60E1F"/>
    <w:rsid w:val="6DA7560B"/>
    <w:rsid w:val="6DAA16CA"/>
    <w:rsid w:val="6DAF378B"/>
    <w:rsid w:val="6DAFB124"/>
    <w:rsid w:val="6DAFE97B"/>
    <w:rsid w:val="6DB04409"/>
    <w:rsid w:val="6DB189AC"/>
    <w:rsid w:val="6DB1B8A5"/>
    <w:rsid w:val="6DB3DE2F"/>
    <w:rsid w:val="6DB6D21B"/>
    <w:rsid w:val="6DBA900D"/>
    <w:rsid w:val="6DBCC760"/>
    <w:rsid w:val="6DBFF063"/>
    <w:rsid w:val="6DC5310E"/>
    <w:rsid w:val="6DC66C57"/>
    <w:rsid w:val="6DC7EEE3"/>
    <w:rsid w:val="6DC9D258"/>
    <w:rsid w:val="6DCB6778"/>
    <w:rsid w:val="6DCCCEA2"/>
    <w:rsid w:val="6DCD5DC5"/>
    <w:rsid w:val="6DCF83E9"/>
    <w:rsid w:val="6DD3A439"/>
    <w:rsid w:val="6DD453CA"/>
    <w:rsid w:val="6DD6AADC"/>
    <w:rsid w:val="6DDA2BD5"/>
    <w:rsid w:val="6DDD94A5"/>
    <w:rsid w:val="6DDFEE20"/>
    <w:rsid w:val="6DE2E393"/>
    <w:rsid w:val="6DE2EA32"/>
    <w:rsid w:val="6DE6364B"/>
    <w:rsid w:val="6DEA252E"/>
    <w:rsid w:val="6DEF0E25"/>
    <w:rsid w:val="6DEF430E"/>
    <w:rsid w:val="6DEFD86A"/>
    <w:rsid w:val="6DF03150"/>
    <w:rsid w:val="6DF058DC"/>
    <w:rsid w:val="6DF6A86D"/>
    <w:rsid w:val="6DF6FD7F"/>
    <w:rsid w:val="6DF73674"/>
    <w:rsid w:val="6DF8B2A8"/>
    <w:rsid w:val="6DFA349B"/>
    <w:rsid w:val="6DFBB5B5"/>
    <w:rsid w:val="6DFC641B"/>
    <w:rsid w:val="6DFD4ACA"/>
    <w:rsid w:val="6DFED787"/>
    <w:rsid w:val="6DFFE2CB"/>
    <w:rsid w:val="6E0047AC"/>
    <w:rsid w:val="6E015B6C"/>
    <w:rsid w:val="6E029BE5"/>
    <w:rsid w:val="6E02DBFC"/>
    <w:rsid w:val="6E05B949"/>
    <w:rsid w:val="6E07261B"/>
    <w:rsid w:val="6E0C7670"/>
    <w:rsid w:val="6E0DE4B4"/>
    <w:rsid w:val="6E0E6635"/>
    <w:rsid w:val="6E107866"/>
    <w:rsid w:val="6E110491"/>
    <w:rsid w:val="6E141BE1"/>
    <w:rsid w:val="6E14F20D"/>
    <w:rsid w:val="6E15C347"/>
    <w:rsid w:val="6E181EAF"/>
    <w:rsid w:val="6E1AB345"/>
    <w:rsid w:val="6E1B9222"/>
    <w:rsid w:val="6E1EBCD0"/>
    <w:rsid w:val="6E1ED52A"/>
    <w:rsid w:val="6E239347"/>
    <w:rsid w:val="6E257E73"/>
    <w:rsid w:val="6E25A350"/>
    <w:rsid w:val="6E25AEED"/>
    <w:rsid w:val="6E27132A"/>
    <w:rsid w:val="6E278B54"/>
    <w:rsid w:val="6E29B7C8"/>
    <w:rsid w:val="6E2A6EEB"/>
    <w:rsid w:val="6E2B9092"/>
    <w:rsid w:val="6E2BD21C"/>
    <w:rsid w:val="6E2C2702"/>
    <w:rsid w:val="6E2EF937"/>
    <w:rsid w:val="6E305888"/>
    <w:rsid w:val="6E32CD88"/>
    <w:rsid w:val="6E32E34B"/>
    <w:rsid w:val="6E32FFF8"/>
    <w:rsid w:val="6E33E088"/>
    <w:rsid w:val="6E33E190"/>
    <w:rsid w:val="6E3575D5"/>
    <w:rsid w:val="6E36E445"/>
    <w:rsid w:val="6E3D5306"/>
    <w:rsid w:val="6E3EAA21"/>
    <w:rsid w:val="6E3EACB2"/>
    <w:rsid w:val="6E41C3DA"/>
    <w:rsid w:val="6E48F9F6"/>
    <w:rsid w:val="6E498818"/>
    <w:rsid w:val="6E4A2CB0"/>
    <w:rsid w:val="6E4BE2DE"/>
    <w:rsid w:val="6E4D54CD"/>
    <w:rsid w:val="6E4E2776"/>
    <w:rsid w:val="6E4F3D93"/>
    <w:rsid w:val="6E51DA92"/>
    <w:rsid w:val="6E5248E1"/>
    <w:rsid w:val="6E52F1AE"/>
    <w:rsid w:val="6E5335C7"/>
    <w:rsid w:val="6E53793A"/>
    <w:rsid w:val="6E545890"/>
    <w:rsid w:val="6E54C37C"/>
    <w:rsid w:val="6E54EF2A"/>
    <w:rsid w:val="6E5559DE"/>
    <w:rsid w:val="6E55A266"/>
    <w:rsid w:val="6E5710E1"/>
    <w:rsid w:val="6E57CF52"/>
    <w:rsid w:val="6E57EFB3"/>
    <w:rsid w:val="6E5986CA"/>
    <w:rsid w:val="6E59A5CE"/>
    <w:rsid w:val="6E59B680"/>
    <w:rsid w:val="6E5A4023"/>
    <w:rsid w:val="6E5DDD4C"/>
    <w:rsid w:val="6E5FB5AC"/>
    <w:rsid w:val="6E606A49"/>
    <w:rsid w:val="6E60B71A"/>
    <w:rsid w:val="6E6335D7"/>
    <w:rsid w:val="6E642F18"/>
    <w:rsid w:val="6E695305"/>
    <w:rsid w:val="6E6AC829"/>
    <w:rsid w:val="6E6CCD4A"/>
    <w:rsid w:val="6E6D6636"/>
    <w:rsid w:val="6E6F6A17"/>
    <w:rsid w:val="6E70C859"/>
    <w:rsid w:val="6E74EBA1"/>
    <w:rsid w:val="6E75E0DE"/>
    <w:rsid w:val="6E786A07"/>
    <w:rsid w:val="6E79D71D"/>
    <w:rsid w:val="6E7CD7F3"/>
    <w:rsid w:val="6E7D0EFC"/>
    <w:rsid w:val="6E7DC6C1"/>
    <w:rsid w:val="6E7EB535"/>
    <w:rsid w:val="6E857C76"/>
    <w:rsid w:val="6E85F3E7"/>
    <w:rsid w:val="6E86A5BB"/>
    <w:rsid w:val="6E87B824"/>
    <w:rsid w:val="6E87D0B0"/>
    <w:rsid w:val="6E885489"/>
    <w:rsid w:val="6E8A23EB"/>
    <w:rsid w:val="6E8A2E05"/>
    <w:rsid w:val="6E8B4D0C"/>
    <w:rsid w:val="6E8C3211"/>
    <w:rsid w:val="6E8C6446"/>
    <w:rsid w:val="6E8E491C"/>
    <w:rsid w:val="6E90FA4B"/>
    <w:rsid w:val="6E91131E"/>
    <w:rsid w:val="6E91C543"/>
    <w:rsid w:val="6E9337C2"/>
    <w:rsid w:val="6E934313"/>
    <w:rsid w:val="6E94F091"/>
    <w:rsid w:val="6E951D86"/>
    <w:rsid w:val="6E953662"/>
    <w:rsid w:val="6E95E39C"/>
    <w:rsid w:val="6E95F5D0"/>
    <w:rsid w:val="6E96AA21"/>
    <w:rsid w:val="6E97D164"/>
    <w:rsid w:val="6E9C5CC5"/>
    <w:rsid w:val="6E9E6212"/>
    <w:rsid w:val="6EA0D6F6"/>
    <w:rsid w:val="6EA13963"/>
    <w:rsid w:val="6EA2157F"/>
    <w:rsid w:val="6EA2ABD3"/>
    <w:rsid w:val="6EA2FA84"/>
    <w:rsid w:val="6EA32E7A"/>
    <w:rsid w:val="6EA44EAB"/>
    <w:rsid w:val="6EA45558"/>
    <w:rsid w:val="6EAD95F3"/>
    <w:rsid w:val="6EB232D7"/>
    <w:rsid w:val="6EB256E1"/>
    <w:rsid w:val="6EB31B62"/>
    <w:rsid w:val="6EB3D80F"/>
    <w:rsid w:val="6EB3EB80"/>
    <w:rsid w:val="6EB42860"/>
    <w:rsid w:val="6EB5485E"/>
    <w:rsid w:val="6EB64CB4"/>
    <w:rsid w:val="6EB79C1A"/>
    <w:rsid w:val="6EBD7F9A"/>
    <w:rsid w:val="6EBEE839"/>
    <w:rsid w:val="6EC0B194"/>
    <w:rsid w:val="6EC162C1"/>
    <w:rsid w:val="6ECDFCDF"/>
    <w:rsid w:val="6ED2C979"/>
    <w:rsid w:val="6ED2E830"/>
    <w:rsid w:val="6ED4B74A"/>
    <w:rsid w:val="6ED5C756"/>
    <w:rsid w:val="6ED8A54F"/>
    <w:rsid w:val="6ED9ABD6"/>
    <w:rsid w:val="6EDA0200"/>
    <w:rsid w:val="6EDD723A"/>
    <w:rsid w:val="6EE1BAC3"/>
    <w:rsid w:val="6EE3F55F"/>
    <w:rsid w:val="6EE7A912"/>
    <w:rsid w:val="6EEA2A3B"/>
    <w:rsid w:val="6EEA6CC2"/>
    <w:rsid w:val="6EEB8CC4"/>
    <w:rsid w:val="6EEE770C"/>
    <w:rsid w:val="6EEEA8CB"/>
    <w:rsid w:val="6EEF8A88"/>
    <w:rsid w:val="6EF1B746"/>
    <w:rsid w:val="6EF8D356"/>
    <w:rsid w:val="6EF911D3"/>
    <w:rsid w:val="6EFA112C"/>
    <w:rsid w:val="6EFA9645"/>
    <w:rsid w:val="6EFA9E70"/>
    <w:rsid w:val="6EFC0149"/>
    <w:rsid w:val="6EFC6F4D"/>
    <w:rsid w:val="6EFDB181"/>
    <w:rsid w:val="6EFE099D"/>
    <w:rsid w:val="6EFF8C0B"/>
    <w:rsid w:val="6EFFAF3A"/>
    <w:rsid w:val="6F006DF5"/>
    <w:rsid w:val="6F0584E5"/>
    <w:rsid w:val="6F06402C"/>
    <w:rsid w:val="6F065904"/>
    <w:rsid w:val="6F069809"/>
    <w:rsid w:val="6F090FFD"/>
    <w:rsid w:val="6F097CD1"/>
    <w:rsid w:val="6F099DC1"/>
    <w:rsid w:val="6F09D436"/>
    <w:rsid w:val="6F0B6939"/>
    <w:rsid w:val="6F0BF15A"/>
    <w:rsid w:val="6F0EC400"/>
    <w:rsid w:val="6F11A1E8"/>
    <w:rsid w:val="6F132D7E"/>
    <w:rsid w:val="6F16EFF9"/>
    <w:rsid w:val="6F18709C"/>
    <w:rsid w:val="6F1A032C"/>
    <w:rsid w:val="6F1D65D3"/>
    <w:rsid w:val="6F2146FC"/>
    <w:rsid w:val="6F243255"/>
    <w:rsid w:val="6F266FBB"/>
    <w:rsid w:val="6F2742D7"/>
    <w:rsid w:val="6F2851C5"/>
    <w:rsid w:val="6F294FE9"/>
    <w:rsid w:val="6F298E43"/>
    <w:rsid w:val="6F2B3E6F"/>
    <w:rsid w:val="6F2C2F2A"/>
    <w:rsid w:val="6F2C6A61"/>
    <w:rsid w:val="6F2CA257"/>
    <w:rsid w:val="6F2EAE5F"/>
    <w:rsid w:val="6F2F0DFD"/>
    <w:rsid w:val="6F2FF484"/>
    <w:rsid w:val="6F3036DD"/>
    <w:rsid w:val="6F31685C"/>
    <w:rsid w:val="6F32509C"/>
    <w:rsid w:val="6F32BAF1"/>
    <w:rsid w:val="6F348DEB"/>
    <w:rsid w:val="6F349DDE"/>
    <w:rsid w:val="6F34EBF5"/>
    <w:rsid w:val="6F375B40"/>
    <w:rsid w:val="6F380F45"/>
    <w:rsid w:val="6F3829C2"/>
    <w:rsid w:val="6F386A69"/>
    <w:rsid w:val="6F3B42C3"/>
    <w:rsid w:val="6F3B7EBC"/>
    <w:rsid w:val="6F3BF00A"/>
    <w:rsid w:val="6F3CFD2E"/>
    <w:rsid w:val="6F3F4998"/>
    <w:rsid w:val="6F4A83F9"/>
    <w:rsid w:val="6F4B2D10"/>
    <w:rsid w:val="6F4FFD0A"/>
    <w:rsid w:val="6F52777F"/>
    <w:rsid w:val="6F5878EE"/>
    <w:rsid w:val="6F590639"/>
    <w:rsid w:val="6F5AB50C"/>
    <w:rsid w:val="6F5B7829"/>
    <w:rsid w:val="6F5C3EF4"/>
    <w:rsid w:val="6F5D84AF"/>
    <w:rsid w:val="6F5DD97B"/>
    <w:rsid w:val="6F5E1CC6"/>
    <w:rsid w:val="6F6372CB"/>
    <w:rsid w:val="6F639FBA"/>
    <w:rsid w:val="6F645B99"/>
    <w:rsid w:val="6F6645EE"/>
    <w:rsid w:val="6F68C096"/>
    <w:rsid w:val="6F691ACF"/>
    <w:rsid w:val="6F6E45EA"/>
    <w:rsid w:val="6F6E8325"/>
    <w:rsid w:val="6F6EFF32"/>
    <w:rsid w:val="6F6F99B2"/>
    <w:rsid w:val="6F72C632"/>
    <w:rsid w:val="6F72D52F"/>
    <w:rsid w:val="6F73A1E3"/>
    <w:rsid w:val="6F73DA7B"/>
    <w:rsid w:val="6F741CB4"/>
    <w:rsid w:val="6F75B9A8"/>
    <w:rsid w:val="6F76FFE1"/>
    <w:rsid w:val="6F789324"/>
    <w:rsid w:val="6F79D33B"/>
    <w:rsid w:val="6F7B8E99"/>
    <w:rsid w:val="6F7BFE6D"/>
    <w:rsid w:val="6F817B6A"/>
    <w:rsid w:val="6F848430"/>
    <w:rsid w:val="6F84EA2A"/>
    <w:rsid w:val="6F865956"/>
    <w:rsid w:val="6F86D2E2"/>
    <w:rsid w:val="6F880667"/>
    <w:rsid w:val="6F893E30"/>
    <w:rsid w:val="6F8A1BAF"/>
    <w:rsid w:val="6F8F81A6"/>
    <w:rsid w:val="6F948510"/>
    <w:rsid w:val="6F97EE23"/>
    <w:rsid w:val="6F999C15"/>
    <w:rsid w:val="6F9A31D6"/>
    <w:rsid w:val="6F9B7BCE"/>
    <w:rsid w:val="6F9BCA00"/>
    <w:rsid w:val="6F9BF5E9"/>
    <w:rsid w:val="6F9F2D95"/>
    <w:rsid w:val="6F9F57B9"/>
    <w:rsid w:val="6FA0C614"/>
    <w:rsid w:val="6FA2DD30"/>
    <w:rsid w:val="6FA59FFE"/>
    <w:rsid w:val="6FA8D1F6"/>
    <w:rsid w:val="6FA9F972"/>
    <w:rsid w:val="6FAA5552"/>
    <w:rsid w:val="6FAAD3A9"/>
    <w:rsid w:val="6FAC3B3B"/>
    <w:rsid w:val="6FAE488E"/>
    <w:rsid w:val="6FAFB1F9"/>
    <w:rsid w:val="6FB30649"/>
    <w:rsid w:val="6FB3C9D3"/>
    <w:rsid w:val="6FB58E29"/>
    <w:rsid w:val="6FB633A2"/>
    <w:rsid w:val="6FB6D2D7"/>
    <w:rsid w:val="6FB746AD"/>
    <w:rsid w:val="6FB8D093"/>
    <w:rsid w:val="6FBA245D"/>
    <w:rsid w:val="6FBA28A6"/>
    <w:rsid w:val="6FBADD22"/>
    <w:rsid w:val="6FBCD1F3"/>
    <w:rsid w:val="6FBE3DF0"/>
    <w:rsid w:val="6FBF0900"/>
    <w:rsid w:val="6FBF1DAC"/>
    <w:rsid w:val="6FBFA704"/>
    <w:rsid w:val="6FC4401B"/>
    <w:rsid w:val="6FC515D9"/>
    <w:rsid w:val="6FC63F93"/>
    <w:rsid w:val="6FC9DC75"/>
    <w:rsid w:val="6FCB0171"/>
    <w:rsid w:val="6FCB0E05"/>
    <w:rsid w:val="6FCDF8FF"/>
    <w:rsid w:val="6FCF6EA7"/>
    <w:rsid w:val="6FD5401C"/>
    <w:rsid w:val="6FD8328D"/>
    <w:rsid w:val="6FD84B6A"/>
    <w:rsid w:val="6FD95713"/>
    <w:rsid w:val="6FDA91D3"/>
    <w:rsid w:val="6FDB6F15"/>
    <w:rsid w:val="6FDC6784"/>
    <w:rsid w:val="6FDD4E0C"/>
    <w:rsid w:val="6FDDE181"/>
    <w:rsid w:val="6FE3B2E6"/>
    <w:rsid w:val="6FE6769F"/>
    <w:rsid w:val="6FE6A8EC"/>
    <w:rsid w:val="6FE77519"/>
    <w:rsid w:val="6FE8E778"/>
    <w:rsid w:val="6FEB2069"/>
    <w:rsid w:val="6FED142F"/>
    <w:rsid w:val="6FF020F0"/>
    <w:rsid w:val="6FF075E1"/>
    <w:rsid w:val="6FF2228A"/>
    <w:rsid w:val="6FF28749"/>
    <w:rsid w:val="6FF7D7BC"/>
    <w:rsid w:val="6FF87F03"/>
    <w:rsid w:val="6FF8938C"/>
    <w:rsid w:val="6FF8C2DE"/>
    <w:rsid w:val="6FFB04FC"/>
    <w:rsid w:val="6FFCEB12"/>
    <w:rsid w:val="6FFD6EF6"/>
    <w:rsid w:val="70034C89"/>
    <w:rsid w:val="700AFC6E"/>
    <w:rsid w:val="700B7FF9"/>
    <w:rsid w:val="700F01E2"/>
    <w:rsid w:val="7010D401"/>
    <w:rsid w:val="7012690F"/>
    <w:rsid w:val="701A74C7"/>
    <w:rsid w:val="701B43C8"/>
    <w:rsid w:val="701D1470"/>
    <w:rsid w:val="7021FFD0"/>
    <w:rsid w:val="70233E69"/>
    <w:rsid w:val="70236E06"/>
    <w:rsid w:val="7024978E"/>
    <w:rsid w:val="70252124"/>
    <w:rsid w:val="7025238B"/>
    <w:rsid w:val="7025DBB5"/>
    <w:rsid w:val="7026D802"/>
    <w:rsid w:val="7028A2E5"/>
    <w:rsid w:val="702A3F15"/>
    <w:rsid w:val="702A743A"/>
    <w:rsid w:val="702BAF88"/>
    <w:rsid w:val="702C16DC"/>
    <w:rsid w:val="70300855"/>
    <w:rsid w:val="7031905A"/>
    <w:rsid w:val="7031A851"/>
    <w:rsid w:val="70332890"/>
    <w:rsid w:val="70365390"/>
    <w:rsid w:val="70367710"/>
    <w:rsid w:val="70374018"/>
    <w:rsid w:val="70382FFB"/>
    <w:rsid w:val="703DC644"/>
    <w:rsid w:val="703E422B"/>
    <w:rsid w:val="703EDE21"/>
    <w:rsid w:val="70422D75"/>
    <w:rsid w:val="70432C59"/>
    <w:rsid w:val="7043710A"/>
    <w:rsid w:val="7048B2BF"/>
    <w:rsid w:val="70513FD8"/>
    <w:rsid w:val="7051F7EF"/>
    <w:rsid w:val="705225FA"/>
    <w:rsid w:val="705471C4"/>
    <w:rsid w:val="705703A5"/>
    <w:rsid w:val="705AF958"/>
    <w:rsid w:val="705B9652"/>
    <w:rsid w:val="705BD2E1"/>
    <w:rsid w:val="705DBFC3"/>
    <w:rsid w:val="705DF294"/>
    <w:rsid w:val="70634BE6"/>
    <w:rsid w:val="706583B3"/>
    <w:rsid w:val="70675065"/>
    <w:rsid w:val="7069371D"/>
    <w:rsid w:val="706ADD65"/>
    <w:rsid w:val="706BD6CA"/>
    <w:rsid w:val="706C323A"/>
    <w:rsid w:val="706C3453"/>
    <w:rsid w:val="706D30DF"/>
    <w:rsid w:val="70719190"/>
    <w:rsid w:val="707200B6"/>
    <w:rsid w:val="707348EB"/>
    <w:rsid w:val="7074089A"/>
    <w:rsid w:val="70791F5C"/>
    <w:rsid w:val="707FB5AE"/>
    <w:rsid w:val="707FB98C"/>
    <w:rsid w:val="70827721"/>
    <w:rsid w:val="70834B65"/>
    <w:rsid w:val="70834F93"/>
    <w:rsid w:val="70872A9B"/>
    <w:rsid w:val="70875F0E"/>
    <w:rsid w:val="708C6A40"/>
    <w:rsid w:val="708C8EB3"/>
    <w:rsid w:val="7090F117"/>
    <w:rsid w:val="7091C50E"/>
    <w:rsid w:val="70928FF7"/>
    <w:rsid w:val="70934925"/>
    <w:rsid w:val="7095B185"/>
    <w:rsid w:val="7099B55F"/>
    <w:rsid w:val="709AD24B"/>
    <w:rsid w:val="709B705A"/>
    <w:rsid w:val="709E273F"/>
    <w:rsid w:val="709EC9B4"/>
    <w:rsid w:val="709F6F22"/>
    <w:rsid w:val="70A18BEF"/>
    <w:rsid w:val="70A4415A"/>
    <w:rsid w:val="70A88659"/>
    <w:rsid w:val="70A9131F"/>
    <w:rsid w:val="70A967B1"/>
    <w:rsid w:val="70AA5297"/>
    <w:rsid w:val="70AB7B41"/>
    <w:rsid w:val="70AC74C0"/>
    <w:rsid w:val="70AD49C3"/>
    <w:rsid w:val="70ADF8F3"/>
    <w:rsid w:val="70AFBBFB"/>
    <w:rsid w:val="70B3E817"/>
    <w:rsid w:val="70B5EF06"/>
    <w:rsid w:val="70B7FD93"/>
    <w:rsid w:val="70B800C6"/>
    <w:rsid w:val="70BD12B5"/>
    <w:rsid w:val="70BED4F8"/>
    <w:rsid w:val="70C02FD7"/>
    <w:rsid w:val="70C15C7C"/>
    <w:rsid w:val="70C17855"/>
    <w:rsid w:val="70C1F26D"/>
    <w:rsid w:val="70C79C1C"/>
    <w:rsid w:val="70C8CC61"/>
    <w:rsid w:val="70C9E273"/>
    <w:rsid w:val="70CAB4B8"/>
    <w:rsid w:val="70CBD567"/>
    <w:rsid w:val="70CC530C"/>
    <w:rsid w:val="70CEDACE"/>
    <w:rsid w:val="70D1CC12"/>
    <w:rsid w:val="70D518BF"/>
    <w:rsid w:val="70D52B27"/>
    <w:rsid w:val="70D79424"/>
    <w:rsid w:val="70DA635D"/>
    <w:rsid w:val="70E135E5"/>
    <w:rsid w:val="70E16E44"/>
    <w:rsid w:val="70E5A147"/>
    <w:rsid w:val="70E63680"/>
    <w:rsid w:val="70E8E85F"/>
    <w:rsid w:val="70ECDC77"/>
    <w:rsid w:val="70EE43FE"/>
    <w:rsid w:val="70EF8077"/>
    <w:rsid w:val="70F080FF"/>
    <w:rsid w:val="70F45354"/>
    <w:rsid w:val="70F7DFC0"/>
    <w:rsid w:val="70F8057C"/>
    <w:rsid w:val="70F8C167"/>
    <w:rsid w:val="70FB0C05"/>
    <w:rsid w:val="70FD01C4"/>
    <w:rsid w:val="71006F01"/>
    <w:rsid w:val="7101803B"/>
    <w:rsid w:val="710405EC"/>
    <w:rsid w:val="7106E47D"/>
    <w:rsid w:val="71077035"/>
    <w:rsid w:val="7107C50C"/>
    <w:rsid w:val="710B0487"/>
    <w:rsid w:val="710D3CCB"/>
    <w:rsid w:val="710E1F5E"/>
    <w:rsid w:val="710EB989"/>
    <w:rsid w:val="710EE624"/>
    <w:rsid w:val="710FC8C8"/>
    <w:rsid w:val="7111082B"/>
    <w:rsid w:val="7111BE70"/>
    <w:rsid w:val="7112AB4D"/>
    <w:rsid w:val="711534AD"/>
    <w:rsid w:val="7115B693"/>
    <w:rsid w:val="71170149"/>
    <w:rsid w:val="7118ADC9"/>
    <w:rsid w:val="71190BDF"/>
    <w:rsid w:val="71199A41"/>
    <w:rsid w:val="7119C452"/>
    <w:rsid w:val="711C04B1"/>
    <w:rsid w:val="7120F34E"/>
    <w:rsid w:val="71248EB9"/>
    <w:rsid w:val="7125CF8C"/>
    <w:rsid w:val="712A177B"/>
    <w:rsid w:val="712AAF9C"/>
    <w:rsid w:val="712AD707"/>
    <w:rsid w:val="712E8A05"/>
    <w:rsid w:val="712EDD48"/>
    <w:rsid w:val="713326E9"/>
    <w:rsid w:val="71337C78"/>
    <w:rsid w:val="7134E8B9"/>
    <w:rsid w:val="71363DD5"/>
    <w:rsid w:val="713A02A1"/>
    <w:rsid w:val="713AD7BA"/>
    <w:rsid w:val="713D86FF"/>
    <w:rsid w:val="713EACCC"/>
    <w:rsid w:val="7140476B"/>
    <w:rsid w:val="71413F5C"/>
    <w:rsid w:val="71444D7E"/>
    <w:rsid w:val="7145F8F7"/>
    <w:rsid w:val="71467CC1"/>
    <w:rsid w:val="7146A182"/>
    <w:rsid w:val="7146F575"/>
    <w:rsid w:val="7148B950"/>
    <w:rsid w:val="7148D580"/>
    <w:rsid w:val="714AD3D2"/>
    <w:rsid w:val="714F6242"/>
    <w:rsid w:val="71505D47"/>
    <w:rsid w:val="7155568C"/>
    <w:rsid w:val="7155AF64"/>
    <w:rsid w:val="71564A1D"/>
    <w:rsid w:val="7157228F"/>
    <w:rsid w:val="71587471"/>
    <w:rsid w:val="715CAACF"/>
    <w:rsid w:val="715CB950"/>
    <w:rsid w:val="715F2382"/>
    <w:rsid w:val="7160B769"/>
    <w:rsid w:val="7165795B"/>
    <w:rsid w:val="716BD4FB"/>
    <w:rsid w:val="716C80AA"/>
    <w:rsid w:val="716EAD07"/>
    <w:rsid w:val="716FB29A"/>
    <w:rsid w:val="717284B7"/>
    <w:rsid w:val="717338DE"/>
    <w:rsid w:val="717377B3"/>
    <w:rsid w:val="7174F29A"/>
    <w:rsid w:val="717693C1"/>
    <w:rsid w:val="7176DFF4"/>
    <w:rsid w:val="71771B62"/>
    <w:rsid w:val="7179EE59"/>
    <w:rsid w:val="71807529"/>
    <w:rsid w:val="7181B8EE"/>
    <w:rsid w:val="7182B4F4"/>
    <w:rsid w:val="71851764"/>
    <w:rsid w:val="71897B3E"/>
    <w:rsid w:val="7190CCF2"/>
    <w:rsid w:val="71911DEA"/>
    <w:rsid w:val="719123D7"/>
    <w:rsid w:val="719162BB"/>
    <w:rsid w:val="71927F7E"/>
    <w:rsid w:val="7193D8F7"/>
    <w:rsid w:val="7194154D"/>
    <w:rsid w:val="719A3D2E"/>
    <w:rsid w:val="719ABF0D"/>
    <w:rsid w:val="719C3A16"/>
    <w:rsid w:val="719C4374"/>
    <w:rsid w:val="719D31BF"/>
    <w:rsid w:val="719DFFA4"/>
    <w:rsid w:val="719F9418"/>
    <w:rsid w:val="71A4C7FE"/>
    <w:rsid w:val="71A6E3BB"/>
    <w:rsid w:val="71A827FA"/>
    <w:rsid w:val="71A95D80"/>
    <w:rsid w:val="71A97BA5"/>
    <w:rsid w:val="71B02400"/>
    <w:rsid w:val="71B1430D"/>
    <w:rsid w:val="71B1F71A"/>
    <w:rsid w:val="71B28646"/>
    <w:rsid w:val="71B42A5A"/>
    <w:rsid w:val="71B455C4"/>
    <w:rsid w:val="71B5AF32"/>
    <w:rsid w:val="71B5E432"/>
    <w:rsid w:val="71B7B1C2"/>
    <w:rsid w:val="71B987F6"/>
    <w:rsid w:val="71BB10AF"/>
    <w:rsid w:val="71BD7937"/>
    <w:rsid w:val="71BED3AC"/>
    <w:rsid w:val="71BF6003"/>
    <w:rsid w:val="71C0E71E"/>
    <w:rsid w:val="71C1E677"/>
    <w:rsid w:val="71C5D98A"/>
    <w:rsid w:val="71C67043"/>
    <w:rsid w:val="71C84E85"/>
    <w:rsid w:val="71CA937F"/>
    <w:rsid w:val="71CC1E6C"/>
    <w:rsid w:val="71CEF21D"/>
    <w:rsid w:val="71CF0BC7"/>
    <w:rsid w:val="71CFAF1D"/>
    <w:rsid w:val="71CFFC5D"/>
    <w:rsid w:val="71D16078"/>
    <w:rsid w:val="71D1CB3D"/>
    <w:rsid w:val="71D33ABF"/>
    <w:rsid w:val="71D99308"/>
    <w:rsid w:val="71D9F690"/>
    <w:rsid w:val="71DAE727"/>
    <w:rsid w:val="71DBBEA6"/>
    <w:rsid w:val="71DC977A"/>
    <w:rsid w:val="71DE8F94"/>
    <w:rsid w:val="71DFC13C"/>
    <w:rsid w:val="71E4E338"/>
    <w:rsid w:val="71E65FD9"/>
    <w:rsid w:val="71E70C92"/>
    <w:rsid w:val="71E82DC8"/>
    <w:rsid w:val="71E8D891"/>
    <w:rsid w:val="71E989CF"/>
    <w:rsid w:val="71E99DCF"/>
    <w:rsid w:val="71E9CE57"/>
    <w:rsid w:val="71EA4FAB"/>
    <w:rsid w:val="71EC13F3"/>
    <w:rsid w:val="71EF5B66"/>
    <w:rsid w:val="71EFC0D2"/>
    <w:rsid w:val="71F01172"/>
    <w:rsid w:val="71F213ED"/>
    <w:rsid w:val="71F4008F"/>
    <w:rsid w:val="71F41E01"/>
    <w:rsid w:val="71FAB1A9"/>
    <w:rsid w:val="71FF7682"/>
    <w:rsid w:val="72071058"/>
    <w:rsid w:val="72085F27"/>
    <w:rsid w:val="72087200"/>
    <w:rsid w:val="72088BD1"/>
    <w:rsid w:val="7208E922"/>
    <w:rsid w:val="72090D20"/>
    <w:rsid w:val="720CFA04"/>
    <w:rsid w:val="720DC96B"/>
    <w:rsid w:val="7210CB4B"/>
    <w:rsid w:val="7212FD88"/>
    <w:rsid w:val="72135FFE"/>
    <w:rsid w:val="7213A5BF"/>
    <w:rsid w:val="721C9919"/>
    <w:rsid w:val="7221821D"/>
    <w:rsid w:val="7225DDB4"/>
    <w:rsid w:val="72284BC5"/>
    <w:rsid w:val="722927F5"/>
    <w:rsid w:val="7229808A"/>
    <w:rsid w:val="722AA79F"/>
    <w:rsid w:val="722D4FA5"/>
    <w:rsid w:val="7230BF5E"/>
    <w:rsid w:val="723120FF"/>
    <w:rsid w:val="7233C973"/>
    <w:rsid w:val="7233FCE4"/>
    <w:rsid w:val="72358399"/>
    <w:rsid w:val="7235A944"/>
    <w:rsid w:val="72367B0C"/>
    <w:rsid w:val="72371FEF"/>
    <w:rsid w:val="72389EF5"/>
    <w:rsid w:val="723A328A"/>
    <w:rsid w:val="723B3A65"/>
    <w:rsid w:val="723BCA0B"/>
    <w:rsid w:val="723D4EE8"/>
    <w:rsid w:val="723DEF9B"/>
    <w:rsid w:val="7240E268"/>
    <w:rsid w:val="7243F284"/>
    <w:rsid w:val="7247629D"/>
    <w:rsid w:val="724A7096"/>
    <w:rsid w:val="724CCF36"/>
    <w:rsid w:val="724D07ED"/>
    <w:rsid w:val="724F408B"/>
    <w:rsid w:val="72514008"/>
    <w:rsid w:val="7251716E"/>
    <w:rsid w:val="72521A97"/>
    <w:rsid w:val="7253E91A"/>
    <w:rsid w:val="72544783"/>
    <w:rsid w:val="725619DF"/>
    <w:rsid w:val="7258B5C3"/>
    <w:rsid w:val="725908F6"/>
    <w:rsid w:val="7259237B"/>
    <w:rsid w:val="7259DD18"/>
    <w:rsid w:val="7261B8EF"/>
    <w:rsid w:val="7263091D"/>
    <w:rsid w:val="7263CAAC"/>
    <w:rsid w:val="72651E57"/>
    <w:rsid w:val="72692C76"/>
    <w:rsid w:val="726BFF2E"/>
    <w:rsid w:val="726D3014"/>
    <w:rsid w:val="726E2648"/>
    <w:rsid w:val="726F0A10"/>
    <w:rsid w:val="727059CC"/>
    <w:rsid w:val="7270970E"/>
    <w:rsid w:val="7270C59A"/>
    <w:rsid w:val="7272C527"/>
    <w:rsid w:val="7273A52D"/>
    <w:rsid w:val="7274CC3A"/>
    <w:rsid w:val="7276ED99"/>
    <w:rsid w:val="72778920"/>
    <w:rsid w:val="72794739"/>
    <w:rsid w:val="727A6B15"/>
    <w:rsid w:val="7285DF07"/>
    <w:rsid w:val="7287D62A"/>
    <w:rsid w:val="7289FC11"/>
    <w:rsid w:val="728A141F"/>
    <w:rsid w:val="7290FCA6"/>
    <w:rsid w:val="729104B3"/>
    <w:rsid w:val="72914338"/>
    <w:rsid w:val="72926D60"/>
    <w:rsid w:val="7292D6E9"/>
    <w:rsid w:val="72958059"/>
    <w:rsid w:val="7296CC93"/>
    <w:rsid w:val="72990B9E"/>
    <w:rsid w:val="729D7706"/>
    <w:rsid w:val="729D9F3D"/>
    <w:rsid w:val="729E5081"/>
    <w:rsid w:val="729F1FD5"/>
    <w:rsid w:val="72A138C6"/>
    <w:rsid w:val="72A30EEC"/>
    <w:rsid w:val="72A3B8D3"/>
    <w:rsid w:val="72A5BD49"/>
    <w:rsid w:val="72AA4C2E"/>
    <w:rsid w:val="72AD490F"/>
    <w:rsid w:val="72AF0FCB"/>
    <w:rsid w:val="72B112FC"/>
    <w:rsid w:val="72B2F8B9"/>
    <w:rsid w:val="72B34646"/>
    <w:rsid w:val="72B3DBE8"/>
    <w:rsid w:val="72B3F9C7"/>
    <w:rsid w:val="72B534CA"/>
    <w:rsid w:val="72B71AC3"/>
    <w:rsid w:val="72BA7B9E"/>
    <w:rsid w:val="72BAE1D5"/>
    <w:rsid w:val="72C29046"/>
    <w:rsid w:val="72C31780"/>
    <w:rsid w:val="72C379C9"/>
    <w:rsid w:val="72C4CAF8"/>
    <w:rsid w:val="72C5324D"/>
    <w:rsid w:val="72C599C7"/>
    <w:rsid w:val="72C5DDDE"/>
    <w:rsid w:val="72C8E2B7"/>
    <w:rsid w:val="72CB0D36"/>
    <w:rsid w:val="72CB1B3C"/>
    <w:rsid w:val="72CB32A6"/>
    <w:rsid w:val="72CD029E"/>
    <w:rsid w:val="72CDF38D"/>
    <w:rsid w:val="72CFB3C0"/>
    <w:rsid w:val="72D04952"/>
    <w:rsid w:val="72D05A65"/>
    <w:rsid w:val="72D13FAA"/>
    <w:rsid w:val="72D32413"/>
    <w:rsid w:val="72D52451"/>
    <w:rsid w:val="72D53208"/>
    <w:rsid w:val="72D6F200"/>
    <w:rsid w:val="72D6F4D2"/>
    <w:rsid w:val="72D71C9A"/>
    <w:rsid w:val="72D7D2AB"/>
    <w:rsid w:val="72D8A032"/>
    <w:rsid w:val="72D9B911"/>
    <w:rsid w:val="72DAD194"/>
    <w:rsid w:val="72DB2359"/>
    <w:rsid w:val="72DC95CB"/>
    <w:rsid w:val="72DCC3E9"/>
    <w:rsid w:val="72DD2ABB"/>
    <w:rsid w:val="72DD8239"/>
    <w:rsid w:val="72DD9540"/>
    <w:rsid w:val="72DEE55F"/>
    <w:rsid w:val="72E11BCF"/>
    <w:rsid w:val="72E125DC"/>
    <w:rsid w:val="72E222CF"/>
    <w:rsid w:val="72E50785"/>
    <w:rsid w:val="72E5D964"/>
    <w:rsid w:val="72E7339E"/>
    <w:rsid w:val="72E95CE7"/>
    <w:rsid w:val="72E99E13"/>
    <w:rsid w:val="72EAD066"/>
    <w:rsid w:val="72F0DC64"/>
    <w:rsid w:val="72F64E9A"/>
    <w:rsid w:val="72F91813"/>
    <w:rsid w:val="72FAE86B"/>
    <w:rsid w:val="73030678"/>
    <w:rsid w:val="7303F187"/>
    <w:rsid w:val="730539BF"/>
    <w:rsid w:val="73069B0E"/>
    <w:rsid w:val="730736A7"/>
    <w:rsid w:val="7308025C"/>
    <w:rsid w:val="7309D898"/>
    <w:rsid w:val="730A08C5"/>
    <w:rsid w:val="730B0E67"/>
    <w:rsid w:val="730F7EFF"/>
    <w:rsid w:val="731257E0"/>
    <w:rsid w:val="73135E75"/>
    <w:rsid w:val="7313757C"/>
    <w:rsid w:val="7313FA47"/>
    <w:rsid w:val="73159462"/>
    <w:rsid w:val="73170B18"/>
    <w:rsid w:val="73180B42"/>
    <w:rsid w:val="731C2199"/>
    <w:rsid w:val="731E0174"/>
    <w:rsid w:val="731F1963"/>
    <w:rsid w:val="7322E114"/>
    <w:rsid w:val="73239ED5"/>
    <w:rsid w:val="7328E787"/>
    <w:rsid w:val="732B4C50"/>
    <w:rsid w:val="7331A6E0"/>
    <w:rsid w:val="7332597B"/>
    <w:rsid w:val="73396B17"/>
    <w:rsid w:val="7339BD45"/>
    <w:rsid w:val="733AB2F8"/>
    <w:rsid w:val="733AC452"/>
    <w:rsid w:val="733CEEC9"/>
    <w:rsid w:val="733DE70E"/>
    <w:rsid w:val="7342AB5F"/>
    <w:rsid w:val="73456075"/>
    <w:rsid w:val="734B259A"/>
    <w:rsid w:val="734ECFD1"/>
    <w:rsid w:val="734FC920"/>
    <w:rsid w:val="7353CE95"/>
    <w:rsid w:val="73560AF8"/>
    <w:rsid w:val="73571348"/>
    <w:rsid w:val="735A2A68"/>
    <w:rsid w:val="735D0875"/>
    <w:rsid w:val="735D9557"/>
    <w:rsid w:val="735DF462"/>
    <w:rsid w:val="73602834"/>
    <w:rsid w:val="7361D0BB"/>
    <w:rsid w:val="7368F308"/>
    <w:rsid w:val="7368F73C"/>
    <w:rsid w:val="736F36C7"/>
    <w:rsid w:val="737261D5"/>
    <w:rsid w:val="7375E345"/>
    <w:rsid w:val="73787607"/>
    <w:rsid w:val="7378C452"/>
    <w:rsid w:val="737CCAEC"/>
    <w:rsid w:val="737F6F34"/>
    <w:rsid w:val="73812862"/>
    <w:rsid w:val="738241D9"/>
    <w:rsid w:val="7382BD9B"/>
    <w:rsid w:val="738309A0"/>
    <w:rsid w:val="73842081"/>
    <w:rsid w:val="73867529"/>
    <w:rsid w:val="738D5800"/>
    <w:rsid w:val="738F5E1D"/>
    <w:rsid w:val="73909439"/>
    <w:rsid w:val="7390A590"/>
    <w:rsid w:val="7392C48F"/>
    <w:rsid w:val="73956BBF"/>
    <w:rsid w:val="739B4FEC"/>
    <w:rsid w:val="739CA1B2"/>
    <w:rsid w:val="739E1D98"/>
    <w:rsid w:val="73A09C78"/>
    <w:rsid w:val="73A38353"/>
    <w:rsid w:val="73A857E6"/>
    <w:rsid w:val="73ABCE9A"/>
    <w:rsid w:val="73AC70DF"/>
    <w:rsid w:val="73ADD060"/>
    <w:rsid w:val="73B1004A"/>
    <w:rsid w:val="73B18BA8"/>
    <w:rsid w:val="73B1DEB2"/>
    <w:rsid w:val="73B5F3C7"/>
    <w:rsid w:val="73B8CFCA"/>
    <w:rsid w:val="73B9759F"/>
    <w:rsid w:val="73B9AAD2"/>
    <w:rsid w:val="73BAA8EB"/>
    <w:rsid w:val="73BBAEA2"/>
    <w:rsid w:val="73BC1AE5"/>
    <w:rsid w:val="73BF6736"/>
    <w:rsid w:val="73BFFF11"/>
    <w:rsid w:val="73C018EB"/>
    <w:rsid w:val="73C0F798"/>
    <w:rsid w:val="73C30017"/>
    <w:rsid w:val="73C3F47F"/>
    <w:rsid w:val="73C498C6"/>
    <w:rsid w:val="73C72A8E"/>
    <w:rsid w:val="73C81A7A"/>
    <w:rsid w:val="73C8892C"/>
    <w:rsid w:val="73CAB7D3"/>
    <w:rsid w:val="73CAB8CD"/>
    <w:rsid w:val="73CC21C2"/>
    <w:rsid w:val="73CC29C9"/>
    <w:rsid w:val="73D0F7F4"/>
    <w:rsid w:val="73D21139"/>
    <w:rsid w:val="73D29445"/>
    <w:rsid w:val="73D397AC"/>
    <w:rsid w:val="73D68523"/>
    <w:rsid w:val="73D6C71D"/>
    <w:rsid w:val="73DCEDB6"/>
    <w:rsid w:val="73DFC12D"/>
    <w:rsid w:val="73E30FC4"/>
    <w:rsid w:val="73E42296"/>
    <w:rsid w:val="73E4BA9B"/>
    <w:rsid w:val="73E8004D"/>
    <w:rsid w:val="73E88B6E"/>
    <w:rsid w:val="73E949A3"/>
    <w:rsid w:val="73EBB3A5"/>
    <w:rsid w:val="73EF2B90"/>
    <w:rsid w:val="73F22EE0"/>
    <w:rsid w:val="73F36F42"/>
    <w:rsid w:val="73F4986A"/>
    <w:rsid w:val="73F5D904"/>
    <w:rsid w:val="73F66FB6"/>
    <w:rsid w:val="740014BB"/>
    <w:rsid w:val="7400CCFB"/>
    <w:rsid w:val="7402F148"/>
    <w:rsid w:val="740323E4"/>
    <w:rsid w:val="74035A63"/>
    <w:rsid w:val="7403B7E0"/>
    <w:rsid w:val="7406D9BC"/>
    <w:rsid w:val="74090FE5"/>
    <w:rsid w:val="740AF23A"/>
    <w:rsid w:val="740E188C"/>
    <w:rsid w:val="740E53F6"/>
    <w:rsid w:val="740F1B8A"/>
    <w:rsid w:val="7410F036"/>
    <w:rsid w:val="7411069A"/>
    <w:rsid w:val="741182C5"/>
    <w:rsid w:val="7411CF13"/>
    <w:rsid w:val="741233E1"/>
    <w:rsid w:val="7412D168"/>
    <w:rsid w:val="7413A4E2"/>
    <w:rsid w:val="7413CAE2"/>
    <w:rsid w:val="74140F8F"/>
    <w:rsid w:val="7414E755"/>
    <w:rsid w:val="741A0BEE"/>
    <w:rsid w:val="741A9A7A"/>
    <w:rsid w:val="741BBC8A"/>
    <w:rsid w:val="741CBC39"/>
    <w:rsid w:val="741D7D9B"/>
    <w:rsid w:val="741F215F"/>
    <w:rsid w:val="741F6977"/>
    <w:rsid w:val="741FFAF0"/>
    <w:rsid w:val="7420BAB8"/>
    <w:rsid w:val="742465F7"/>
    <w:rsid w:val="7424CD82"/>
    <w:rsid w:val="74261F88"/>
    <w:rsid w:val="742811EA"/>
    <w:rsid w:val="742ADD31"/>
    <w:rsid w:val="742B9669"/>
    <w:rsid w:val="742BB2A0"/>
    <w:rsid w:val="743355D5"/>
    <w:rsid w:val="7435734D"/>
    <w:rsid w:val="743E0021"/>
    <w:rsid w:val="743EDD5E"/>
    <w:rsid w:val="743F7D6A"/>
    <w:rsid w:val="74416819"/>
    <w:rsid w:val="74427699"/>
    <w:rsid w:val="74441433"/>
    <w:rsid w:val="7444CCAB"/>
    <w:rsid w:val="74451321"/>
    <w:rsid w:val="74479E55"/>
    <w:rsid w:val="7449D66F"/>
    <w:rsid w:val="744B1CF5"/>
    <w:rsid w:val="744B6EFE"/>
    <w:rsid w:val="744BD046"/>
    <w:rsid w:val="744BE154"/>
    <w:rsid w:val="744BF514"/>
    <w:rsid w:val="744C526F"/>
    <w:rsid w:val="744C6915"/>
    <w:rsid w:val="744D706B"/>
    <w:rsid w:val="744F8371"/>
    <w:rsid w:val="7450D597"/>
    <w:rsid w:val="74513AC3"/>
    <w:rsid w:val="74519E59"/>
    <w:rsid w:val="7451D081"/>
    <w:rsid w:val="7451FC31"/>
    <w:rsid w:val="7453018C"/>
    <w:rsid w:val="74540B1D"/>
    <w:rsid w:val="7454427B"/>
    <w:rsid w:val="7455E9BC"/>
    <w:rsid w:val="745EF3AB"/>
    <w:rsid w:val="745FB9FA"/>
    <w:rsid w:val="745FE72B"/>
    <w:rsid w:val="7460EE8F"/>
    <w:rsid w:val="74619D90"/>
    <w:rsid w:val="746324D4"/>
    <w:rsid w:val="74650F78"/>
    <w:rsid w:val="7468A3EE"/>
    <w:rsid w:val="7469E9FA"/>
    <w:rsid w:val="746A2100"/>
    <w:rsid w:val="746D0276"/>
    <w:rsid w:val="746D4449"/>
    <w:rsid w:val="747017CE"/>
    <w:rsid w:val="74714F56"/>
    <w:rsid w:val="7471B342"/>
    <w:rsid w:val="74721DB0"/>
    <w:rsid w:val="74723D23"/>
    <w:rsid w:val="74743FDD"/>
    <w:rsid w:val="747609B3"/>
    <w:rsid w:val="74760D07"/>
    <w:rsid w:val="7477668D"/>
    <w:rsid w:val="747A440D"/>
    <w:rsid w:val="747C87FE"/>
    <w:rsid w:val="747FAF33"/>
    <w:rsid w:val="7481152C"/>
    <w:rsid w:val="74827B26"/>
    <w:rsid w:val="74837447"/>
    <w:rsid w:val="74852CBB"/>
    <w:rsid w:val="748CA60A"/>
    <w:rsid w:val="7491AC96"/>
    <w:rsid w:val="74923949"/>
    <w:rsid w:val="74936AE9"/>
    <w:rsid w:val="74943507"/>
    <w:rsid w:val="74982FD7"/>
    <w:rsid w:val="749889CC"/>
    <w:rsid w:val="7498A302"/>
    <w:rsid w:val="7499559C"/>
    <w:rsid w:val="749DF5DE"/>
    <w:rsid w:val="74A09824"/>
    <w:rsid w:val="74A1ACE9"/>
    <w:rsid w:val="74A6A17C"/>
    <w:rsid w:val="74A7ED36"/>
    <w:rsid w:val="74A8A4C9"/>
    <w:rsid w:val="74A9D036"/>
    <w:rsid w:val="74AF8F81"/>
    <w:rsid w:val="74AFA8E5"/>
    <w:rsid w:val="74B316FB"/>
    <w:rsid w:val="74B3AEAF"/>
    <w:rsid w:val="74B41C21"/>
    <w:rsid w:val="74B48582"/>
    <w:rsid w:val="74B508F0"/>
    <w:rsid w:val="74B68FCA"/>
    <w:rsid w:val="74B691E3"/>
    <w:rsid w:val="74B76233"/>
    <w:rsid w:val="74BF1F53"/>
    <w:rsid w:val="74BF98CD"/>
    <w:rsid w:val="74C22B3E"/>
    <w:rsid w:val="74C5141F"/>
    <w:rsid w:val="74C75E8A"/>
    <w:rsid w:val="74C8364B"/>
    <w:rsid w:val="74C83914"/>
    <w:rsid w:val="74C8FBC4"/>
    <w:rsid w:val="74C9445A"/>
    <w:rsid w:val="74CDDBAF"/>
    <w:rsid w:val="74CF5A25"/>
    <w:rsid w:val="74CF86C2"/>
    <w:rsid w:val="74D0E015"/>
    <w:rsid w:val="74D28F2C"/>
    <w:rsid w:val="74D36F30"/>
    <w:rsid w:val="74D426B0"/>
    <w:rsid w:val="74D47FFF"/>
    <w:rsid w:val="74D8B4B9"/>
    <w:rsid w:val="74DC300E"/>
    <w:rsid w:val="74DC3081"/>
    <w:rsid w:val="74DDCFAA"/>
    <w:rsid w:val="74DEDC8D"/>
    <w:rsid w:val="74DF22E7"/>
    <w:rsid w:val="74E473F0"/>
    <w:rsid w:val="74E4C1EC"/>
    <w:rsid w:val="74E628AB"/>
    <w:rsid w:val="74E666A6"/>
    <w:rsid w:val="74E82E0E"/>
    <w:rsid w:val="74E85B10"/>
    <w:rsid w:val="74EA0796"/>
    <w:rsid w:val="74EC951B"/>
    <w:rsid w:val="74EEA300"/>
    <w:rsid w:val="74EF9320"/>
    <w:rsid w:val="74F04DD4"/>
    <w:rsid w:val="74F4F6AA"/>
    <w:rsid w:val="74F55637"/>
    <w:rsid w:val="74F56B94"/>
    <w:rsid w:val="74F6794D"/>
    <w:rsid w:val="74FB9BA2"/>
    <w:rsid w:val="74FC0DC8"/>
    <w:rsid w:val="7501984D"/>
    <w:rsid w:val="75023F8F"/>
    <w:rsid w:val="75025861"/>
    <w:rsid w:val="75043215"/>
    <w:rsid w:val="75058C2A"/>
    <w:rsid w:val="750895CC"/>
    <w:rsid w:val="750A2C6B"/>
    <w:rsid w:val="750AF84B"/>
    <w:rsid w:val="750F7F35"/>
    <w:rsid w:val="750FB71C"/>
    <w:rsid w:val="75107E29"/>
    <w:rsid w:val="75119636"/>
    <w:rsid w:val="751459F0"/>
    <w:rsid w:val="751617F9"/>
    <w:rsid w:val="75162F8E"/>
    <w:rsid w:val="75183DD9"/>
    <w:rsid w:val="7518AB4F"/>
    <w:rsid w:val="7518E7AE"/>
    <w:rsid w:val="751A6E45"/>
    <w:rsid w:val="751B26BD"/>
    <w:rsid w:val="751E26EB"/>
    <w:rsid w:val="75250A37"/>
    <w:rsid w:val="752951D5"/>
    <w:rsid w:val="752C5DEA"/>
    <w:rsid w:val="752C8F44"/>
    <w:rsid w:val="752D434F"/>
    <w:rsid w:val="752FFEEB"/>
    <w:rsid w:val="75351E9A"/>
    <w:rsid w:val="75360304"/>
    <w:rsid w:val="7537300E"/>
    <w:rsid w:val="753A1721"/>
    <w:rsid w:val="753E351D"/>
    <w:rsid w:val="754074ED"/>
    <w:rsid w:val="75414628"/>
    <w:rsid w:val="75436E83"/>
    <w:rsid w:val="7547A03E"/>
    <w:rsid w:val="754847E0"/>
    <w:rsid w:val="7549BDC3"/>
    <w:rsid w:val="754A87A5"/>
    <w:rsid w:val="754C1503"/>
    <w:rsid w:val="754D2338"/>
    <w:rsid w:val="754DB15D"/>
    <w:rsid w:val="754F2294"/>
    <w:rsid w:val="755264C6"/>
    <w:rsid w:val="75544C8D"/>
    <w:rsid w:val="7558F067"/>
    <w:rsid w:val="755908FF"/>
    <w:rsid w:val="755BB3D0"/>
    <w:rsid w:val="755C09D6"/>
    <w:rsid w:val="755D195A"/>
    <w:rsid w:val="755D6A7E"/>
    <w:rsid w:val="755FC608"/>
    <w:rsid w:val="7563D1F3"/>
    <w:rsid w:val="7563F50E"/>
    <w:rsid w:val="75643164"/>
    <w:rsid w:val="7564AFA8"/>
    <w:rsid w:val="756768A4"/>
    <w:rsid w:val="756B302F"/>
    <w:rsid w:val="756E8D29"/>
    <w:rsid w:val="75704D0B"/>
    <w:rsid w:val="7571D1DC"/>
    <w:rsid w:val="7575A5B8"/>
    <w:rsid w:val="7576F6BF"/>
    <w:rsid w:val="7577CF38"/>
    <w:rsid w:val="757B3F93"/>
    <w:rsid w:val="757B6BE1"/>
    <w:rsid w:val="757D361D"/>
    <w:rsid w:val="757EEA9D"/>
    <w:rsid w:val="7582149F"/>
    <w:rsid w:val="75828773"/>
    <w:rsid w:val="75851ED9"/>
    <w:rsid w:val="758588C9"/>
    <w:rsid w:val="75899227"/>
    <w:rsid w:val="7589AF3C"/>
    <w:rsid w:val="758B6C63"/>
    <w:rsid w:val="758F06B8"/>
    <w:rsid w:val="7590D121"/>
    <w:rsid w:val="7596AA77"/>
    <w:rsid w:val="7596C31E"/>
    <w:rsid w:val="75A0A07C"/>
    <w:rsid w:val="75A237D8"/>
    <w:rsid w:val="75A694B5"/>
    <w:rsid w:val="75AC7175"/>
    <w:rsid w:val="75AD8C93"/>
    <w:rsid w:val="75ADC65B"/>
    <w:rsid w:val="75B3F03A"/>
    <w:rsid w:val="75BAAB43"/>
    <w:rsid w:val="75BE6D68"/>
    <w:rsid w:val="75BFD2B8"/>
    <w:rsid w:val="75BFE38C"/>
    <w:rsid w:val="75C18F7C"/>
    <w:rsid w:val="75C305F7"/>
    <w:rsid w:val="75C4EFAC"/>
    <w:rsid w:val="75C4FB10"/>
    <w:rsid w:val="75C608B2"/>
    <w:rsid w:val="75C79B3D"/>
    <w:rsid w:val="75C867E5"/>
    <w:rsid w:val="75C8BEB4"/>
    <w:rsid w:val="75CA0467"/>
    <w:rsid w:val="75CEBB9F"/>
    <w:rsid w:val="75D19E46"/>
    <w:rsid w:val="75D3CA74"/>
    <w:rsid w:val="75D4B8DF"/>
    <w:rsid w:val="75D7A221"/>
    <w:rsid w:val="75D9585C"/>
    <w:rsid w:val="75DAB14E"/>
    <w:rsid w:val="75DD9892"/>
    <w:rsid w:val="75DDD7FB"/>
    <w:rsid w:val="75DFB5DF"/>
    <w:rsid w:val="75E35361"/>
    <w:rsid w:val="75E601EC"/>
    <w:rsid w:val="75E61B68"/>
    <w:rsid w:val="75E74A1F"/>
    <w:rsid w:val="75E92742"/>
    <w:rsid w:val="75E99CB6"/>
    <w:rsid w:val="75EAB40C"/>
    <w:rsid w:val="75ECD37D"/>
    <w:rsid w:val="75EE2D40"/>
    <w:rsid w:val="75EE83DF"/>
    <w:rsid w:val="75F0908C"/>
    <w:rsid w:val="75F30D43"/>
    <w:rsid w:val="75F32E00"/>
    <w:rsid w:val="75F65BEB"/>
    <w:rsid w:val="75F932CE"/>
    <w:rsid w:val="75F9E1CE"/>
    <w:rsid w:val="75FB1EA3"/>
    <w:rsid w:val="75FF936B"/>
    <w:rsid w:val="7600F1F8"/>
    <w:rsid w:val="7600F3E3"/>
    <w:rsid w:val="7604FBB9"/>
    <w:rsid w:val="760500F4"/>
    <w:rsid w:val="76053CE5"/>
    <w:rsid w:val="7605FD93"/>
    <w:rsid w:val="7607AC8F"/>
    <w:rsid w:val="76087825"/>
    <w:rsid w:val="7608DE12"/>
    <w:rsid w:val="760A4830"/>
    <w:rsid w:val="760C39C6"/>
    <w:rsid w:val="76125DDF"/>
    <w:rsid w:val="76129F90"/>
    <w:rsid w:val="7615CB57"/>
    <w:rsid w:val="76193E3A"/>
    <w:rsid w:val="761EA355"/>
    <w:rsid w:val="761FB404"/>
    <w:rsid w:val="7620B403"/>
    <w:rsid w:val="762167CC"/>
    <w:rsid w:val="76230150"/>
    <w:rsid w:val="7623C4E9"/>
    <w:rsid w:val="762824FF"/>
    <w:rsid w:val="762A80FF"/>
    <w:rsid w:val="762B261B"/>
    <w:rsid w:val="762C0AF9"/>
    <w:rsid w:val="762C7116"/>
    <w:rsid w:val="762C7BBD"/>
    <w:rsid w:val="762F0BD2"/>
    <w:rsid w:val="76310F25"/>
    <w:rsid w:val="76350264"/>
    <w:rsid w:val="7636DB9F"/>
    <w:rsid w:val="76371772"/>
    <w:rsid w:val="763743F9"/>
    <w:rsid w:val="7637C9FE"/>
    <w:rsid w:val="7639C249"/>
    <w:rsid w:val="763A95DB"/>
    <w:rsid w:val="763B158E"/>
    <w:rsid w:val="763D5A3A"/>
    <w:rsid w:val="763F9506"/>
    <w:rsid w:val="7642EBD2"/>
    <w:rsid w:val="7646F959"/>
    <w:rsid w:val="76477898"/>
    <w:rsid w:val="76497DEA"/>
    <w:rsid w:val="764BFE75"/>
    <w:rsid w:val="764CF29A"/>
    <w:rsid w:val="764D36D2"/>
    <w:rsid w:val="764D6385"/>
    <w:rsid w:val="764F3490"/>
    <w:rsid w:val="7653CDA5"/>
    <w:rsid w:val="765A4CA9"/>
    <w:rsid w:val="765B4CE3"/>
    <w:rsid w:val="765DABC1"/>
    <w:rsid w:val="7660412C"/>
    <w:rsid w:val="7661640E"/>
    <w:rsid w:val="766338E7"/>
    <w:rsid w:val="7664FC93"/>
    <w:rsid w:val="766633DF"/>
    <w:rsid w:val="76675894"/>
    <w:rsid w:val="7668CE86"/>
    <w:rsid w:val="766B2A12"/>
    <w:rsid w:val="766F7352"/>
    <w:rsid w:val="76747F96"/>
    <w:rsid w:val="76748A88"/>
    <w:rsid w:val="767667CF"/>
    <w:rsid w:val="7676FE7A"/>
    <w:rsid w:val="7677DBC6"/>
    <w:rsid w:val="7677ECEB"/>
    <w:rsid w:val="76780525"/>
    <w:rsid w:val="7678FB1F"/>
    <w:rsid w:val="767EC539"/>
    <w:rsid w:val="7684E739"/>
    <w:rsid w:val="7684F051"/>
    <w:rsid w:val="768708EE"/>
    <w:rsid w:val="768A3700"/>
    <w:rsid w:val="768C8F5A"/>
    <w:rsid w:val="768D5E3E"/>
    <w:rsid w:val="768EE077"/>
    <w:rsid w:val="76911DCB"/>
    <w:rsid w:val="7691998B"/>
    <w:rsid w:val="7694238B"/>
    <w:rsid w:val="7696FB78"/>
    <w:rsid w:val="7697DEC5"/>
    <w:rsid w:val="7698D275"/>
    <w:rsid w:val="7698D5CD"/>
    <w:rsid w:val="76A23D1F"/>
    <w:rsid w:val="76A34043"/>
    <w:rsid w:val="76A3CB04"/>
    <w:rsid w:val="76A476B6"/>
    <w:rsid w:val="76A8D06E"/>
    <w:rsid w:val="76AA4F60"/>
    <w:rsid w:val="76AB00A6"/>
    <w:rsid w:val="76AD2190"/>
    <w:rsid w:val="76B1DE24"/>
    <w:rsid w:val="76B6AF9A"/>
    <w:rsid w:val="76B7A30A"/>
    <w:rsid w:val="76B7B009"/>
    <w:rsid w:val="76BB736A"/>
    <w:rsid w:val="76BC1B1B"/>
    <w:rsid w:val="76BC4D54"/>
    <w:rsid w:val="76BF7CA5"/>
    <w:rsid w:val="76C0F81A"/>
    <w:rsid w:val="76C1D993"/>
    <w:rsid w:val="76C3D268"/>
    <w:rsid w:val="76C54827"/>
    <w:rsid w:val="76C7A19C"/>
    <w:rsid w:val="76C899DD"/>
    <w:rsid w:val="76C8A2AD"/>
    <w:rsid w:val="76C9DC15"/>
    <w:rsid w:val="76CA7353"/>
    <w:rsid w:val="76D18ACC"/>
    <w:rsid w:val="76D20435"/>
    <w:rsid w:val="76D4EAB9"/>
    <w:rsid w:val="76D52BCA"/>
    <w:rsid w:val="76D59A65"/>
    <w:rsid w:val="76D76622"/>
    <w:rsid w:val="76D7EC20"/>
    <w:rsid w:val="76D85FBE"/>
    <w:rsid w:val="76D8CB29"/>
    <w:rsid w:val="76D95011"/>
    <w:rsid w:val="76DA8297"/>
    <w:rsid w:val="76DE7A7E"/>
    <w:rsid w:val="76E07939"/>
    <w:rsid w:val="76E10121"/>
    <w:rsid w:val="76E32B5D"/>
    <w:rsid w:val="76E343B6"/>
    <w:rsid w:val="76E5C61D"/>
    <w:rsid w:val="76E7065A"/>
    <w:rsid w:val="76E7C373"/>
    <w:rsid w:val="76E7E70C"/>
    <w:rsid w:val="76E7E738"/>
    <w:rsid w:val="76E96D50"/>
    <w:rsid w:val="76E9A228"/>
    <w:rsid w:val="76ECC524"/>
    <w:rsid w:val="76F14026"/>
    <w:rsid w:val="76F288D7"/>
    <w:rsid w:val="76F33942"/>
    <w:rsid w:val="76F6CF1B"/>
    <w:rsid w:val="76F9AB8F"/>
    <w:rsid w:val="76FEC92E"/>
    <w:rsid w:val="76FF5F37"/>
    <w:rsid w:val="7700B9FE"/>
    <w:rsid w:val="7702BAA3"/>
    <w:rsid w:val="7704B795"/>
    <w:rsid w:val="7704C5B4"/>
    <w:rsid w:val="77064AF2"/>
    <w:rsid w:val="7707268C"/>
    <w:rsid w:val="77091135"/>
    <w:rsid w:val="7709D56B"/>
    <w:rsid w:val="770A234A"/>
    <w:rsid w:val="770B8D01"/>
    <w:rsid w:val="770B9C56"/>
    <w:rsid w:val="770BAC61"/>
    <w:rsid w:val="770D4809"/>
    <w:rsid w:val="771132E8"/>
    <w:rsid w:val="77142A7E"/>
    <w:rsid w:val="77176B5D"/>
    <w:rsid w:val="7717C1EC"/>
    <w:rsid w:val="771BB8B5"/>
    <w:rsid w:val="771D34A4"/>
    <w:rsid w:val="771D8E03"/>
    <w:rsid w:val="771E8584"/>
    <w:rsid w:val="77202856"/>
    <w:rsid w:val="7722DA2C"/>
    <w:rsid w:val="77233088"/>
    <w:rsid w:val="7724CEDF"/>
    <w:rsid w:val="77256E46"/>
    <w:rsid w:val="77274D6B"/>
    <w:rsid w:val="7727BF07"/>
    <w:rsid w:val="77289B80"/>
    <w:rsid w:val="7729F5E1"/>
    <w:rsid w:val="772A2ADC"/>
    <w:rsid w:val="772C50BD"/>
    <w:rsid w:val="772D5E58"/>
    <w:rsid w:val="7732F4D6"/>
    <w:rsid w:val="773509CE"/>
    <w:rsid w:val="77367600"/>
    <w:rsid w:val="77367B48"/>
    <w:rsid w:val="77369C87"/>
    <w:rsid w:val="7738932A"/>
    <w:rsid w:val="773C1C9A"/>
    <w:rsid w:val="773D8C12"/>
    <w:rsid w:val="774288E4"/>
    <w:rsid w:val="7742CD66"/>
    <w:rsid w:val="77456737"/>
    <w:rsid w:val="774BCC36"/>
    <w:rsid w:val="774D28B2"/>
    <w:rsid w:val="774F130E"/>
    <w:rsid w:val="774FAB4A"/>
    <w:rsid w:val="77529259"/>
    <w:rsid w:val="77531775"/>
    <w:rsid w:val="7753509E"/>
    <w:rsid w:val="775398D7"/>
    <w:rsid w:val="77542C60"/>
    <w:rsid w:val="7754E887"/>
    <w:rsid w:val="77568035"/>
    <w:rsid w:val="7757E6E8"/>
    <w:rsid w:val="7758D640"/>
    <w:rsid w:val="775ABE3C"/>
    <w:rsid w:val="775B619A"/>
    <w:rsid w:val="775B92B6"/>
    <w:rsid w:val="775BC3FD"/>
    <w:rsid w:val="775C31D3"/>
    <w:rsid w:val="775DFF80"/>
    <w:rsid w:val="77605749"/>
    <w:rsid w:val="776289C8"/>
    <w:rsid w:val="7763EAC7"/>
    <w:rsid w:val="776472E5"/>
    <w:rsid w:val="7773683B"/>
    <w:rsid w:val="77745515"/>
    <w:rsid w:val="7774CD2D"/>
    <w:rsid w:val="77789B25"/>
    <w:rsid w:val="7778FE25"/>
    <w:rsid w:val="777A7B7D"/>
    <w:rsid w:val="777A965A"/>
    <w:rsid w:val="777C25E8"/>
    <w:rsid w:val="777CAF42"/>
    <w:rsid w:val="777CE97C"/>
    <w:rsid w:val="777E5436"/>
    <w:rsid w:val="777F2F66"/>
    <w:rsid w:val="777F7028"/>
    <w:rsid w:val="7781DD47"/>
    <w:rsid w:val="7782EC40"/>
    <w:rsid w:val="77835F66"/>
    <w:rsid w:val="7783FBF5"/>
    <w:rsid w:val="778775F4"/>
    <w:rsid w:val="77894304"/>
    <w:rsid w:val="77897D32"/>
    <w:rsid w:val="778C5C9A"/>
    <w:rsid w:val="778E7D99"/>
    <w:rsid w:val="779008C3"/>
    <w:rsid w:val="77924DDA"/>
    <w:rsid w:val="7793EEDC"/>
    <w:rsid w:val="77942525"/>
    <w:rsid w:val="779AD156"/>
    <w:rsid w:val="779B2124"/>
    <w:rsid w:val="779B8168"/>
    <w:rsid w:val="779BD38C"/>
    <w:rsid w:val="779DC788"/>
    <w:rsid w:val="779DF623"/>
    <w:rsid w:val="779E1171"/>
    <w:rsid w:val="779F9852"/>
    <w:rsid w:val="77A3B4B8"/>
    <w:rsid w:val="77A44EFC"/>
    <w:rsid w:val="77A4D6C5"/>
    <w:rsid w:val="77A4F39F"/>
    <w:rsid w:val="77A50B69"/>
    <w:rsid w:val="77A61BF6"/>
    <w:rsid w:val="77A7A0ED"/>
    <w:rsid w:val="77A88B91"/>
    <w:rsid w:val="77A9E1AF"/>
    <w:rsid w:val="77AF7CCF"/>
    <w:rsid w:val="77B02BA4"/>
    <w:rsid w:val="77B118B2"/>
    <w:rsid w:val="77B1801D"/>
    <w:rsid w:val="77B26838"/>
    <w:rsid w:val="77B51760"/>
    <w:rsid w:val="77B523A1"/>
    <w:rsid w:val="77B694FD"/>
    <w:rsid w:val="77B73A7D"/>
    <w:rsid w:val="77B80055"/>
    <w:rsid w:val="77B810A4"/>
    <w:rsid w:val="77B88EE6"/>
    <w:rsid w:val="77BB6012"/>
    <w:rsid w:val="77BB90E1"/>
    <w:rsid w:val="77BBEB24"/>
    <w:rsid w:val="77BD6984"/>
    <w:rsid w:val="77C0FD1B"/>
    <w:rsid w:val="77C26C9B"/>
    <w:rsid w:val="77C669E1"/>
    <w:rsid w:val="77C6755C"/>
    <w:rsid w:val="77C8DE1B"/>
    <w:rsid w:val="77CC8843"/>
    <w:rsid w:val="77CD184D"/>
    <w:rsid w:val="77D23C7A"/>
    <w:rsid w:val="77D2A6B6"/>
    <w:rsid w:val="77D728FB"/>
    <w:rsid w:val="77D788C1"/>
    <w:rsid w:val="77D92A6C"/>
    <w:rsid w:val="77DC4666"/>
    <w:rsid w:val="77DC8818"/>
    <w:rsid w:val="77DDE506"/>
    <w:rsid w:val="77E10C3B"/>
    <w:rsid w:val="77E29573"/>
    <w:rsid w:val="77E2D7DA"/>
    <w:rsid w:val="77E41C48"/>
    <w:rsid w:val="77E49DE8"/>
    <w:rsid w:val="77E69708"/>
    <w:rsid w:val="77E831C0"/>
    <w:rsid w:val="77E852DC"/>
    <w:rsid w:val="77EB5707"/>
    <w:rsid w:val="77EBC389"/>
    <w:rsid w:val="77EF7EC3"/>
    <w:rsid w:val="77F5CCD8"/>
    <w:rsid w:val="77F7D350"/>
    <w:rsid w:val="77F7E05F"/>
    <w:rsid w:val="77FA127A"/>
    <w:rsid w:val="77FA8B8B"/>
    <w:rsid w:val="77FD263A"/>
    <w:rsid w:val="77FD3978"/>
    <w:rsid w:val="77FD9153"/>
    <w:rsid w:val="77FD9D94"/>
    <w:rsid w:val="77FFB42A"/>
    <w:rsid w:val="77FFD7A2"/>
    <w:rsid w:val="78001C23"/>
    <w:rsid w:val="7803EE5F"/>
    <w:rsid w:val="7805E04E"/>
    <w:rsid w:val="7807FEA3"/>
    <w:rsid w:val="7809E07B"/>
    <w:rsid w:val="780E0CDB"/>
    <w:rsid w:val="780F9BCB"/>
    <w:rsid w:val="78135777"/>
    <w:rsid w:val="7813FE55"/>
    <w:rsid w:val="78142249"/>
    <w:rsid w:val="781579CD"/>
    <w:rsid w:val="781965CC"/>
    <w:rsid w:val="781AA3C7"/>
    <w:rsid w:val="781BFD98"/>
    <w:rsid w:val="78202671"/>
    <w:rsid w:val="78202C91"/>
    <w:rsid w:val="78206F08"/>
    <w:rsid w:val="78246048"/>
    <w:rsid w:val="7827AA45"/>
    <w:rsid w:val="7827B975"/>
    <w:rsid w:val="7828EB81"/>
    <w:rsid w:val="7829A2A3"/>
    <w:rsid w:val="782B9AFE"/>
    <w:rsid w:val="782E3900"/>
    <w:rsid w:val="782F2758"/>
    <w:rsid w:val="783384C7"/>
    <w:rsid w:val="7833B498"/>
    <w:rsid w:val="7836D58B"/>
    <w:rsid w:val="783F4355"/>
    <w:rsid w:val="783FC909"/>
    <w:rsid w:val="783FD53E"/>
    <w:rsid w:val="7843AA51"/>
    <w:rsid w:val="7846E8A7"/>
    <w:rsid w:val="7846F74C"/>
    <w:rsid w:val="7848184F"/>
    <w:rsid w:val="784865A2"/>
    <w:rsid w:val="7848F56C"/>
    <w:rsid w:val="7849FDFC"/>
    <w:rsid w:val="784CE1A4"/>
    <w:rsid w:val="784FD234"/>
    <w:rsid w:val="7853283C"/>
    <w:rsid w:val="78555AE2"/>
    <w:rsid w:val="78577C02"/>
    <w:rsid w:val="785941D1"/>
    <w:rsid w:val="785A9C9A"/>
    <w:rsid w:val="785C1674"/>
    <w:rsid w:val="785D057A"/>
    <w:rsid w:val="785D2528"/>
    <w:rsid w:val="785DD1E1"/>
    <w:rsid w:val="785EB739"/>
    <w:rsid w:val="78629AD1"/>
    <w:rsid w:val="78646941"/>
    <w:rsid w:val="78682494"/>
    <w:rsid w:val="786849BF"/>
    <w:rsid w:val="786ACFB6"/>
    <w:rsid w:val="786C6F48"/>
    <w:rsid w:val="78707F8B"/>
    <w:rsid w:val="7871217A"/>
    <w:rsid w:val="787510B8"/>
    <w:rsid w:val="78755DDE"/>
    <w:rsid w:val="78763CAC"/>
    <w:rsid w:val="7878D59B"/>
    <w:rsid w:val="7879618D"/>
    <w:rsid w:val="787AFAC7"/>
    <w:rsid w:val="787FD536"/>
    <w:rsid w:val="7880EADF"/>
    <w:rsid w:val="788142A7"/>
    <w:rsid w:val="7881579E"/>
    <w:rsid w:val="7883FBC2"/>
    <w:rsid w:val="7884B64C"/>
    <w:rsid w:val="7884C724"/>
    <w:rsid w:val="788577A7"/>
    <w:rsid w:val="7886C27E"/>
    <w:rsid w:val="788A2C04"/>
    <w:rsid w:val="788AC3E7"/>
    <w:rsid w:val="788D052D"/>
    <w:rsid w:val="788D3924"/>
    <w:rsid w:val="788EC694"/>
    <w:rsid w:val="788F7121"/>
    <w:rsid w:val="788F7A6B"/>
    <w:rsid w:val="7890246D"/>
    <w:rsid w:val="78902AB6"/>
    <w:rsid w:val="7890FBB2"/>
    <w:rsid w:val="7891EC77"/>
    <w:rsid w:val="789548F8"/>
    <w:rsid w:val="7899DD1B"/>
    <w:rsid w:val="789A994A"/>
    <w:rsid w:val="789DBBF9"/>
    <w:rsid w:val="789F69A1"/>
    <w:rsid w:val="78A12729"/>
    <w:rsid w:val="78A310F2"/>
    <w:rsid w:val="78A84449"/>
    <w:rsid w:val="78A92AEF"/>
    <w:rsid w:val="78A96043"/>
    <w:rsid w:val="78AB1D57"/>
    <w:rsid w:val="78ACA08A"/>
    <w:rsid w:val="78AD0507"/>
    <w:rsid w:val="78ADB29B"/>
    <w:rsid w:val="78AE618B"/>
    <w:rsid w:val="78AF8EEE"/>
    <w:rsid w:val="78B0AA33"/>
    <w:rsid w:val="78B9EB50"/>
    <w:rsid w:val="78BB6DF3"/>
    <w:rsid w:val="78BD3FCD"/>
    <w:rsid w:val="78BDEE9C"/>
    <w:rsid w:val="78BFC5AC"/>
    <w:rsid w:val="78C1A411"/>
    <w:rsid w:val="78C1B7C4"/>
    <w:rsid w:val="78C21C81"/>
    <w:rsid w:val="78C235DC"/>
    <w:rsid w:val="78C29491"/>
    <w:rsid w:val="78C4BBDF"/>
    <w:rsid w:val="78C5FD93"/>
    <w:rsid w:val="78CBD026"/>
    <w:rsid w:val="78CC05B2"/>
    <w:rsid w:val="78CF0D56"/>
    <w:rsid w:val="78D02BE2"/>
    <w:rsid w:val="78D5C0F8"/>
    <w:rsid w:val="78D765A2"/>
    <w:rsid w:val="78D914FD"/>
    <w:rsid w:val="78DBB7A3"/>
    <w:rsid w:val="78DCB944"/>
    <w:rsid w:val="78DDE4BE"/>
    <w:rsid w:val="78DF5FE7"/>
    <w:rsid w:val="78E01C44"/>
    <w:rsid w:val="78E15730"/>
    <w:rsid w:val="78E2EEC1"/>
    <w:rsid w:val="78E3E137"/>
    <w:rsid w:val="78E42F42"/>
    <w:rsid w:val="78E443DF"/>
    <w:rsid w:val="78E5FB92"/>
    <w:rsid w:val="78E7A5EB"/>
    <w:rsid w:val="78EB6503"/>
    <w:rsid w:val="78EB71BB"/>
    <w:rsid w:val="78EBC0B8"/>
    <w:rsid w:val="78ED15BF"/>
    <w:rsid w:val="78EDD928"/>
    <w:rsid w:val="78EDFE84"/>
    <w:rsid w:val="78EE1C6B"/>
    <w:rsid w:val="78EE7989"/>
    <w:rsid w:val="78F19DD2"/>
    <w:rsid w:val="78F53F4C"/>
    <w:rsid w:val="78F59D7B"/>
    <w:rsid w:val="78F74A48"/>
    <w:rsid w:val="78FCE8D3"/>
    <w:rsid w:val="78FDAB16"/>
    <w:rsid w:val="78FEE85A"/>
    <w:rsid w:val="78FF3B9E"/>
    <w:rsid w:val="7902055C"/>
    <w:rsid w:val="7903D40E"/>
    <w:rsid w:val="7906DBE5"/>
    <w:rsid w:val="7907EEB3"/>
    <w:rsid w:val="7909AD41"/>
    <w:rsid w:val="790A2316"/>
    <w:rsid w:val="790AC1EB"/>
    <w:rsid w:val="790BDC02"/>
    <w:rsid w:val="790CE2D3"/>
    <w:rsid w:val="790FC7E1"/>
    <w:rsid w:val="7910F09E"/>
    <w:rsid w:val="79121306"/>
    <w:rsid w:val="791575C6"/>
    <w:rsid w:val="79175CA3"/>
    <w:rsid w:val="791C7D27"/>
    <w:rsid w:val="791D3FDA"/>
    <w:rsid w:val="792018EE"/>
    <w:rsid w:val="7920F2D6"/>
    <w:rsid w:val="79226339"/>
    <w:rsid w:val="792719B4"/>
    <w:rsid w:val="792E1537"/>
    <w:rsid w:val="792F4B51"/>
    <w:rsid w:val="792FA767"/>
    <w:rsid w:val="792FF2D1"/>
    <w:rsid w:val="79301E4F"/>
    <w:rsid w:val="7932E913"/>
    <w:rsid w:val="79367B12"/>
    <w:rsid w:val="79373A11"/>
    <w:rsid w:val="7937CA47"/>
    <w:rsid w:val="79394AED"/>
    <w:rsid w:val="79399505"/>
    <w:rsid w:val="7939CF51"/>
    <w:rsid w:val="7939D0C6"/>
    <w:rsid w:val="793A41AA"/>
    <w:rsid w:val="793A68C3"/>
    <w:rsid w:val="7943011F"/>
    <w:rsid w:val="7943394F"/>
    <w:rsid w:val="79437A91"/>
    <w:rsid w:val="79458804"/>
    <w:rsid w:val="7945DB9D"/>
    <w:rsid w:val="7947971F"/>
    <w:rsid w:val="794900B4"/>
    <w:rsid w:val="7949AD53"/>
    <w:rsid w:val="794B007A"/>
    <w:rsid w:val="794C65A0"/>
    <w:rsid w:val="794FECB8"/>
    <w:rsid w:val="79500EA6"/>
    <w:rsid w:val="79517E0D"/>
    <w:rsid w:val="7953F0DD"/>
    <w:rsid w:val="795432A8"/>
    <w:rsid w:val="7955839D"/>
    <w:rsid w:val="7955C912"/>
    <w:rsid w:val="7955DDF9"/>
    <w:rsid w:val="7955FABB"/>
    <w:rsid w:val="795A9C7E"/>
    <w:rsid w:val="795AF22E"/>
    <w:rsid w:val="795C5412"/>
    <w:rsid w:val="795C5647"/>
    <w:rsid w:val="795C5EDB"/>
    <w:rsid w:val="795E01C2"/>
    <w:rsid w:val="795E4F4D"/>
    <w:rsid w:val="795EDE66"/>
    <w:rsid w:val="795FF13B"/>
    <w:rsid w:val="796001D1"/>
    <w:rsid w:val="79606BE0"/>
    <w:rsid w:val="7962528A"/>
    <w:rsid w:val="7965C4E6"/>
    <w:rsid w:val="7967085A"/>
    <w:rsid w:val="796774FC"/>
    <w:rsid w:val="796B8007"/>
    <w:rsid w:val="796B8A5F"/>
    <w:rsid w:val="796D6E19"/>
    <w:rsid w:val="7972828F"/>
    <w:rsid w:val="79753E7F"/>
    <w:rsid w:val="7976B9F4"/>
    <w:rsid w:val="7977EA86"/>
    <w:rsid w:val="797B0775"/>
    <w:rsid w:val="797B9354"/>
    <w:rsid w:val="797CC06C"/>
    <w:rsid w:val="797E056F"/>
    <w:rsid w:val="797EBEF3"/>
    <w:rsid w:val="7980B851"/>
    <w:rsid w:val="7982C8B2"/>
    <w:rsid w:val="79837045"/>
    <w:rsid w:val="798457B4"/>
    <w:rsid w:val="79866EC9"/>
    <w:rsid w:val="79875E38"/>
    <w:rsid w:val="7988C87B"/>
    <w:rsid w:val="798EB89E"/>
    <w:rsid w:val="798F5005"/>
    <w:rsid w:val="798F96CA"/>
    <w:rsid w:val="799004BA"/>
    <w:rsid w:val="7993236B"/>
    <w:rsid w:val="7994F905"/>
    <w:rsid w:val="79959FF6"/>
    <w:rsid w:val="79975098"/>
    <w:rsid w:val="79981DDA"/>
    <w:rsid w:val="799904D0"/>
    <w:rsid w:val="799A3730"/>
    <w:rsid w:val="799D6B5E"/>
    <w:rsid w:val="799EADDA"/>
    <w:rsid w:val="79A0F4A6"/>
    <w:rsid w:val="79A0F7BE"/>
    <w:rsid w:val="79A1D063"/>
    <w:rsid w:val="79A214B7"/>
    <w:rsid w:val="79A2B646"/>
    <w:rsid w:val="79A61F57"/>
    <w:rsid w:val="79A732CE"/>
    <w:rsid w:val="79A870D6"/>
    <w:rsid w:val="79A8A4D0"/>
    <w:rsid w:val="79A9AB5B"/>
    <w:rsid w:val="79AB9509"/>
    <w:rsid w:val="79AF85D8"/>
    <w:rsid w:val="79B14439"/>
    <w:rsid w:val="79B3C7F8"/>
    <w:rsid w:val="79B57AB7"/>
    <w:rsid w:val="79B6A5CD"/>
    <w:rsid w:val="79B7D4AD"/>
    <w:rsid w:val="79B83E4A"/>
    <w:rsid w:val="79B91B13"/>
    <w:rsid w:val="79B98377"/>
    <w:rsid w:val="79BCAC9A"/>
    <w:rsid w:val="79BD25A8"/>
    <w:rsid w:val="79BD4AB2"/>
    <w:rsid w:val="79BD7B1F"/>
    <w:rsid w:val="79C512EE"/>
    <w:rsid w:val="79C878B1"/>
    <w:rsid w:val="79CA2488"/>
    <w:rsid w:val="79CC0B5D"/>
    <w:rsid w:val="79CC8FD3"/>
    <w:rsid w:val="79CD9E43"/>
    <w:rsid w:val="79CE9C3A"/>
    <w:rsid w:val="79CEA513"/>
    <w:rsid w:val="79D0DABE"/>
    <w:rsid w:val="79D21259"/>
    <w:rsid w:val="79D23C1D"/>
    <w:rsid w:val="79D76CFD"/>
    <w:rsid w:val="79D96F09"/>
    <w:rsid w:val="79D9C4FE"/>
    <w:rsid w:val="79DB1B7F"/>
    <w:rsid w:val="79DB8476"/>
    <w:rsid w:val="79DCDBE0"/>
    <w:rsid w:val="79DD32F2"/>
    <w:rsid w:val="79DF3DDA"/>
    <w:rsid w:val="79DFA61F"/>
    <w:rsid w:val="79E06138"/>
    <w:rsid w:val="79E15067"/>
    <w:rsid w:val="79E19866"/>
    <w:rsid w:val="79E3D100"/>
    <w:rsid w:val="79E58E98"/>
    <w:rsid w:val="79E5E7E2"/>
    <w:rsid w:val="79E5F4CC"/>
    <w:rsid w:val="79E6D515"/>
    <w:rsid w:val="79E73423"/>
    <w:rsid w:val="79E84BA7"/>
    <w:rsid w:val="79EABAF6"/>
    <w:rsid w:val="79EAE616"/>
    <w:rsid w:val="79EE1686"/>
    <w:rsid w:val="79F3CB25"/>
    <w:rsid w:val="79F7D05F"/>
    <w:rsid w:val="79F8CA74"/>
    <w:rsid w:val="79F9928D"/>
    <w:rsid w:val="79FAB079"/>
    <w:rsid w:val="79FC0058"/>
    <w:rsid w:val="79FD4B38"/>
    <w:rsid w:val="7A00FF4C"/>
    <w:rsid w:val="7A02179F"/>
    <w:rsid w:val="7A024A1D"/>
    <w:rsid w:val="7A04F449"/>
    <w:rsid w:val="7A0763F9"/>
    <w:rsid w:val="7A07DF57"/>
    <w:rsid w:val="7A07E3D2"/>
    <w:rsid w:val="7A0991BF"/>
    <w:rsid w:val="7A0A0C10"/>
    <w:rsid w:val="7A0C0138"/>
    <w:rsid w:val="7A0CB6E0"/>
    <w:rsid w:val="7A0F3475"/>
    <w:rsid w:val="7A141031"/>
    <w:rsid w:val="7A184DC0"/>
    <w:rsid w:val="7A18E055"/>
    <w:rsid w:val="7A192E94"/>
    <w:rsid w:val="7A19C4F5"/>
    <w:rsid w:val="7A1A2A4F"/>
    <w:rsid w:val="7A1CA151"/>
    <w:rsid w:val="7A1F9512"/>
    <w:rsid w:val="7A1FEEB0"/>
    <w:rsid w:val="7A24AEDD"/>
    <w:rsid w:val="7A260033"/>
    <w:rsid w:val="7A26B6CA"/>
    <w:rsid w:val="7A29AF90"/>
    <w:rsid w:val="7A2B4F33"/>
    <w:rsid w:val="7A2B6761"/>
    <w:rsid w:val="7A2C1D10"/>
    <w:rsid w:val="7A2C2B12"/>
    <w:rsid w:val="7A2E6E98"/>
    <w:rsid w:val="7A347155"/>
    <w:rsid w:val="7A35B6D9"/>
    <w:rsid w:val="7A35B6F0"/>
    <w:rsid w:val="7A37E912"/>
    <w:rsid w:val="7A387E09"/>
    <w:rsid w:val="7A38B5A1"/>
    <w:rsid w:val="7A38DC74"/>
    <w:rsid w:val="7A39A7DC"/>
    <w:rsid w:val="7A39DF72"/>
    <w:rsid w:val="7A39E3AF"/>
    <w:rsid w:val="7A3A856A"/>
    <w:rsid w:val="7A3AF603"/>
    <w:rsid w:val="7A3E8678"/>
    <w:rsid w:val="7A3E9DE0"/>
    <w:rsid w:val="7A3EC057"/>
    <w:rsid w:val="7A3F01F2"/>
    <w:rsid w:val="7A3F5AE7"/>
    <w:rsid w:val="7A3F6740"/>
    <w:rsid w:val="7A3FCCBF"/>
    <w:rsid w:val="7A4265CB"/>
    <w:rsid w:val="7A445244"/>
    <w:rsid w:val="7A476C11"/>
    <w:rsid w:val="7A47A3F8"/>
    <w:rsid w:val="7A4B6741"/>
    <w:rsid w:val="7A4B8FF1"/>
    <w:rsid w:val="7A4CCE56"/>
    <w:rsid w:val="7A4D7253"/>
    <w:rsid w:val="7A4E348F"/>
    <w:rsid w:val="7A4E5D80"/>
    <w:rsid w:val="7A4F50AA"/>
    <w:rsid w:val="7A50AE47"/>
    <w:rsid w:val="7A514EE0"/>
    <w:rsid w:val="7A576195"/>
    <w:rsid w:val="7A58E34A"/>
    <w:rsid w:val="7A5ABF50"/>
    <w:rsid w:val="7A5B6050"/>
    <w:rsid w:val="7A5E22AA"/>
    <w:rsid w:val="7A5E8B24"/>
    <w:rsid w:val="7A601D38"/>
    <w:rsid w:val="7A620996"/>
    <w:rsid w:val="7A63ADCB"/>
    <w:rsid w:val="7A65556F"/>
    <w:rsid w:val="7A68A2BE"/>
    <w:rsid w:val="7A6C3A04"/>
    <w:rsid w:val="7A6C4114"/>
    <w:rsid w:val="7A6CB0B6"/>
    <w:rsid w:val="7A6DCCBC"/>
    <w:rsid w:val="7A6E903B"/>
    <w:rsid w:val="7A6ED14E"/>
    <w:rsid w:val="7A6F2BEE"/>
    <w:rsid w:val="7A753CA7"/>
    <w:rsid w:val="7A7AC1D7"/>
    <w:rsid w:val="7A7AF4A8"/>
    <w:rsid w:val="7A7B25EE"/>
    <w:rsid w:val="7A7B538D"/>
    <w:rsid w:val="7A7D6A43"/>
    <w:rsid w:val="7A7DD664"/>
    <w:rsid w:val="7A815BF4"/>
    <w:rsid w:val="7A817CF6"/>
    <w:rsid w:val="7A830642"/>
    <w:rsid w:val="7A831014"/>
    <w:rsid w:val="7A858B0B"/>
    <w:rsid w:val="7A89E297"/>
    <w:rsid w:val="7A8BF4AC"/>
    <w:rsid w:val="7A8D21D6"/>
    <w:rsid w:val="7A8F89E7"/>
    <w:rsid w:val="7A902DE3"/>
    <w:rsid w:val="7A935544"/>
    <w:rsid w:val="7A943992"/>
    <w:rsid w:val="7A9522E0"/>
    <w:rsid w:val="7A9558D5"/>
    <w:rsid w:val="7A95AE4F"/>
    <w:rsid w:val="7A966947"/>
    <w:rsid w:val="7A99FBA9"/>
    <w:rsid w:val="7A9A6580"/>
    <w:rsid w:val="7A9B4D88"/>
    <w:rsid w:val="7A9B840D"/>
    <w:rsid w:val="7A9ED425"/>
    <w:rsid w:val="7A9FD556"/>
    <w:rsid w:val="7AA07F4F"/>
    <w:rsid w:val="7AA2B00E"/>
    <w:rsid w:val="7AA2F0BA"/>
    <w:rsid w:val="7AA3059C"/>
    <w:rsid w:val="7AA4314C"/>
    <w:rsid w:val="7AA51FCD"/>
    <w:rsid w:val="7AA9029E"/>
    <w:rsid w:val="7AA9091A"/>
    <w:rsid w:val="7AAB81C0"/>
    <w:rsid w:val="7AADF73A"/>
    <w:rsid w:val="7AB23DB2"/>
    <w:rsid w:val="7AB498BB"/>
    <w:rsid w:val="7AB61607"/>
    <w:rsid w:val="7AB63783"/>
    <w:rsid w:val="7AB6D1C3"/>
    <w:rsid w:val="7AB76425"/>
    <w:rsid w:val="7AB7A80D"/>
    <w:rsid w:val="7AB97C06"/>
    <w:rsid w:val="7ABB26E7"/>
    <w:rsid w:val="7ABB5886"/>
    <w:rsid w:val="7ABC76C6"/>
    <w:rsid w:val="7ABE4AD9"/>
    <w:rsid w:val="7ABEC5B6"/>
    <w:rsid w:val="7AC14EEC"/>
    <w:rsid w:val="7AC1DE09"/>
    <w:rsid w:val="7AC3B64B"/>
    <w:rsid w:val="7ACA079B"/>
    <w:rsid w:val="7ACBB96F"/>
    <w:rsid w:val="7ACC6E34"/>
    <w:rsid w:val="7ACE2BDE"/>
    <w:rsid w:val="7ACFAF0B"/>
    <w:rsid w:val="7AD2146D"/>
    <w:rsid w:val="7AD43DEA"/>
    <w:rsid w:val="7AD876F5"/>
    <w:rsid w:val="7ADC2E56"/>
    <w:rsid w:val="7ADC75DD"/>
    <w:rsid w:val="7ADCAFD2"/>
    <w:rsid w:val="7AE2E9D9"/>
    <w:rsid w:val="7AE461EE"/>
    <w:rsid w:val="7AE8AEE2"/>
    <w:rsid w:val="7AEA2472"/>
    <w:rsid w:val="7AEB9B9F"/>
    <w:rsid w:val="7AEBD117"/>
    <w:rsid w:val="7AECC563"/>
    <w:rsid w:val="7AEDA9E0"/>
    <w:rsid w:val="7AEFAF69"/>
    <w:rsid w:val="7AF1CD34"/>
    <w:rsid w:val="7AF24677"/>
    <w:rsid w:val="7AF2ADBF"/>
    <w:rsid w:val="7AF53B43"/>
    <w:rsid w:val="7AF786A3"/>
    <w:rsid w:val="7AF83ABF"/>
    <w:rsid w:val="7AFC7854"/>
    <w:rsid w:val="7AFF9AD3"/>
    <w:rsid w:val="7B003892"/>
    <w:rsid w:val="7B003F0F"/>
    <w:rsid w:val="7B01FAF0"/>
    <w:rsid w:val="7B02C497"/>
    <w:rsid w:val="7B04E352"/>
    <w:rsid w:val="7B0EE921"/>
    <w:rsid w:val="7B1099E8"/>
    <w:rsid w:val="7B123A50"/>
    <w:rsid w:val="7B13A565"/>
    <w:rsid w:val="7B1536F4"/>
    <w:rsid w:val="7B169D7B"/>
    <w:rsid w:val="7B185299"/>
    <w:rsid w:val="7B18A469"/>
    <w:rsid w:val="7B1B0DB4"/>
    <w:rsid w:val="7B1B2CEA"/>
    <w:rsid w:val="7B1BC6CC"/>
    <w:rsid w:val="7B1C2CF1"/>
    <w:rsid w:val="7B1D9513"/>
    <w:rsid w:val="7B1DB5BF"/>
    <w:rsid w:val="7B1DF6E6"/>
    <w:rsid w:val="7B1E7CAA"/>
    <w:rsid w:val="7B20E976"/>
    <w:rsid w:val="7B2116E3"/>
    <w:rsid w:val="7B2313AF"/>
    <w:rsid w:val="7B242C90"/>
    <w:rsid w:val="7B253CE9"/>
    <w:rsid w:val="7B25724B"/>
    <w:rsid w:val="7B257FDB"/>
    <w:rsid w:val="7B26A02B"/>
    <w:rsid w:val="7B26F3D7"/>
    <w:rsid w:val="7B2B00A1"/>
    <w:rsid w:val="7B2E609F"/>
    <w:rsid w:val="7B2EEDDA"/>
    <w:rsid w:val="7B2EFCD1"/>
    <w:rsid w:val="7B2F44BF"/>
    <w:rsid w:val="7B2FA3EA"/>
    <w:rsid w:val="7B328F0D"/>
    <w:rsid w:val="7B32B10A"/>
    <w:rsid w:val="7B3417C4"/>
    <w:rsid w:val="7B359FE7"/>
    <w:rsid w:val="7B3706A2"/>
    <w:rsid w:val="7B38336D"/>
    <w:rsid w:val="7B3878ED"/>
    <w:rsid w:val="7B392BBA"/>
    <w:rsid w:val="7B393331"/>
    <w:rsid w:val="7B3BDAD4"/>
    <w:rsid w:val="7B3F6134"/>
    <w:rsid w:val="7B40B960"/>
    <w:rsid w:val="7B434055"/>
    <w:rsid w:val="7B4449EC"/>
    <w:rsid w:val="7B44E866"/>
    <w:rsid w:val="7B44F1F9"/>
    <w:rsid w:val="7B481F72"/>
    <w:rsid w:val="7B49A83B"/>
    <w:rsid w:val="7B4DD2FD"/>
    <w:rsid w:val="7B4ED2C8"/>
    <w:rsid w:val="7B4EEC6E"/>
    <w:rsid w:val="7B50F6C7"/>
    <w:rsid w:val="7B5275B2"/>
    <w:rsid w:val="7B539B7B"/>
    <w:rsid w:val="7B54AC0B"/>
    <w:rsid w:val="7B54DD1C"/>
    <w:rsid w:val="7B5627A2"/>
    <w:rsid w:val="7B56739D"/>
    <w:rsid w:val="7B57A422"/>
    <w:rsid w:val="7B5A0A05"/>
    <w:rsid w:val="7B5B05E6"/>
    <w:rsid w:val="7B5B7F94"/>
    <w:rsid w:val="7B5EE71C"/>
    <w:rsid w:val="7B5F01A0"/>
    <w:rsid w:val="7B62A61F"/>
    <w:rsid w:val="7B64946E"/>
    <w:rsid w:val="7B65C252"/>
    <w:rsid w:val="7B711B30"/>
    <w:rsid w:val="7B717008"/>
    <w:rsid w:val="7B71D186"/>
    <w:rsid w:val="7B73B212"/>
    <w:rsid w:val="7B7528DD"/>
    <w:rsid w:val="7B75F32E"/>
    <w:rsid w:val="7B75F4D5"/>
    <w:rsid w:val="7B766D35"/>
    <w:rsid w:val="7B77E534"/>
    <w:rsid w:val="7B787130"/>
    <w:rsid w:val="7B7A0A1A"/>
    <w:rsid w:val="7B7A25BF"/>
    <w:rsid w:val="7B7D60FF"/>
    <w:rsid w:val="7B7E2483"/>
    <w:rsid w:val="7B7E91DE"/>
    <w:rsid w:val="7B80B22C"/>
    <w:rsid w:val="7B827543"/>
    <w:rsid w:val="7B86819F"/>
    <w:rsid w:val="7B876A75"/>
    <w:rsid w:val="7B894DDE"/>
    <w:rsid w:val="7B8B093C"/>
    <w:rsid w:val="7B8D262F"/>
    <w:rsid w:val="7B8D290C"/>
    <w:rsid w:val="7B8D7EDF"/>
    <w:rsid w:val="7B916E7A"/>
    <w:rsid w:val="7B919059"/>
    <w:rsid w:val="7B928D74"/>
    <w:rsid w:val="7B93558F"/>
    <w:rsid w:val="7B975AD3"/>
    <w:rsid w:val="7B991218"/>
    <w:rsid w:val="7B996945"/>
    <w:rsid w:val="7B9A3041"/>
    <w:rsid w:val="7B9C59AD"/>
    <w:rsid w:val="7B9CC650"/>
    <w:rsid w:val="7B9DEE78"/>
    <w:rsid w:val="7BA0605F"/>
    <w:rsid w:val="7BA0AAAD"/>
    <w:rsid w:val="7BA0FF57"/>
    <w:rsid w:val="7BA12017"/>
    <w:rsid w:val="7BA2BB29"/>
    <w:rsid w:val="7BAB4295"/>
    <w:rsid w:val="7BAD9631"/>
    <w:rsid w:val="7BAEB0F3"/>
    <w:rsid w:val="7BB08362"/>
    <w:rsid w:val="7BB23D81"/>
    <w:rsid w:val="7BB2832D"/>
    <w:rsid w:val="7BB665AB"/>
    <w:rsid w:val="7BB67D0D"/>
    <w:rsid w:val="7BB77A50"/>
    <w:rsid w:val="7BBA5D9D"/>
    <w:rsid w:val="7BBBB749"/>
    <w:rsid w:val="7BBBEAB9"/>
    <w:rsid w:val="7BBCFC1C"/>
    <w:rsid w:val="7BBF060E"/>
    <w:rsid w:val="7BC0B5D4"/>
    <w:rsid w:val="7BC1DCAC"/>
    <w:rsid w:val="7BC4CC5E"/>
    <w:rsid w:val="7BC74D60"/>
    <w:rsid w:val="7BC98F00"/>
    <w:rsid w:val="7BC99565"/>
    <w:rsid w:val="7BCD7221"/>
    <w:rsid w:val="7BCEEBDF"/>
    <w:rsid w:val="7BCF6539"/>
    <w:rsid w:val="7BD4E3F0"/>
    <w:rsid w:val="7BD5BF2C"/>
    <w:rsid w:val="7BD706EB"/>
    <w:rsid w:val="7BD741D9"/>
    <w:rsid w:val="7BD819E1"/>
    <w:rsid w:val="7BD830A1"/>
    <w:rsid w:val="7BDA3D1A"/>
    <w:rsid w:val="7BDCDB41"/>
    <w:rsid w:val="7BDD1EB4"/>
    <w:rsid w:val="7BDD3891"/>
    <w:rsid w:val="7BE34B69"/>
    <w:rsid w:val="7BE35D3B"/>
    <w:rsid w:val="7BE45926"/>
    <w:rsid w:val="7BE61039"/>
    <w:rsid w:val="7BE616EB"/>
    <w:rsid w:val="7BE957BE"/>
    <w:rsid w:val="7BE9C654"/>
    <w:rsid w:val="7BEC49FE"/>
    <w:rsid w:val="7BEDA6D0"/>
    <w:rsid w:val="7BEE2AE2"/>
    <w:rsid w:val="7BF0701F"/>
    <w:rsid w:val="7BF151A8"/>
    <w:rsid w:val="7BF5C8D7"/>
    <w:rsid w:val="7BFA762B"/>
    <w:rsid w:val="7BFAEBB6"/>
    <w:rsid w:val="7BFBBC1A"/>
    <w:rsid w:val="7BFBCD35"/>
    <w:rsid w:val="7C01533F"/>
    <w:rsid w:val="7C06B290"/>
    <w:rsid w:val="7C07415B"/>
    <w:rsid w:val="7C07E17C"/>
    <w:rsid w:val="7C07E5C1"/>
    <w:rsid w:val="7C0AB11D"/>
    <w:rsid w:val="7C0B858B"/>
    <w:rsid w:val="7C0BEC54"/>
    <w:rsid w:val="7C0D6AD3"/>
    <w:rsid w:val="7C108F4E"/>
    <w:rsid w:val="7C1293E0"/>
    <w:rsid w:val="7C151B47"/>
    <w:rsid w:val="7C15F6D0"/>
    <w:rsid w:val="7C1850BF"/>
    <w:rsid w:val="7C1867ED"/>
    <w:rsid w:val="7C19D372"/>
    <w:rsid w:val="7C1A00B6"/>
    <w:rsid w:val="7C1A95CE"/>
    <w:rsid w:val="7C1C25D1"/>
    <w:rsid w:val="7C1C8A7B"/>
    <w:rsid w:val="7C1D8A9B"/>
    <w:rsid w:val="7C1E6D2D"/>
    <w:rsid w:val="7C1EED63"/>
    <w:rsid w:val="7C21CF13"/>
    <w:rsid w:val="7C21EAE2"/>
    <w:rsid w:val="7C28B39B"/>
    <w:rsid w:val="7C2B0A4C"/>
    <w:rsid w:val="7C2C6CDA"/>
    <w:rsid w:val="7C2CF00E"/>
    <w:rsid w:val="7C2E7705"/>
    <w:rsid w:val="7C2EC2AB"/>
    <w:rsid w:val="7C3084B5"/>
    <w:rsid w:val="7C3147C5"/>
    <w:rsid w:val="7C3A2893"/>
    <w:rsid w:val="7C3BEAB4"/>
    <w:rsid w:val="7C3DFC15"/>
    <w:rsid w:val="7C401B84"/>
    <w:rsid w:val="7C430AEB"/>
    <w:rsid w:val="7C43E5A9"/>
    <w:rsid w:val="7C451570"/>
    <w:rsid w:val="7C48AC21"/>
    <w:rsid w:val="7C48CCA5"/>
    <w:rsid w:val="7C4A9E9A"/>
    <w:rsid w:val="7C4B2CA6"/>
    <w:rsid w:val="7C4B9F12"/>
    <w:rsid w:val="7C4BEC26"/>
    <w:rsid w:val="7C4CEC63"/>
    <w:rsid w:val="7C5413BD"/>
    <w:rsid w:val="7C547363"/>
    <w:rsid w:val="7C55113C"/>
    <w:rsid w:val="7C551CFD"/>
    <w:rsid w:val="7C5588E5"/>
    <w:rsid w:val="7C593502"/>
    <w:rsid w:val="7C599E09"/>
    <w:rsid w:val="7C5AA6B6"/>
    <w:rsid w:val="7C5B7323"/>
    <w:rsid w:val="7C5D171E"/>
    <w:rsid w:val="7C5D9242"/>
    <w:rsid w:val="7C5E10CE"/>
    <w:rsid w:val="7C5E3583"/>
    <w:rsid w:val="7C62FC30"/>
    <w:rsid w:val="7C63F6B8"/>
    <w:rsid w:val="7C659744"/>
    <w:rsid w:val="7C65990B"/>
    <w:rsid w:val="7C668405"/>
    <w:rsid w:val="7C67AB00"/>
    <w:rsid w:val="7C686957"/>
    <w:rsid w:val="7C68BF3E"/>
    <w:rsid w:val="7C692D52"/>
    <w:rsid w:val="7C6B8005"/>
    <w:rsid w:val="7C728285"/>
    <w:rsid w:val="7C72DAD7"/>
    <w:rsid w:val="7C76AD02"/>
    <w:rsid w:val="7C77CF02"/>
    <w:rsid w:val="7C77D722"/>
    <w:rsid w:val="7C781356"/>
    <w:rsid w:val="7C78E290"/>
    <w:rsid w:val="7C7ECA50"/>
    <w:rsid w:val="7C7F86AF"/>
    <w:rsid w:val="7C80D4D1"/>
    <w:rsid w:val="7C82DA0C"/>
    <w:rsid w:val="7C86BEE1"/>
    <w:rsid w:val="7C870B23"/>
    <w:rsid w:val="7C90255E"/>
    <w:rsid w:val="7C92304B"/>
    <w:rsid w:val="7C9268F9"/>
    <w:rsid w:val="7C9818E6"/>
    <w:rsid w:val="7C98B84A"/>
    <w:rsid w:val="7C98FCD5"/>
    <w:rsid w:val="7C9E0261"/>
    <w:rsid w:val="7C9E23B9"/>
    <w:rsid w:val="7C9F3878"/>
    <w:rsid w:val="7CA7338E"/>
    <w:rsid w:val="7CA7CED6"/>
    <w:rsid w:val="7CA9C339"/>
    <w:rsid w:val="7CAA09F3"/>
    <w:rsid w:val="7CAA1C20"/>
    <w:rsid w:val="7CAE8B8E"/>
    <w:rsid w:val="7CAF5B8A"/>
    <w:rsid w:val="7CB32A35"/>
    <w:rsid w:val="7CB5447A"/>
    <w:rsid w:val="7CB9FB0C"/>
    <w:rsid w:val="7CBAECBA"/>
    <w:rsid w:val="7CBB3939"/>
    <w:rsid w:val="7CBB3FC7"/>
    <w:rsid w:val="7CBC780C"/>
    <w:rsid w:val="7CBFC537"/>
    <w:rsid w:val="7CC0C2E7"/>
    <w:rsid w:val="7CC37082"/>
    <w:rsid w:val="7CC930B8"/>
    <w:rsid w:val="7CC95730"/>
    <w:rsid w:val="7CC9D12B"/>
    <w:rsid w:val="7CCD50A9"/>
    <w:rsid w:val="7CD090A6"/>
    <w:rsid w:val="7CD17F51"/>
    <w:rsid w:val="7CD915E6"/>
    <w:rsid w:val="7CDC8970"/>
    <w:rsid w:val="7CDCE043"/>
    <w:rsid w:val="7CE7B95B"/>
    <w:rsid w:val="7CEC680E"/>
    <w:rsid w:val="7CEF70AA"/>
    <w:rsid w:val="7CF02F8D"/>
    <w:rsid w:val="7CF333C9"/>
    <w:rsid w:val="7CF3AD8C"/>
    <w:rsid w:val="7CF40BE5"/>
    <w:rsid w:val="7CF438AB"/>
    <w:rsid w:val="7CF8A4AE"/>
    <w:rsid w:val="7CF90F3E"/>
    <w:rsid w:val="7CFAE05C"/>
    <w:rsid w:val="7CFCDC18"/>
    <w:rsid w:val="7CFF7047"/>
    <w:rsid w:val="7CFFC528"/>
    <w:rsid w:val="7D006AF2"/>
    <w:rsid w:val="7D02EA91"/>
    <w:rsid w:val="7D041D9D"/>
    <w:rsid w:val="7D081B94"/>
    <w:rsid w:val="7D088865"/>
    <w:rsid w:val="7D0907B8"/>
    <w:rsid w:val="7D098CB1"/>
    <w:rsid w:val="7D09AA7F"/>
    <w:rsid w:val="7D0A11E2"/>
    <w:rsid w:val="7D0A3E02"/>
    <w:rsid w:val="7D0B1EDA"/>
    <w:rsid w:val="7D0C1B2F"/>
    <w:rsid w:val="7D0D52F9"/>
    <w:rsid w:val="7D0D6A73"/>
    <w:rsid w:val="7D0E40C6"/>
    <w:rsid w:val="7D0F9977"/>
    <w:rsid w:val="7D1276F6"/>
    <w:rsid w:val="7D133C18"/>
    <w:rsid w:val="7D16C03A"/>
    <w:rsid w:val="7D1979D3"/>
    <w:rsid w:val="7D1B3155"/>
    <w:rsid w:val="7D1DB0A6"/>
    <w:rsid w:val="7D23D5BA"/>
    <w:rsid w:val="7D246318"/>
    <w:rsid w:val="7D259565"/>
    <w:rsid w:val="7D273C50"/>
    <w:rsid w:val="7D297428"/>
    <w:rsid w:val="7D2C3965"/>
    <w:rsid w:val="7D2DF497"/>
    <w:rsid w:val="7D2E66E0"/>
    <w:rsid w:val="7D2F074D"/>
    <w:rsid w:val="7D2F72CC"/>
    <w:rsid w:val="7D2FEB4A"/>
    <w:rsid w:val="7D30BFB9"/>
    <w:rsid w:val="7D34DF9D"/>
    <w:rsid w:val="7D373D39"/>
    <w:rsid w:val="7D3D2E71"/>
    <w:rsid w:val="7D3D990F"/>
    <w:rsid w:val="7D3DF187"/>
    <w:rsid w:val="7D3F6C6A"/>
    <w:rsid w:val="7D425230"/>
    <w:rsid w:val="7D4476D2"/>
    <w:rsid w:val="7D457B36"/>
    <w:rsid w:val="7D46449A"/>
    <w:rsid w:val="7D46C5DB"/>
    <w:rsid w:val="7D473DA5"/>
    <w:rsid w:val="7D4817DE"/>
    <w:rsid w:val="7D48EB33"/>
    <w:rsid w:val="7D495B5B"/>
    <w:rsid w:val="7D4964ED"/>
    <w:rsid w:val="7D4B6B6F"/>
    <w:rsid w:val="7D4D1EF3"/>
    <w:rsid w:val="7D4F758B"/>
    <w:rsid w:val="7D507327"/>
    <w:rsid w:val="7D56C8A0"/>
    <w:rsid w:val="7D56C8B6"/>
    <w:rsid w:val="7D595930"/>
    <w:rsid w:val="7D5A6A66"/>
    <w:rsid w:val="7D5F9392"/>
    <w:rsid w:val="7D5FB86F"/>
    <w:rsid w:val="7D60841B"/>
    <w:rsid w:val="7D626AA8"/>
    <w:rsid w:val="7D635DB3"/>
    <w:rsid w:val="7D63932B"/>
    <w:rsid w:val="7D64573C"/>
    <w:rsid w:val="7D64768C"/>
    <w:rsid w:val="7D66FBB4"/>
    <w:rsid w:val="7D674E27"/>
    <w:rsid w:val="7D681CF3"/>
    <w:rsid w:val="7D685364"/>
    <w:rsid w:val="7D6917F7"/>
    <w:rsid w:val="7D6C657C"/>
    <w:rsid w:val="7D6CA319"/>
    <w:rsid w:val="7D6DA1E0"/>
    <w:rsid w:val="7D6F4068"/>
    <w:rsid w:val="7D70EE72"/>
    <w:rsid w:val="7D74291F"/>
    <w:rsid w:val="7D74BCFE"/>
    <w:rsid w:val="7D758AAE"/>
    <w:rsid w:val="7D79C78D"/>
    <w:rsid w:val="7D7B8E64"/>
    <w:rsid w:val="7D7D0470"/>
    <w:rsid w:val="7D7DE107"/>
    <w:rsid w:val="7D7F14C7"/>
    <w:rsid w:val="7D80401F"/>
    <w:rsid w:val="7D82D389"/>
    <w:rsid w:val="7D8607C1"/>
    <w:rsid w:val="7D866F4E"/>
    <w:rsid w:val="7D86D39F"/>
    <w:rsid w:val="7D8A523B"/>
    <w:rsid w:val="7D8C665C"/>
    <w:rsid w:val="7D8EF11A"/>
    <w:rsid w:val="7D921978"/>
    <w:rsid w:val="7D93C6DC"/>
    <w:rsid w:val="7D940EB6"/>
    <w:rsid w:val="7D987633"/>
    <w:rsid w:val="7D991B05"/>
    <w:rsid w:val="7D9967A1"/>
    <w:rsid w:val="7D99ACCA"/>
    <w:rsid w:val="7D99DD86"/>
    <w:rsid w:val="7D9A0D11"/>
    <w:rsid w:val="7D9AB7D8"/>
    <w:rsid w:val="7D9B62AC"/>
    <w:rsid w:val="7DA1C6C7"/>
    <w:rsid w:val="7DA2F7CB"/>
    <w:rsid w:val="7DA2FC01"/>
    <w:rsid w:val="7DA363D9"/>
    <w:rsid w:val="7DA413E5"/>
    <w:rsid w:val="7DA474CB"/>
    <w:rsid w:val="7DA56DB9"/>
    <w:rsid w:val="7DA6B076"/>
    <w:rsid w:val="7DA9C6D6"/>
    <w:rsid w:val="7DA9CE8A"/>
    <w:rsid w:val="7DAB5C02"/>
    <w:rsid w:val="7DADB793"/>
    <w:rsid w:val="7DAE1A29"/>
    <w:rsid w:val="7DAF4495"/>
    <w:rsid w:val="7DB4A2C3"/>
    <w:rsid w:val="7DB7524B"/>
    <w:rsid w:val="7DB7D2BD"/>
    <w:rsid w:val="7DB84267"/>
    <w:rsid w:val="7DB8D2DD"/>
    <w:rsid w:val="7DB8FC20"/>
    <w:rsid w:val="7DBB5BAA"/>
    <w:rsid w:val="7DBD45B5"/>
    <w:rsid w:val="7DBDE510"/>
    <w:rsid w:val="7DBEEBCE"/>
    <w:rsid w:val="7DBF0C81"/>
    <w:rsid w:val="7DBFA6DA"/>
    <w:rsid w:val="7DC13BC6"/>
    <w:rsid w:val="7DC323AD"/>
    <w:rsid w:val="7DC54556"/>
    <w:rsid w:val="7DC77C3A"/>
    <w:rsid w:val="7DC82292"/>
    <w:rsid w:val="7DC8F77D"/>
    <w:rsid w:val="7DC9F685"/>
    <w:rsid w:val="7DCEE51D"/>
    <w:rsid w:val="7DD25DC6"/>
    <w:rsid w:val="7DD52E66"/>
    <w:rsid w:val="7DD5BFBF"/>
    <w:rsid w:val="7DD72B7F"/>
    <w:rsid w:val="7DD7E3DE"/>
    <w:rsid w:val="7DD84962"/>
    <w:rsid w:val="7DD8E7FA"/>
    <w:rsid w:val="7DDA49D7"/>
    <w:rsid w:val="7DDAF9B1"/>
    <w:rsid w:val="7DDB7244"/>
    <w:rsid w:val="7DDC59FF"/>
    <w:rsid w:val="7DE22790"/>
    <w:rsid w:val="7DE3DF88"/>
    <w:rsid w:val="7DE47667"/>
    <w:rsid w:val="7DE57BBC"/>
    <w:rsid w:val="7DE583CB"/>
    <w:rsid w:val="7DE5B3B0"/>
    <w:rsid w:val="7DE942A8"/>
    <w:rsid w:val="7DE9D50F"/>
    <w:rsid w:val="7DEAD0B4"/>
    <w:rsid w:val="7DEB9A48"/>
    <w:rsid w:val="7DEC506C"/>
    <w:rsid w:val="7DEE9107"/>
    <w:rsid w:val="7DF28CFC"/>
    <w:rsid w:val="7DF32637"/>
    <w:rsid w:val="7DF46DFC"/>
    <w:rsid w:val="7DF89B58"/>
    <w:rsid w:val="7DFB036B"/>
    <w:rsid w:val="7DFB3274"/>
    <w:rsid w:val="7DFC144D"/>
    <w:rsid w:val="7DFDB4CA"/>
    <w:rsid w:val="7DFFEB4D"/>
    <w:rsid w:val="7E01F3C6"/>
    <w:rsid w:val="7E03D27D"/>
    <w:rsid w:val="7E040931"/>
    <w:rsid w:val="7E042631"/>
    <w:rsid w:val="7E084CB6"/>
    <w:rsid w:val="7E0A23C9"/>
    <w:rsid w:val="7E0B7061"/>
    <w:rsid w:val="7E0B82CF"/>
    <w:rsid w:val="7E11060C"/>
    <w:rsid w:val="7E1441BE"/>
    <w:rsid w:val="7E18641C"/>
    <w:rsid w:val="7E18D09A"/>
    <w:rsid w:val="7E1A3FFB"/>
    <w:rsid w:val="7E1AD07E"/>
    <w:rsid w:val="7E1B0352"/>
    <w:rsid w:val="7E1E78B6"/>
    <w:rsid w:val="7E1EB7E7"/>
    <w:rsid w:val="7E1FA0F4"/>
    <w:rsid w:val="7E2088F2"/>
    <w:rsid w:val="7E21FEBB"/>
    <w:rsid w:val="7E220F21"/>
    <w:rsid w:val="7E2256FC"/>
    <w:rsid w:val="7E2676F5"/>
    <w:rsid w:val="7E26940F"/>
    <w:rsid w:val="7E28B6A3"/>
    <w:rsid w:val="7E2BC8AD"/>
    <w:rsid w:val="7E307384"/>
    <w:rsid w:val="7E3149DE"/>
    <w:rsid w:val="7E3157EB"/>
    <w:rsid w:val="7E324F8C"/>
    <w:rsid w:val="7E34A50D"/>
    <w:rsid w:val="7E3578C1"/>
    <w:rsid w:val="7E365728"/>
    <w:rsid w:val="7E369BE1"/>
    <w:rsid w:val="7E39D977"/>
    <w:rsid w:val="7E3C988D"/>
    <w:rsid w:val="7E3CE849"/>
    <w:rsid w:val="7E3D9EC5"/>
    <w:rsid w:val="7E400F2A"/>
    <w:rsid w:val="7E4088CA"/>
    <w:rsid w:val="7E415493"/>
    <w:rsid w:val="7E437CFB"/>
    <w:rsid w:val="7E4427E6"/>
    <w:rsid w:val="7E44BB9B"/>
    <w:rsid w:val="7E45E478"/>
    <w:rsid w:val="7E4894B6"/>
    <w:rsid w:val="7E4B7E2B"/>
    <w:rsid w:val="7E4C004D"/>
    <w:rsid w:val="7E4FDFF3"/>
    <w:rsid w:val="7E5464D3"/>
    <w:rsid w:val="7E54A9C3"/>
    <w:rsid w:val="7E552A57"/>
    <w:rsid w:val="7E5551B8"/>
    <w:rsid w:val="7E565D34"/>
    <w:rsid w:val="7E5A72A3"/>
    <w:rsid w:val="7E5C7797"/>
    <w:rsid w:val="7E5D86A8"/>
    <w:rsid w:val="7E5F3517"/>
    <w:rsid w:val="7E5F3FA3"/>
    <w:rsid w:val="7E5FB1B7"/>
    <w:rsid w:val="7E64C4CD"/>
    <w:rsid w:val="7E654C6C"/>
    <w:rsid w:val="7E65925A"/>
    <w:rsid w:val="7E69ACA6"/>
    <w:rsid w:val="7E6C8A5D"/>
    <w:rsid w:val="7E6F6AC9"/>
    <w:rsid w:val="7E6F7B24"/>
    <w:rsid w:val="7E734A9F"/>
    <w:rsid w:val="7E73B616"/>
    <w:rsid w:val="7E746461"/>
    <w:rsid w:val="7E752EE7"/>
    <w:rsid w:val="7E759FBE"/>
    <w:rsid w:val="7E79C69B"/>
    <w:rsid w:val="7E7BBB39"/>
    <w:rsid w:val="7E7F2522"/>
    <w:rsid w:val="7E81C6B3"/>
    <w:rsid w:val="7E81DE53"/>
    <w:rsid w:val="7E824927"/>
    <w:rsid w:val="7E828F71"/>
    <w:rsid w:val="7E82BFA8"/>
    <w:rsid w:val="7E85A4A9"/>
    <w:rsid w:val="7E85E609"/>
    <w:rsid w:val="7E865F1B"/>
    <w:rsid w:val="7E86D4C7"/>
    <w:rsid w:val="7E879E4E"/>
    <w:rsid w:val="7E8C73FF"/>
    <w:rsid w:val="7E8EC4A6"/>
    <w:rsid w:val="7E8EF17C"/>
    <w:rsid w:val="7E9252E5"/>
    <w:rsid w:val="7E94137C"/>
    <w:rsid w:val="7E97582B"/>
    <w:rsid w:val="7E9A26C7"/>
    <w:rsid w:val="7E9B43E1"/>
    <w:rsid w:val="7E9C2402"/>
    <w:rsid w:val="7E9CA46F"/>
    <w:rsid w:val="7E9CE898"/>
    <w:rsid w:val="7E9DAC2E"/>
    <w:rsid w:val="7E9DAE19"/>
    <w:rsid w:val="7E9FA5D0"/>
    <w:rsid w:val="7E9FEBF9"/>
    <w:rsid w:val="7EA09152"/>
    <w:rsid w:val="7EA1C40D"/>
    <w:rsid w:val="7EA3B902"/>
    <w:rsid w:val="7EA51B83"/>
    <w:rsid w:val="7EA616AB"/>
    <w:rsid w:val="7EA84EDF"/>
    <w:rsid w:val="7EA8C31B"/>
    <w:rsid w:val="7EAA6D6F"/>
    <w:rsid w:val="7EAB722F"/>
    <w:rsid w:val="7EACA7A9"/>
    <w:rsid w:val="7EAD6D93"/>
    <w:rsid w:val="7EADD5F2"/>
    <w:rsid w:val="7EAF71CF"/>
    <w:rsid w:val="7EB2909B"/>
    <w:rsid w:val="7EB5960E"/>
    <w:rsid w:val="7EB60DAF"/>
    <w:rsid w:val="7EB69F39"/>
    <w:rsid w:val="7EB720AE"/>
    <w:rsid w:val="7EB95BE4"/>
    <w:rsid w:val="7EBA6586"/>
    <w:rsid w:val="7EBAF3B5"/>
    <w:rsid w:val="7EBC3E5A"/>
    <w:rsid w:val="7EBF1DA0"/>
    <w:rsid w:val="7EC4FE48"/>
    <w:rsid w:val="7EC627EF"/>
    <w:rsid w:val="7EC8B9B6"/>
    <w:rsid w:val="7EC98CC1"/>
    <w:rsid w:val="7ECC9CD7"/>
    <w:rsid w:val="7ECCBB18"/>
    <w:rsid w:val="7ECF3F24"/>
    <w:rsid w:val="7ED0DC95"/>
    <w:rsid w:val="7ED1502E"/>
    <w:rsid w:val="7ED2FFDE"/>
    <w:rsid w:val="7ED3A353"/>
    <w:rsid w:val="7ED5FED2"/>
    <w:rsid w:val="7ED6BAC5"/>
    <w:rsid w:val="7EDB0400"/>
    <w:rsid w:val="7EDB496E"/>
    <w:rsid w:val="7EDC748E"/>
    <w:rsid w:val="7EDE7677"/>
    <w:rsid w:val="7EDEAA31"/>
    <w:rsid w:val="7EDECDDE"/>
    <w:rsid w:val="7EDFDA55"/>
    <w:rsid w:val="7EDFEE89"/>
    <w:rsid w:val="7EE1B9E7"/>
    <w:rsid w:val="7EE68CB0"/>
    <w:rsid w:val="7EE6E86A"/>
    <w:rsid w:val="7EE712FE"/>
    <w:rsid w:val="7EE78754"/>
    <w:rsid w:val="7EEA2070"/>
    <w:rsid w:val="7EECC836"/>
    <w:rsid w:val="7EECFB79"/>
    <w:rsid w:val="7EEEB0A6"/>
    <w:rsid w:val="7EF0B6E7"/>
    <w:rsid w:val="7EF160A8"/>
    <w:rsid w:val="7EF18F32"/>
    <w:rsid w:val="7EF6FBE2"/>
    <w:rsid w:val="7EFB91AC"/>
    <w:rsid w:val="7EFE7B2F"/>
    <w:rsid w:val="7EFF8CED"/>
    <w:rsid w:val="7F005C97"/>
    <w:rsid w:val="7F006206"/>
    <w:rsid w:val="7F01CDB2"/>
    <w:rsid w:val="7F02C747"/>
    <w:rsid w:val="7F03CB49"/>
    <w:rsid w:val="7F049047"/>
    <w:rsid w:val="7F04D930"/>
    <w:rsid w:val="7F05EA60"/>
    <w:rsid w:val="7F06FBD1"/>
    <w:rsid w:val="7F096FF9"/>
    <w:rsid w:val="7F09B099"/>
    <w:rsid w:val="7F0B1D5A"/>
    <w:rsid w:val="7F0B42A7"/>
    <w:rsid w:val="7F0BEFE3"/>
    <w:rsid w:val="7F0CF801"/>
    <w:rsid w:val="7F0E258E"/>
    <w:rsid w:val="7F10E6CB"/>
    <w:rsid w:val="7F129F9F"/>
    <w:rsid w:val="7F162DF0"/>
    <w:rsid w:val="7F1A8C69"/>
    <w:rsid w:val="7F1CEE8B"/>
    <w:rsid w:val="7F1D2374"/>
    <w:rsid w:val="7F2418D7"/>
    <w:rsid w:val="7F26916D"/>
    <w:rsid w:val="7F26C9A9"/>
    <w:rsid w:val="7F2BED00"/>
    <w:rsid w:val="7F2CD889"/>
    <w:rsid w:val="7F311D55"/>
    <w:rsid w:val="7F316786"/>
    <w:rsid w:val="7F31AFCC"/>
    <w:rsid w:val="7F31D3A5"/>
    <w:rsid w:val="7F3324F6"/>
    <w:rsid w:val="7F33C1A6"/>
    <w:rsid w:val="7F35B632"/>
    <w:rsid w:val="7F36C453"/>
    <w:rsid w:val="7F3A8782"/>
    <w:rsid w:val="7F3C0D56"/>
    <w:rsid w:val="7F3C57ED"/>
    <w:rsid w:val="7F3D570A"/>
    <w:rsid w:val="7F401607"/>
    <w:rsid w:val="7F41622D"/>
    <w:rsid w:val="7F42F1AB"/>
    <w:rsid w:val="7F43E6B7"/>
    <w:rsid w:val="7F454DC6"/>
    <w:rsid w:val="7F458307"/>
    <w:rsid w:val="7F45CF1A"/>
    <w:rsid w:val="7F47B27C"/>
    <w:rsid w:val="7F498971"/>
    <w:rsid w:val="7F4A04A3"/>
    <w:rsid w:val="7F4E9C1E"/>
    <w:rsid w:val="7F504867"/>
    <w:rsid w:val="7F50FC2E"/>
    <w:rsid w:val="7F558C32"/>
    <w:rsid w:val="7F59F4FB"/>
    <w:rsid w:val="7F5D21C3"/>
    <w:rsid w:val="7F610E35"/>
    <w:rsid w:val="7F613149"/>
    <w:rsid w:val="7F63FD9F"/>
    <w:rsid w:val="7F64B345"/>
    <w:rsid w:val="7F659C89"/>
    <w:rsid w:val="7F65E3BC"/>
    <w:rsid w:val="7F66157A"/>
    <w:rsid w:val="7F67B2EC"/>
    <w:rsid w:val="7F6C3AFC"/>
    <w:rsid w:val="7F6C466A"/>
    <w:rsid w:val="7F6E8ABF"/>
    <w:rsid w:val="7F70F827"/>
    <w:rsid w:val="7F717BB1"/>
    <w:rsid w:val="7F72257A"/>
    <w:rsid w:val="7F751846"/>
    <w:rsid w:val="7F76DAAC"/>
    <w:rsid w:val="7F794EEF"/>
    <w:rsid w:val="7F7A19F6"/>
    <w:rsid w:val="7F7D57A6"/>
    <w:rsid w:val="7F7D6196"/>
    <w:rsid w:val="7F7F3823"/>
    <w:rsid w:val="7F7F6048"/>
    <w:rsid w:val="7F7FBD94"/>
    <w:rsid w:val="7F832CAB"/>
    <w:rsid w:val="7F84D29C"/>
    <w:rsid w:val="7F8502B0"/>
    <w:rsid w:val="7F876D9C"/>
    <w:rsid w:val="7F880F56"/>
    <w:rsid w:val="7F881F85"/>
    <w:rsid w:val="7F8B11FB"/>
    <w:rsid w:val="7F8B65EE"/>
    <w:rsid w:val="7F8BA71A"/>
    <w:rsid w:val="7F8CF7E9"/>
    <w:rsid w:val="7F8D4C34"/>
    <w:rsid w:val="7F8DF4D5"/>
    <w:rsid w:val="7F8FA673"/>
    <w:rsid w:val="7F929265"/>
    <w:rsid w:val="7F948AA7"/>
    <w:rsid w:val="7F968B1A"/>
    <w:rsid w:val="7F9831AD"/>
    <w:rsid w:val="7F98F0E2"/>
    <w:rsid w:val="7F9A0EF9"/>
    <w:rsid w:val="7F9B5F8A"/>
    <w:rsid w:val="7F9B8FF5"/>
    <w:rsid w:val="7F9C16FA"/>
    <w:rsid w:val="7F9F92E2"/>
    <w:rsid w:val="7F9FB158"/>
    <w:rsid w:val="7F9FD48E"/>
    <w:rsid w:val="7FA41F0B"/>
    <w:rsid w:val="7FA56462"/>
    <w:rsid w:val="7FA879B2"/>
    <w:rsid w:val="7FA8FC52"/>
    <w:rsid w:val="7FA99EEB"/>
    <w:rsid w:val="7FAB3543"/>
    <w:rsid w:val="7FAD0635"/>
    <w:rsid w:val="7FADA29B"/>
    <w:rsid w:val="7FAE312F"/>
    <w:rsid w:val="7FB140FB"/>
    <w:rsid w:val="7FB582D2"/>
    <w:rsid w:val="7FB655DF"/>
    <w:rsid w:val="7FB72D55"/>
    <w:rsid w:val="7FB9BD3A"/>
    <w:rsid w:val="7FBB6F2E"/>
    <w:rsid w:val="7FBBA426"/>
    <w:rsid w:val="7FBC3AD3"/>
    <w:rsid w:val="7FBCC4E9"/>
    <w:rsid w:val="7FBD0A48"/>
    <w:rsid w:val="7FBF13B2"/>
    <w:rsid w:val="7FC2A4B7"/>
    <w:rsid w:val="7FC380C4"/>
    <w:rsid w:val="7FC6017C"/>
    <w:rsid w:val="7FC6CD1C"/>
    <w:rsid w:val="7FCC82FC"/>
    <w:rsid w:val="7FCC8C39"/>
    <w:rsid w:val="7FCD31DA"/>
    <w:rsid w:val="7FCF57B6"/>
    <w:rsid w:val="7FD0A676"/>
    <w:rsid w:val="7FD180D0"/>
    <w:rsid w:val="7FD4432B"/>
    <w:rsid w:val="7FD684C1"/>
    <w:rsid w:val="7FDADD5C"/>
    <w:rsid w:val="7FDCCBAD"/>
    <w:rsid w:val="7FE283B6"/>
    <w:rsid w:val="7FE3633D"/>
    <w:rsid w:val="7FE3B83A"/>
    <w:rsid w:val="7FE5A7CC"/>
    <w:rsid w:val="7FE5D70F"/>
    <w:rsid w:val="7FE77544"/>
    <w:rsid w:val="7FEA7385"/>
    <w:rsid w:val="7FECA7F4"/>
    <w:rsid w:val="7FEF9609"/>
    <w:rsid w:val="7FF2EFC5"/>
    <w:rsid w:val="7FF35EA2"/>
    <w:rsid w:val="7FF3A769"/>
    <w:rsid w:val="7FF4067F"/>
    <w:rsid w:val="7FF50D5E"/>
    <w:rsid w:val="7FF74929"/>
    <w:rsid w:val="7FFB1482"/>
    <w:rsid w:val="7FFB74C6"/>
    <w:rsid w:val="7FFF6CA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BB085F80-AFE7-4D2F-8891-E972D96C9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B1"/>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Heading1"/>
    <w:next w:val="Normal"/>
    <w:link w:val="Heading2Char"/>
    <w:uiPriority w:val="9"/>
    <w:unhideWhenUsed/>
    <w:qFormat/>
    <w:rsid w:val="00D82C56"/>
    <w:pPr>
      <w:spacing w:before="720" w:after="480" w:line="192" w:lineRule="auto"/>
      <w:outlineLvl w:val="1"/>
    </w:pPr>
    <w:rPr>
      <w:color w:val="002D3E"/>
      <w:sz w:val="72"/>
      <w:szCs w:val="26"/>
    </w:rPr>
  </w:style>
  <w:style w:type="paragraph" w:styleId="Heading3">
    <w:name w:val="heading 3"/>
    <w:basedOn w:val="Normal"/>
    <w:next w:val="Normal"/>
    <w:link w:val="Heading3Char"/>
    <w:uiPriority w:val="9"/>
    <w:unhideWhenUsed/>
    <w:qFormat/>
    <w:rsid w:val="004A78B4"/>
    <w:pPr>
      <w:keepNext/>
      <w:keepLines/>
      <w:spacing w:before="360" w:after="60" w:line="240" w:lineRule="auto"/>
      <w:outlineLvl w:val="2"/>
    </w:pPr>
    <w:rPr>
      <w:rFonts w:ascii="Calibri" w:eastAsiaTheme="majorEastAsia" w:hAnsi="Calibri" w:cstheme="majorBidi"/>
      <w:b/>
      <w:color w:val="297BAF"/>
      <w:sz w:val="60"/>
      <w:szCs w:val="24"/>
    </w:rPr>
  </w:style>
  <w:style w:type="paragraph" w:styleId="Heading4">
    <w:name w:val="heading 4"/>
    <w:basedOn w:val="Normal"/>
    <w:next w:val="Normal"/>
    <w:link w:val="Heading4Char"/>
    <w:uiPriority w:val="9"/>
    <w:unhideWhenUsed/>
    <w:qFormat/>
    <w:rsid w:val="008C2594"/>
    <w:pPr>
      <w:keepNext/>
      <w:keepLines/>
      <w:spacing w:before="320" w:after="60"/>
      <w:outlineLvl w:val="3"/>
    </w:pPr>
    <w:rPr>
      <w:rFonts w:ascii="Calibri" w:eastAsiaTheme="majorEastAsia" w:hAnsi="Calibri" w:cstheme="majorBidi"/>
      <w:b/>
      <w:iCs/>
      <w:color w:val="00254A" w:themeColor="text2"/>
      <w:sz w:val="32"/>
    </w:rPr>
  </w:style>
  <w:style w:type="paragraph" w:styleId="Heading5">
    <w:name w:val="heading 5"/>
    <w:basedOn w:val="Normal"/>
    <w:next w:val="Normal"/>
    <w:link w:val="Heading5Char"/>
    <w:uiPriority w:val="9"/>
    <w:unhideWhenUsed/>
    <w:qFormat/>
    <w:rsid w:val="00C278D3"/>
    <w:pPr>
      <w:keepNext/>
      <w:keepLines/>
      <w:spacing w:before="320" w:after="60"/>
      <w:outlineLvl w:val="4"/>
    </w:pPr>
    <w:rPr>
      <w:rFonts w:asciiTheme="majorHAnsi" w:eastAsiaTheme="majorEastAsia" w:hAnsiTheme="majorHAnsi" w:cstheme="majorBidi"/>
      <w:b/>
      <w:color w:val="297BAF"/>
      <w:sz w:val="28"/>
    </w:rPr>
  </w:style>
  <w:style w:type="paragraph" w:styleId="Heading6">
    <w:name w:val="heading 6"/>
    <w:basedOn w:val="Normal"/>
    <w:next w:val="Normal"/>
    <w:link w:val="Heading6Char"/>
    <w:uiPriority w:val="9"/>
    <w:unhideWhenUsed/>
    <w:qFormat/>
    <w:rsid w:val="006E3C19"/>
    <w:pPr>
      <w:keepNext/>
      <w:keepLines/>
      <w:spacing w:before="360" w:after="0"/>
      <w:outlineLvl w:val="5"/>
    </w:pPr>
    <w:rPr>
      <w:rFonts w:asciiTheme="majorHAnsi" w:eastAsiaTheme="majorEastAsia" w:hAnsiTheme="majorHAnsi" w:cstheme="majorBidi"/>
      <w:b/>
      <w:color w:val="000000" w:themeColor="text1"/>
      <w:sz w:val="24"/>
    </w:rPr>
  </w:style>
  <w:style w:type="paragraph" w:styleId="Heading7">
    <w:name w:val="heading 7"/>
    <w:basedOn w:val="Normal"/>
    <w:next w:val="Normal"/>
    <w:link w:val="Heading7Char"/>
    <w:uiPriority w:val="9"/>
    <w:semiHidden/>
    <w:qFormat/>
    <w:rsid w:val="00736FC5"/>
    <w:pPr>
      <w:keepNext/>
      <w:keepLines/>
      <w:spacing w:before="40" w:after="0"/>
      <w:outlineLvl w:val="6"/>
    </w:pPr>
    <w:rPr>
      <w:rFonts w:asciiTheme="majorHAnsi" w:eastAsiaTheme="majorEastAsia" w:hAnsiTheme="majorHAnsi" w:cstheme="majorBidi"/>
      <w:b/>
      <w:iCs/>
      <w:color w:val="7F7F7F" w:themeColor="text1" w:themeTint="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3E4175"/>
    <w:rPr>
      <w:color w:val="297BAF"/>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D82C56"/>
    <w:rPr>
      <w:rFonts w:ascii="Calibri" w:eastAsiaTheme="majorEastAsia" w:hAnsi="Calibri" w:cstheme="majorBidi"/>
      <w:b/>
      <w:color w:val="002D3E"/>
      <w:sz w:val="72"/>
      <w:szCs w:val="26"/>
    </w:rPr>
  </w:style>
  <w:style w:type="character" w:customStyle="1" w:styleId="Heading3Char">
    <w:name w:val="Heading 3 Char"/>
    <w:basedOn w:val="DefaultParagraphFont"/>
    <w:link w:val="Heading3"/>
    <w:uiPriority w:val="9"/>
    <w:rsid w:val="004A78B4"/>
    <w:rPr>
      <w:rFonts w:ascii="Calibri" w:eastAsiaTheme="majorEastAsia" w:hAnsi="Calibri" w:cstheme="majorBidi"/>
      <w:b/>
      <w:color w:val="297BAF"/>
      <w:sz w:val="60"/>
      <w:szCs w:val="24"/>
    </w:rPr>
  </w:style>
  <w:style w:type="character" w:customStyle="1" w:styleId="Heading4Char">
    <w:name w:val="Heading 4 Char"/>
    <w:basedOn w:val="DefaultParagraphFont"/>
    <w:link w:val="Heading4"/>
    <w:uiPriority w:val="9"/>
    <w:rsid w:val="008C2594"/>
    <w:rPr>
      <w:rFonts w:ascii="Calibri" w:eastAsiaTheme="majorEastAsia" w:hAnsi="Calibri" w:cstheme="majorBidi"/>
      <w:b/>
      <w:iCs/>
      <w:color w:val="00254A" w:themeColor="text2"/>
      <w:sz w:val="32"/>
    </w:rPr>
  </w:style>
  <w:style w:type="character" w:customStyle="1" w:styleId="Heading5Char">
    <w:name w:val="Heading 5 Char"/>
    <w:basedOn w:val="DefaultParagraphFont"/>
    <w:link w:val="Heading5"/>
    <w:uiPriority w:val="9"/>
    <w:rsid w:val="00C278D3"/>
    <w:rPr>
      <w:rFonts w:asciiTheme="majorHAnsi" w:eastAsiaTheme="majorEastAsia" w:hAnsiTheme="majorHAnsi" w:cstheme="majorBidi"/>
      <w:b/>
      <w:color w:val="297BAF"/>
      <w:sz w:val="28"/>
    </w:rPr>
  </w:style>
  <w:style w:type="character" w:customStyle="1" w:styleId="Heading6Char">
    <w:name w:val="Heading 6 Char"/>
    <w:basedOn w:val="DefaultParagraphFont"/>
    <w:link w:val="Heading6"/>
    <w:uiPriority w:val="9"/>
    <w:rsid w:val="006E3C19"/>
    <w:rPr>
      <w:rFonts w:asciiTheme="majorHAnsi" w:eastAsiaTheme="majorEastAsia" w:hAnsiTheme="majorHAnsi" w:cstheme="majorBidi"/>
      <w:b/>
      <w:color w:val="000000" w:themeColor="text1"/>
      <w:sz w:val="24"/>
    </w:rPr>
  </w:style>
  <w:style w:type="paragraph" w:styleId="Caption">
    <w:name w:val="caption"/>
    <w:basedOn w:val="Normal"/>
    <w:next w:val="Normal"/>
    <w:uiPriority w:val="35"/>
    <w:qFormat/>
    <w:rsid w:val="00C278D3"/>
    <w:pPr>
      <w:spacing w:before="240" w:after="120" w:line="240" w:lineRule="auto"/>
    </w:pPr>
    <w:rPr>
      <w:iCs/>
      <w:color w:val="757679"/>
      <w:sz w:val="18"/>
      <w:szCs w:val="18"/>
    </w:rPr>
  </w:style>
  <w:style w:type="paragraph" w:customStyle="1" w:styleId="Source">
    <w:name w:val="Source"/>
    <w:basedOn w:val="Normal"/>
    <w:uiPriority w:val="97"/>
    <w:qFormat/>
    <w:rsid w:val="00BA0029"/>
    <w:pPr>
      <w:spacing w:before="120"/>
    </w:pPr>
    <w:rPr>
      <w:color w:val="757679"/>
      <w:sz w:val="18"/>
    </w:rPr>
  </w:style>
  <w:style w:type="character" w:customStyle="1" w:styleId="Heading7Char">
    <w:name w:val="Heading 7 Char"/>
    <w:basedOn w:val="DefaultParagraphFont"/>
    <w:link w:val="Heading7"/>
    <w:uiPriority w:val="9"/>
    <w:semiHidden/>
    <w:rsid w:val="00736FC5"/>
    <w:rPr>
      <w:rFonts w:asciiTheme="majorHAnsi" w:eastAsiaTheme="majorEastAsia" w:hAnsiTheme="majorHAnsi" w:cstheme="majorBidi"/>
      <w:b/>
      <w:iCs/>
      <w:color w:val="7F7F7F" w:themeColor="text1" w:themeTint="80"/>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5"/>
      </w:numPr>
      <w:tabs>
        <w:tab w:val="clear" w:pos="397"/>
      </w:tabs>
      <w:spacing w:after="200"/>
      <w:ind w:left="1287" w:hanging="360"/>
      <w:contextualSpacing/>
    </w:pPr>
  </w:style>
  <w:style w:type="paragraph" w:styleId="List2">
    <w:name w:val="List 2"/>
    <w:basedOn w:val="Normal"/>
    <w:uiPriority w:val="98"/>
    <w:qFormat/>
    <w:rsid w:val="00F85913"/>
    <w:pPr>
      <w:numPr>
        <w:ilvl w:val="1"/>
        <w:numId w:val="5"/>
      </w:numPr>
      <w:spacing w:after="200"/>
      <w:ind w:left="2007" w:hanging="360"/>
      <w:contextualSpacing/>
    </w:pPr>
  </w:style>
  <w:style w:type="paragraph" w:styleId="List3">
    <w:name w:val="List 3"/>
    <w:basedOn w:val="Normal"/>
    <w:uiPriority w:val="98"/>
    <w:qFormat/>
    <w:rsid w:val="00BC248C"/>
    <w:pPr>
      <w:numPr>
        <w:ilvl w:val="2"/>
        <w:numId w:val="5"/>
      </w:numPr>
      <w:spacing w:after="200"/>
      <w:ind w:left="2727" w:hanging="360"/>
      <w:contextualSpacing/>
    </w:pPr>
  </w:style>
  <w:style w:type="paragraph" w:styleId="List4">
    <w:name w:val="List 4"/>
    <w:basedOn w:val="Normal"/>
    <w:uiPriority w:val="98"/>
    <w:qFormat/>
    <w:rsid w:val="00BC248C"/>
    <w:pPr>
      <w:numPr>
        <w:ilvl w:val="3"/>
        <w:numId w:val="5"/>
      </w:numPr>
      <w:spacing w:after="200"/>
      <w:ind w:left="3447" w:hanging="360"/>
      <w:contextualSpacing/>
    </w:pPr>
  </w:style>
  <w:style w:type="paragraph" w:styleId="ListNumber">
    <w:name w:val="List Number"/>
    <w:basedOn w:val="Normal"/>
    <w:uiPriority w:val="98"/>
    <w:qFormat/>
    <w:rsid w:val="00276047"/>
    <w:pPr>
      <w:numPr>
        <w:numId w:val="2"/>
      </w:numPr>
      <w:spacing w:after="200"/>
      <w:ind w:left="360" w:hanging="360"/>
      <w:contextualSpacing/>
    </w:pPr>
  </w:style>
  <w:style w:type="paragraph" w:styleId="ListNumber2">
    <w:name w:val="List Number 2"/>
    <w:basedOn w:val="Normal"/>
    <w:uiPriority w:val="98"/>
    <w:qFormat/>
    <w:rsid w:val="00276047"/>
    <w:pPr>
      <w:numPr>
        <w:ilvl w:val="1"/>
        <w:numId w:val="2"/>
      </w:numPr>
      <w:spacing w:after="200"/>
      <w:ind w:left="284" w:firstLine="283"/>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ind w:left="567" w:firstLine="284"/>
      <w:contextualSpacing/>
    </w:pPr>
  </w:style>
  <w:style w:type="paragraph" w:styleId="ListNumber4">
    <w:name w:val="List Number 4"/>
    <w:basedOn w:val="Normal"/>
    <w:uiPriority w:val="98"/>
    <w:qFormat/>
    <w:rsid w:val="0012343A"/>
    <w:pPr>
      <w:numPr>
        <w:ilvl w:val="3"/>
        <w:numId w:val="2"/>
      </w:numPr>
      <w:spacing w:after="200"/>
      <w:ind w:left="851" w:firstLine="283"/>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734123"/>
    <w:pPr>
      <w:spacing w:before="200"/>
      <w:ind w:left="864" w:right="864"/>
      <w:jc w:val="center"/>
    </w:pPr>
    <w:rPr>
      <w:iCs/>
      <w:color w:val="757679"/>
    </w:rPr>
  </w:style>
  <w:style w:type="character" w:customStyle="1" w:styleId="QuoteChar">
    <w:name w:val="Quote Char"/>
    <w:basedOn w:val="DefaultParagraphFont"/>
    <w:link w:val="Quote"/>
    <w:uiPriority w:val="29"/>
    <w:rsid w:val="00734123"/>
    <w:rPr>
      <w:iCs/>
      <w:color w:val="75767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6E20C8"/>
    <w:pPr>
      <w:tabs>
        <w:tab w:val="right" w:leader="dot" w:pos="9015"/>
      </w:tabs>
      <w:spacing w:before="120" w:after="0"/>
    </w:pPr>
    <w:rPr>
      <w:rFonts w:cstheme="minorHAnsi"/>
      <w:b/>
      <w:bCs/>
      <w:i/>
      <w:iCs/>
      <w:sz w:val="24"/>
      <w:szCs w:val="24"/>
    </w:rPr>
  </w:style>
  <w:style w:type="paragraph" w:styleId="TOC2">
    <w:name w:val="toc 2"/>
    <w:basedOn w:val="Normal"/>
    <w:next w:val="Normal"/>
    <w:autoRedefine/>
    <w:uiPriority w:val="39"/>
    <w:unhideWhenUsed/>
    <w:rsid w:val="007F0867"/>
    <w:pPr>
      <w:spacing w:before="120" w:after="0"/>
      <w:ind w:left="220"/>
    </w:pPr>
    <w:rPr>
      <w:rFonts w:cstheme="minorHAnsi"/>
      <w:b/>
      <w:bCs/>
    </w:rPr>
  </w:style>
  <w:style w:type="paragraph" w:styleId="TOC3">
    <w:name w:val="toc 3"/>
    <w:basedOn w:val="Normal"/>
    <w:next w:val="Normal"/>
    <w:autoRedefine/>
    <w:uiPriority w:val="39"/>
    <w:unhideWhenUsed/>
    <w:rsid w:val="001824AB"/>
    <w:pPr>
      <w:tabs>
        <w:tab w:val="right" w:leader="dot" w:pos="9016"/>
      </w:tabs>
      <w:spacing w:after="0"/>
      <w:ind w:left="440"/>
    </w:pPr>
    <w:rPr>
      <w:rFonts w:cstheme="minorHAnsi"/>
      <w:sz w:val="20"/>
      <w:szCs w:val="20"/>
    </w:r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paragraph" w:styleId="Title">
    <w:name w:val="Title"/>
    <w:basedOn w:val="Normal"/>
    <w:next w:val="Normal"/>
    <w:link w:val="TitleChar"/>
    <w:uiPriority w:val="7"/>
    <w:qFormat/>
    <w:rsid w:val="0087224A"/>
    <w:pPr>
      <w:spacing w:before="1080" w:after="0" w:line="276" w:lineRule="auto"/>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7"/>
    <w:rsid w:val="0087224A"/>
    <w:rPr>
      <w:rFonts w:ascii="Calibri" w:eastAsiaTheme="majorEastAsia" w:hAnsi="Calibri" w:cstheme="majorBidi"/>
      <w:b/>
      <w:color w:val="002D3F"/>
      <w:spacing w:val="-10"/>
      <w:kern w:val="28"/>
      <w:sz w:val="60"/>
      <w:szCs w:val="56"/>
    </w:rPr>
  </w:style>
  <w:style w:type="paragraph" w:styleId="ListParagraph">
    <w:name w:val="List Paragraph"/>
    <w:aliases w:val="Bullet Point,Bullet point,Recommendation,L,List Paragraph1,List Paragraph11,List Paragraph2,bullet point list,F5 List Paragraph,Dot pt,CV text,Table text,List Paragraph111,Medium Grid 1 - Accent 21,Numbered Paragraph,Bulleted Para,b,Bulle"/>
    <w:basedOn w:val="Normal"/>
    <w:link w:val="ListParagraphChar"/>
    <w:uiPriority w:val="34"/>
    <w:qFormat/>
    <w:rsid w:val="0087224A"/>
    <w:pPr>
      <w:spacing w:after="200" w:line="360" w:lineRule="auto"/>
      <w:ind w:left="720"/>
      <w:contextualSpacing/>
    </w:pPr>
  </w:style>
  <w:style w:type="table" w:styleId="TableGridLight">
    <w:name w:val="Grid Table Light"/>
    <w:basedOn w:val="TableNormal"/>
    <w:uiPriority w:val="40"/>
    <w:rsid w:val="0087224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Bullet Point Char,Bullet point Char,Recommendation Char,L Char,List Paragraph1 Char,List Paragraph11 Char,List Paragraph2 Char,bullet point list Char,F5 List Paragraph Char,Dot pt Char,CV text Char,Table text Char,Bulleted Para Char"/>
    <w:basedOn w:val="DefaultParagraphFont"/>
    <w:link w:val="ListParagraph"/>
    <w:uiPriority w:val="34"/>
    <w:qFormat/>
    <w:locked/>
    <w:rsid w:val="0087224A"/>
  </w:style>
  <w:style w:type="paragraph" w:customStyle="1" w:styleId="xmsolistparagraph">
    <w:name w:val="x_msolistparagraph"/>
    <w:basedOn w:val="Normal"/>
    <w:rsid w:val="0087224A"/>
    <w:pPr>
      <w:spacing w:after="0" w:line="240" w:lineRule="auto"/>
      <w:ind w:left="720"/>
    </w:pPr>
    <w:rPr>
      <w:rFonts w:ascii="Calibri" w:hAnsi="Calibri" w:cs="Calibri"/>
      <w:lang w:eastAsia="en-AU"/>
    </w:rPr>
  </w:style>
  <w:style w:type="paragraph" w:styleId="FootnoteText">
    <w:name w:val="footnote text"/>
    <w:basedOn w:val="Normal"/>
    <w:link w:val="FootnoteTextChar"/>
    <w:uiPriority w:val="99"/>
    <w:unhideWhenUsed/>
    <w:qFormat/>
    <w:rsid w:val="000A1F40"/>
    <w:pPr>
      <w:spacing w:after="0" w:line="240" w:lineRule="auto"/>
    </w:pPr>
    <w:rPr>
      <w:sz w:val="20"/>
      <w:szCs w:val="20"/>
    </w:rPr>
  </w:style>
  <w:style w:type="character" w:customStyle="1" w:styleId="FootnoteTextChar">
    <w:name w:val="Footnote Text Char"/>
    <w:basedOn w:val="DefaultParagraphFont"/>
    <w:link w:val="FootnoteText"/>
    <w:uiPriority w:val="99"/>
    <w:rsid w:val="000A1F40"/>
    <w:rPr>
      <w:sz w:val="20"/>
      <w:szCs w:val="20"/>
    </w:rPr>
  </w:style>
  <w:style w:type="character" w:styleId="FootnoteReference">
    <w:name w:val="footnote reference"/>
    <w:basedOn w:val="DefaultParagraphFont"/>
    <w:uiPriority w:val="99"/>
    <w:unhideWhenUsed/>
    <w:rsid w:val="000A1F40"/>
    <w:rPr>
      <w:vertAlign w:val="superscript"/>
    </w:rPr>
  </w:style>
  <w:style w:type="character" w:styleId="CommentReference">
    <w:name w:val="annotation reference"/>
    <w:basedOn w:val="DefaultParagraphFont"/>
    <w:uiPriority w:val="99"/>
    <w:semiHidden/>
    <w:unhideWhenUsed/>
    <w:rsid w:val="003B5FB5"/>
    <w:rPr>
      <w:sz w:val="16"/>
      <w:szCs w:val="16"/>
    </w:rPr>
  </w:style>
  <w:style w:type="paragraph" w:styleId="CommentText">
    <w:name w:val="annotation text"/>
    <w:basedOn w:val="Normal"/>
    <w:link w:val="CommentTextChar"/>
    <w:uiPriority w:val="99"/>
    <w:unhideWhenUsed/>
    <w:rsid w:val="003B5FB5"/>
    <w:pPr>
      <w:spacing w:line="240" w:lineRule="auto"/>
    </w:pPr>
    <w:rPr>
      <w:sz w:val="20"/>
      <w:szCs w:val="20"/>
    </w:rPr>
  </w:style>
  <w:style w:type="character" w:customStyle="1" w:styleId="CommentTextChar">
    <w:name w:val="Comment Text Char"/>
    <w:basedOn w:val="DefaultParagraphFont"/>
    <w:link w:val="CommentText"/>
    <w:uiPriority w:val="99"/>
    <w:rsid w:val="003B5FB5"/>
    <w:rPr>
      <w:sz w:val="20"/>
      <w:szCs w:val="20"/>
    </w:rPr>
  </w:style>
  <w:style w:type="paragraph" w:styleId="CommentSubject">
    <w:name w:val="annotation subject"/>
    <w:basedOn w:val="CommentText"/>
    <w:next w:val="CommentText"/>
    <w:link w:val="CommentSubjectChar"/>
    <w:uiPriority w:val="99"/>
    <w:semiHidden/>
    <w:unhideWhenUsed/>
    <w:rsid w:val="003B5FB5"/>
    <w:rPr>
      <w:b/>
      <w:bCs/>
    </w:rPr>
  </w:style>
  <w:style w:type="character" w:customStyle="1" w:styleId="CommentSubjectChar">
    <w:name w:val="Comment Subject Char"/>
    <w:basedOn w:val="CommentTextChar"/>
    <w:link w:val="CommentSubject"/>
    <w:uiPriority w:val="99"/>
    <w:semiHidden/>
    <w:rsid w:val="003B5FB5"/>
    <w:rPr>
      <w:b/>
      <w:bCs/>
      <w:sz w:val="20"/>
      <w:szCs w:val="20"/>
    </w:rPr>
  </w:style>
  <w:style w:type="paragraph" w:customStyle="1" w:styleId="subsection">
    <w:name w:val="subsection"/>
    <w:basedOn w:val="Normal"/>
    <w:rsid w:val="00C015B2"/>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Heading2-LettertotheMinister">
    <w:name w:val="Heading 2 - Letter to the Minister"/>
    <w:basedOn w:val="Heading2"/>
    <w:qFormat/>
    <w:rsid w:val="006E20C8"/>
    <w:pPr>
      <w:spacing w:after="0"/>
    </w:pPr>
    <w:rPr>
      <w:rFonts w:eastAsia="Times New Roman"/>
      <w:color w:val="FFFFFF" w:themeColor="background1"/>
      <w:sz w:val="4"/>
      <w:szCs w:val="4"/>
    </w:rPr>
  </w:style>
  <w:style w:type="paragraph" w:styleId="Revision">
    <w:name w:val="Revision"/>
    <w:hidden/>
    <w:uiPriority w:val="99"/>
    <w:semiHidden/>
    <w:rsid w:val="00A94548"/>
    <w:pPr>
      <w:spacing w:after="0" w:line="240" w:lineRule="auto"/>
    </w:pPr>
  </w:style>
  <w:style w:type="character" w:customStyle="1" w:styleId="normaltextrun">
    <w:name w:val="normaltextrun"/>
    <w:basedOn w:val="DefaultParagraphFont"/>
    <w:rsid w:val="00B15370"/>
  </w:style>
  <w:style w:type="character" w:customStyle="1" w:styleId="eop">
    <w:name w:val="eop"/>
    <w:basedOn w:val="DefaultParagraphFont"/>
    <w:rsid w:val="0088424F"/>
  </w:style>
  <w:style w:type="character" w:customStyle="1" w:styleId="ui-provider">
    <w:name w:val="ui-provider"/>
    <w:basedOn w:val="DefaultParagraphFont"/>
    <w:rsid w:val="00125263"/>
  </w:style>
  <w:style w:type="paragraph" w:customStyle="1" w:styleId="pf0">
    <w:name w:val="pf0"/>
    <w:basedOn w:val="Normal"/>
    <w:rsid w:val="000E06F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0E06F9"/>
    <w:rPr>
      <w:rFonts w:ascii="Segoe UI" w:hAnsi="Segoe UI" w:cs="Segoe UI" w:hint="default"/>
      <w:sz w:val="18"/>
      <w:szCs w:val="18"/>
    </w:rPr>
  </w:style>
  <w:style w:type="character" w:styleId="Mention">
    <w:name w:val="Mention"/>
    <w:basedOn w:val="DefaultParagraphFont"/>
    <w:uiPriority w:val="99"/>
    <w:unhideWhenUsed/>
    <w:rsid w:val="00E44319"/>
    <w:rPr>
      <w:color w:val="2B579A"/>
      <w:shd w:val="clear" w:color="auto" w:fill="E1DFDD"/>
    </w:rPr>
  </w:style>
  <w:style w:type="character" w:styleId="FollowedHyperlink">
    <w:name w:val="FollowedHyperlink"/>
    <w:basedOn w:val="DefaultParagraphFont"/>
    <w:uiPriority w:val="99"/>
    <w:semiHidden/>
    <w:unhideWhenUsed/>
    <w:rsid w:val="00A83EFB"/>
    <w:rPr>
      <w:color w:val="CE372F" w:themeColor="followedHyperlink"/>
      <w:u w:val="single"/>
    </w:rPr>
  </w:style>
  <w:style w:type="character" w:customStyle="1" w:styleId="cf11">
    <w:name w:val="cf11"/>
    <w:basedOn w:val="DefaultParagraphFont"/>
    <w:rsid w:val="001C0721"/>
    <w:rPr>
      <w:rFonts w:ascii="Segoe UI" w:hAnsi="Segoe UI" w:cs="Segoe UI" w:hint="default"/>
      <w:sz w:val="18"/>
      <w:szCs w:val="18"/>
      <w:shd w:val="clear" w:color="auto" w:fill="FFFFFF"/>
    </w:rPr>
  </w:style>
  <w:style w:type="character" w:customStyle="1" w:styleId="superscript">
    <w:name w:val="superscript"/>
    <w:basedOn w:val="DefaultParagraphFont"/>
    <w:rsid w:val="00ED0CD0"/>
  </w:style>
  <w:style w:type="paragraph" w:styleId="NoSpacing">
    <w:name w:val="No Spacing"/>
    <w:link w:val="NoSpacingChar"/>
    <w:uiPriority w:val="1"/>
    <w:qFormat/>
    <w:rsid w:val="0015541B"/>
    <w:pPr>
      <w:spacing w:after="0" w:line="240" w:lineRule="auto"/>
    </w:pPr>
  </w:style>
  <w:style w:type="paragraph" w:styleId="NormalWeb">
    <w:name w:val="Normal (Web)"/>
    <w:basedOn w:val="Normal"/>
    <w:uiPriority w:val="99"/>
    <w:unhideWhenUsed/>
    <w:rsid w:val="008766B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ubtleEmphasis">
    <w:name w:val="Subtle Emphasis"/>
    <w:basedOn w:val="DefaultParagraphFont"/>
    <w:uiPriority w:val="19"/>
    <w:qFormat/>
    <w:rsid w:val="008B1A15"/>
    <w:rPr>
      <w:i/>
      <w:iCs/>
      <w:color w:val="404040" w:themeColor="text1" w:themeTint="BF"/>
    </w:rPr>
  </w:style>
  <w:style w:type="character" w:styleId="Emphasis">
    <w:name w:val="Emphasis"/>
    <w:basedOn w:val="DefaultParagraphFont"/>
    <w:uiPriority w:val="20"/>
    <w:qFormat/>
    <w:rsid w:val="00145E3C"/>
    <w:rPr>
      <w:i/>
      <w:iCs/>
    </w:rPr>
  </w:style>
  <w:style w:type="character" w:customStyle="1" w:styleId="BoxTextChar">
    <w:name w:val="Box Text Char"/>
    <w:basedOn w:val="DefaultParagraphFont"/>
    <w:link w:val="BoxText"/>
    <w:locked/>
    <w:rsid w:val="00AF746C"/>
    <w:rPr>
      <w:rFonts w:ascii="Calibri Light" w:hAnsi="Calibri Light" w:cs="Calibri Light"/>
      <w:color w:val="4472C4"/>
    </w:rPr>
  </w:style>
  <w:style w:type="paragraph" w:customStyle="1" w:styleId="BoxText">
    <w:name w:val="Box Text"/>
    <w:basedOn w:val="Normal"/>
    <w:link w:val="BoxTextChar"/>
    <w:rsid w:val="00AF746C"/>
    <w:pPr>
      <w:spacing w:before="120" w:after="120" w:line="240" w:lineRule="auto"/>
    </w:pPr>
    <w:rPr>
      <w:rFonts w:ascii="Calibri Light" w:hAnsi="Calibri Light" w:cs="Calibri Light"/>
      <w:color w:val="4472C4"/>
    </w:rPr>
  </w:style>
  <w:style w:type="paragraph" w:customStyle="1" w:styleId="xmsonormal">
    <w:name w:val="x_msonormal"/>
    <w:basedOn w:val="Normal"/>
    <w:rsid w:val="00980179"/>
    <w:pPr>
      <w:spacing w:after="0" w:line="240" w:lineRule="auto"/>
    </w:pPr>
    <w:rPr>
      <w:rFonts w:ascii="Calibri" w:hAnsi="Calibri" w:cs="Calibri"/>
      <w:sz w:val="24"/>
      <w:szCs w:val="24"/>
      <w:lang w:eastAsia="en-AU"/>
    </w:rPr>
  </w:style>
  <w:style w:type="character" w:styleId="PageNumber">
    <w:name w:val="page number"/>
    <w:basedOn w:val="DefaultParagraphFont"/>
    <w:uiPriority w:val="99"/>
    <w:semiHidden/>
    <w:unhideWhenUsed/>
    <w:rsid w:val="00980179"/>
  </w:style>
  <w:style w:type="character" w:customStyle="1" w:styleId="authors">
    <w:name w:val="authors"/>
    <w:basedOn w:val="DefaultParagraphFont"/>
    <w:rsid w:val="00980179"/>
  </w:style>
  <w:style w:type="character" w:customStyle="1" w:styleId="arttitle">
    <w:name w:val="art_title"/>
    <w:basedOn w:val="DefaultParagraphFont"/>
    <w:rsid w:val="00980179"/>
  </w:style>
  <w:style w:type="character" w:customStyle="1" w:styleId="serialtitle">
    <w:name w:val="serial_title"/>
    <w:basedOn w:val="DefaultParagraphFont"/>
    <w:rsid w:val="00980179"/>
  </w:style>
  <w:style w:type="character" w:customStyle="1" w:styleId="volumeissue">
    <w:name w:val="volume_issue"/>
    <w:basedOn w:val="DefaultParagraphFont"/>
    <w:rsid w:val="00980179"/>
  </w:style>
  <w:style w:type="character" w:customStyle="1" w:styleId="pagerange">
    <w:name w:val="page_range"/>
    <w:basedOn w:val="DefaultParagraphFont"/>
    <w:rsid w:val="00980179"/>
  </w:style>
  <w:style w:type="character" w:customStyle="1" w:styleId="doilink">
    <w:name w:val="doi_link"/>
    <w:basedOn w:val="DefaultParagraphFont"/>
    <w:rsid w:val="00980179"/>
  </w:style>
  <w:style w:type="character" w:customStyle="1" w:styleId="Date1">
    <w:name w:val="Date1"/>
    <w:basedOn w:val="DefaultParagraphFont"/>
    <w:rsid w:val="00980179"/>
  </w:style>
  <w:style w:type="character" w:customStyle="1" w:styleId="QuoteChar1">
    <w:name w:val="Quote Char1"/>
    <w:basedOn w:val="DefaultParagraphFont"/>
    <w:uiPriority w:val="29"/>
    <w:rsid w:val="00980179"/>
    <w:rPr>
      <w:i/>
      <w:iCs/>
      <w:color w:val="404040" w:themeColor="text1" w:themeTint="BF"/>
    </w:rPr>
  </w:style>
  <w:style w:type="paragraph" w:styleId="TOC4">
    <w:name w:val="toc 4"/>
    <w:basedOn w:val="Normal"/>
    <w:next w:val="Normal"/>
    <w:autoRedefine/>
    <w:uiPriority w:val="39"/>
    <w:unhideWhenUsed/>
    <w:rsid w:val="003462A4"/>
    <w:pPr>
      <w:spacing w:after="0"/>
      <w:ind w:left="660"/>
    </w:pPr>
    <w:rPr>
      <w:rFonts w:cstheme="minorHAnsi"/>
      <w:sz w:val="20"/>
      <w:szCs w:val="20"/>
    </w:rPr>
  </w:style>
  <w:style w:type="paragraph" w:styleId="TOC5">
    <w:name w:val="toc 5"/>
    <w:basedOn w:val="Normal"/>
    <w:next w:val="Normal"/>
    <w:autoRedefine/>
    <w:uiPriority w:val="39"/>
    <w:unhideWhenUsed/>
    <w:rsid w:val="003462A4"/>
    <w:pPr>
      <w:spacing w:after="0"/>
      <w:ind w:left="880"/>
    </w:pPr>
    <w:rPr>
      <w:rFonts w:cstheme="minorHAnsi"/>
      <w:sz w:val="20"/>
      <w:szCs w:val="20"/>
    </w:rPr>
  </w:style>
  <w:style w:type="paragraph" w:styleId="TOC6">
    <w:name w:val="toc 6"/>
    <w:basedOn w:val="Normal"/>
    <w:next w:val="Normal"/>
    <w:autoRedefine/>
    <w:uiPriority w:val="39"/>
    <w:unhideWhenUsed/>
    <w:rsid w:val="003462A4"/>
    <w:pPr>
      <w:spacing w:after="0"/>
      <w:ind w:left="1100"/>
    </w:pPr>
    <w:rPr>
      <w:rFonts w:cstheme="minorHAnsi"/>
      <w:sz w:val="20"/>
      <w:szCs w:val="20"/>
    </w:rPr>
  </w:style>
  <w:style w:type="paragraph" w:styleId="TOC7">
    <w:name w:val="toc 7"/>
    <w:basedOn w:val="Normal"/>
    <w:next w:val="Normal"/>
    <w:autoRedefine/>
    <w:uiPriority w:val="39"/>
    <w:unhideWhenUsed/>
    <w:rsid w:val="003462A4"/>
    <w:pPr>
      <w:spacing w:after="0"/>
      <w:ind w:left="1320"/>
    </w:pPr>
    <w:rPr>
      <w:rFonts w:cstheme="minorHAnsi"/>
      <w:sz w:val="20"/>
      <w:szCs w:val="20"/>
    </w:rPr>
  </w:style>
  <w:style w:type="paragraph" w:styleId="TOC8">
    <w:name w:val="toc 8"/>
    <w:basedOn w:val="Normal"/>
    <w:next w:val="Normal"/>
    <w:autoRedefine/>
    <w:uiPriority w:val="39"/>
    <w:unhideWhenUsed/>
    <w:rsid w:val="003462A4"/>
    <w:pPr>
      <w:spacing w:after="0"/>
      <w:ind w:left="1540"/>
    </w:pPr>
    <w:rPr>
      <w:rFonts w:cstheme="minorHAnsi"/>
      <w:sz w:val="20"/>
      <w:szCs w:val="20"/>
    </w:rPr>
  </w:style>
  <w:style w:type="paragraph" w:styleId="TOC9">
    <w:name w:val="toc 9"/>
    <w:basedOn w:val="Normal"/>
    <w:next w:val="Normal"/>
    <w:autoRedefine/>
    <w:uiPriority w:val="39"/>
    <w:unhideWhenUsed/>
    <w:rsid w:val="003462A4"/>
    <w:pPr>
      <w:spacing w:after="0"/>
      <w:ind w:left="1760"/>
    </w:pPr>
    <w:rPr>
      <w:rFonts w:cstheme="minorHAnsi"/>
      <w:sz w:val="20"/>
      <w:szCs w:val="20"/>
    </w:rPr>
  </w:style>
  <w:style w:type="character" w:styleId="HTMLCite">
    <w:name w:val="HTML Cite"/>
    <w:basedOn w:val="DefaultParagraphFont"/>
    <w:uiPriority w:val="99"/>
    <w:semiHidden/>
    <w:unhideWhenUsed/>
    <w:rsid w:val="0018400A"/>
    <w:rPr>
      <w:i/>
      <w:iCs/>
    </w:rPr>
  </w:style>
  <w:style w:type="character" w:customStyle="1" w:styleId="apx8vc">
    <w:name w:val="apx8vc"/>
    <w:basedOn w:val="DefaultParagraphFont"/>
    <w:rsid w:val="0018400A"/>
  </w:style>
  <w:style w:type="character" w:customStyle="1" w:styleId="contentpasted0">
    <w:name w:val="contentpasted0"/>
    <w:basedOn w:val="DefaultParagraphFont"/>
    <w:rsid w:val="004D44F9"/>
  </w:style>
  <w:style w:type="character" w:customStyle="1" w:styleId="reference-accessdate">
    <w:name w:val="reference-accessdate"/>
    <w:basedOn w:val="DefaultParagraphFont"/>
    <w:rsid w:val="008D7DCD"/>
  </w:style>
  <w:style w:type="character" w:customStyle="1" w:styleId="nowrap">
    <w:name w:val="nowrap"/>
    <w:basedOn w:val="DefaultParagraphFont"/>
    <w:rsid w:val="008D7DCD"/>
  </w:style>
  <w:style w:type="character" w:customStyle="1" w:styleId="CABNETParagraphChar">
    <w:name w:val="CABNET Paragraph. Char"/>
    <w:basedOn w:val="DefaultParagraphFont"/>
    <w:link w:val="CABNETParagraph"/>
    <w:uiPriority w:val="98"/>
    <w:locked/>
    <w:rsid w:val="005A03BA"/>
    <w:rPr>
      <w:rFonts w:ascii="Arial" w:hAnsi="Arial" w:cstheme="minorHAnsi"/>
    </w:rPr>
  </w:style>
  <w:style w:type="paragraph" w:customStyle="1" w:styleId="CABNETParagraph">
    <w:name w:val="CABNET Paragraph."/>
    <w:basedOn w:val="Normal"/>
    <w:link w:val="CABNETParagraphChar"/>
    <w:uiPriority w:val="98"/>
    <w:qFormat/>
    <w:rsid w:val="005A03BA"/>
    <w:pPr>
      <w:spacing w:before="120" w:after="120" w:line="240" w:lineRule="auto"/>
    </w:pPr>
    <w:rPr>
      <w:rFonts w:ascii="Arial" w:hAnsi="Arial" w:cstheme="minorHAnsi"/>
    </w:rPr>
  </w:style>
  <w:style w:type="character" w:customStyle="1" w:styleId="msoins0">
    <w:name w:val="msoins"/>
    <w:basedOn w:val="DefaultParagraphFont"/>
    <w:rsid w:val="00231C25"/>
  </w:style>
  <w:style w:type="character" w:customStyle="1" w:styleId="msodel0">
    <w:name w:val="msodel"/>
    <w:basedOn w:val="DefaultParagraphFont"/>
    <w:rsid w:val="00231C25"/>
  </w:style>
  <w:style w:type="character" w:customStyle="1" w:styleId="NoSpacingChar">
    <w:name w:val="No Spacing Char"/>
    <w:basedOn w:val="DefaultParagraphFont"/>
    <w:link w:val="NoSpacing"/>
    <w:uiPriority w:val="1"/>
    <w:rsid w:val="000F5DA3"/>
  </w:style>
  <w:style w:type="table" w:styleId="GridTable1Light-Accent6">
    <w:name w:val="Grid Table 1 Light Accent 6"/>
    <w:basedOn w:val="TableGrid"/>
    <w:uiPriority w:val="46"/>
    <w:rsid w:val="00D71585"/>
    <w:pPr>
      <w:spacing w:before="240" w:after="240"/>
    </w:pPr>
    <w:tblPr>
      <w:tblStyleRowBandSize w:val="1"/>
      <w:tblStyleColBandSize w:val="1"/>
      <w:tblBorders>
        <w:top w:val="single" w:sz="24" w:space="0" w:color="F99D2A" w:themeColor="accent6"/>
        <w:left w:val="single" w:sz="24" w:space="0" w:color="F99D2A" w:themeColor="accent6"/>
        <w:bottom w:val="single" w:sz="24" w:space="0" w:color="F99D2A" w:themeColor="accent6"/>
        <w:right w:val="single" w:sz="24" w:space="0" w:color="F99D2A" w:themeColor="accent6"/>
        <w:insideH w:val="none" w:sz="0" w:space="0" w:color="auto"/>
        <w:insideV w:val="none" w:sz="0" w:space="0" w:color="auto"/>
      </w:tblBorders>
    </w:tblPr>
    <w:trPr>
      <w:cantSplit/>
    </w:trPr>
    <w:tcPr>
      <w:vAlign w:val="center"/>
    </w:tcPr>
    <w:tblStylePr w:type="firstRow">
      <w:rPr>
        <w:b/>
        <w:bCs/>
      </w:rPr>
      <w:tblPr/>
      <w:tcPr>
        <w:tcBorders>
          <w:bottom w:val="single" w:sz="12" w:space="0" w:color="FBC37E" w:themeColor="accent6" w:themeTint="99"/>
        </w:tcBorders>
      </w:tcPr>
    </w:tblStylePr>
    <w:tblStylePr w:type="lastRow">
      <w:rPr>
        <w:b/>
        <w:bCs/>
      </w:rPr>
      <w:tblPr/>
      <w:tcPr>
        <w:tcBorders>
          <w:top w:val="double" w:sz="2" w:space="0" w:color="FBC37E" w:themeColor="accent6" w:themeTint="99"/>
        </w:tcBorders>
      </w:tcPr>
    </w:tblStylePr>
    <w:tblStylePr w:type="firstCol">
      <w:rPr>
        <w:b/>
        <w:bCs/>
      </w:rPr>
    </w:tblStylePr>
    <w:tblStylePr w:type="lastCol">
      <w:rPr>
        <w:b/>
        <w:bCs/>
      </w:rPr>
    </w:tblStylePr>
  </w:style>
  <w:style w:type="table" w:styleId="ListTable3-Accent6">
    <w:name w:val="List Table 3 Accent 6"/>
    <w:basedOn w:val="TableNormal"/>
    <w:uiPriority w:val="48"/>
    <w:rsid w:val="00924ADD"/>
    <w:pPr>
      <w:spacing w:after="0" w:line="240" w:lineRule="auto"/>
    </w:pPr>
    <w:tblPr>
      <w:tblStyleRowBandSize w:val="1"/>
      <w:tblStyleColBandSize w:val="1"/>
      <w:tblBorders>
        <w:top w:val="single" w:sz="4" w:space="0" w:color="F99D2A" w:themeColor="accent6"/>
        <w:left w:val="single" w:sz="4" w:space="0" w:color="F99D2A" w:themeColor="accent6"/>
        <w:bottom w:val="single" w:sz="4" w:space="0" w:color="F99D2A" w:themeColor="accent6"/>
        <w:right w:val="single" w:sz="4" w:space="0" w:color="F99D2A" w:themeColor="accent6"/>
      </w:tblBorders>
    </w:tblPr>
    <w:tblStylePr w:type="firstRow">
      <w:rPr>
        <w:b/>
        <w:bCs/>
        <w:color w:val="FFFFFF" w:themeColor="background1"/>
      </w:rPr>
      <w:tblPr/>
      <w:tcPr>
        <w:shd w:val="clear" w:color="auto" w:fill="F99D2A" w:themeFill="accent6"/>
      </w:tcPr>
    </w:tblStylePr>
    <w:tblStylePr w:type="lastRow">
      <w:rPr>
        <w:b/>
        <w:bCs/>
      </w:rPr>
      <w:tblPr/>
      <w:tcPr>
        <w:tcBorders>
          <w:top w:val="double" w:sz="4" w:space="0" w:color="F99D2A"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99D2A" w:themeColor="accent6"/>
          <w:right w:val="single" w:sz="4" w:space="0" w:color="F99D2A" w:themeColor="accent6"/>
        </w:tcBorders>
      </w:tcPr>
    </w:tblStylePr>
    <w:tblStylePr w:type="band1Horz">
      <w:tblPr/>
      <w:tcPr>
        <w:tcBorders>
          <w:top w:val="single" w:sz="4" w:space="0" w:color="F99D2A" w:themeColor="accent6"/>
          <w:bottom w:val="single" w:sz="4" w:space="0" w:color="F99D2A"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99D2A" w:themeColor="accent6"/>
          <w:left w:val="nil"/>
        </w:tcBorders>
      </w:tcPr>
    </w:tblStylePr>
    <w:tblStylePr w:type="swCell">
      <w:tblPr/>
      <w:tcPr>
        <w:tcBorders>
          <w:top w:val="double" w:sz="4" w:space="0" w:color="F99D2A" w:themeColor="accent6"/>
          <w:right w:val="nil"/>
        </w:tcBorders>
      </w:tcPr>
    </w:tblStylePr>
  </w:style>
  <w:style w:type="table" w:styleId="TableClassic1">
    <w:name w:val="Table Classic 1"/>
    <w:basedOn w:val="TableNormal"/>
    <w:uiPriority w:val="99"/>
    <w:semiHidden/>
    <w:unhideWhenUsed/>
    <w:rsid w:val="00924ADD"/>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stTable6Colorful-Accent6">
    <w:name w:val="List Table 6 Colorful Accent 6"/>
    <w:basedOn w:val="TableNormal"/>
    <w:uiPriority w:val="51"/>
    <w:rsid w:val="00924ADD"/>
    <w:pPr>
      <w:spacing w:after="0" w:line="240" w:lineRule="auto"/>
    </w:pPr>
    <w:rPr>
      <w:color w:val="D37706" w:themeColor="accent6" w:themeShade="BF"/>
    </w:rPr>
    <w:tblPr>
      <w:tblStyleRowBandSize w:val="1"/>
      <w:tblStyleColBandSize w:val="1"/>
    </w:tblPr>
    <w:tblStylePr w:type="firstRow">
      <w:rPr>
        <w:b/>
        <w:bCs/>
      </w:rPr>
      <w:tblPr/>
      <w:tcPr>
        <w:tcBorders>
          <w:bottom w:val="single" w:sz="4" w:space="0" w:color="F99D2A" w:themeColor="accent6"/>
        </w:tcBorders>
      </w:tcPr>
    </w:tblStylePr>
    <w:tblStylePr w:type="lastRow">
      <w:rPr>
        <w:b/>
        <w:bCs/>
      </w:rPr>
      <w:tblPr/>
      <w:tcPr>
        <w:tcBorders>
          <w:top w:val="double" w:sz="4" w:space="0" w:color="F99D2A" w:themeColor="accent6"/>
        </w:tcBorders>
      </w:tcPr>
    </w:tblStylePr>
    <w:tblStylePr w:type="firstCol">
      <w:rPr>
        <w:b/>
        <w:bCs/>
      </w:rPr>
    </w:tblStylePr>
    <w:tblStylePr w:type="lastCol">
      <w:rPr>
        <w:b/>
        <w:bCs/>
      </w:rPr>
    </w:tblStylePr>
    <w:tblStylePr w:type="band1Vert">
      <w:tblPr/>
      <w:tcPr>
        <w:shd w:val="clear" w:color="auto" w:fill="FDEBD4" w:themeFill="accent6" w:themeFillTint="33"/>
      </w:tcPr>
    </w:tblStylePr>
    <w:tblStylePr w:type="band1Horz">
      <w:tblPr/>
      <w:tcPr>
        <w:shd w:val="clear" w:color="auto" w:fill="FDEBD4" w:themeFill="accent6" w:themeFillTint="33"/>
      </w:tcPr>
    </w:tblStylePr>
  </w:style>
  <w:style w:type="table" w:styleId="ListTable7Colorful-Accent6">
    <w:name w:val="List Table 7 Colorful Accent 6"/>
    <w:basedOn w:val="TableNormal"/>
    <w:uiPriority w:val="52"/>
    <w:rsid w:val="00924ADD"/>
    <w:pPr>
      <w:spacing w:after="0" w:line="240" w:lineRule="auto"/>
    </w:pPr>
    <w:rPr>
      <w:color w:val="D37706"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99D2A"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99D2A"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99D2A"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99D2A" w:themeColor="accent6"/>
        </w:tcBorders>
        <w:shd w:val="clear" w:color="auto" w:fill="FFFFFF" w:themeFill="background1"/>
      </w:tcPr>
    </w:tblStylePr>
    <w:tblStylePr w:type="band1Vert">
      <w:tblPr/>
      <w:tcPr>
        <w:shd w:val="clear" w:color="auto" w:fill="FDEBD4" w:themeFill="accent6" w:themeFillTint="33"/>
      </w:tcPr>
    </w:tblStylePr>
    <w:tblStylePr w:type="band1Horz">
      <w:tblPr/>
      <w:tcPr>
        <w:shd w:val="clear" w:color="auto" w:fill="FDEBD4"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5Dark-Accent6">
    <w:name w:val="List Table 5 Dark Accent 6"/>
    <w:basedOn w:val="TableNormal"/>
    <w:uiPriority w:val="50"/>
    <w:rsid w:val="00924ADD"/>
    <w:pPr>
      <w:spacing w:after="0" w:line="240" w:lineRule="auto"/>
    </w:pPr>
    <w:rPr>
      <w:color w:val="FFFFFF" w:themeColor="background1"/>
    </w:rPr>
    <w:tblPr>
      <w:tblStyleRowBandSize w:val="1"/>
      <w:tblStyleColBandSize w:val="1"/>
      <w:tblBorders>
        <w:top w:val="single" w:sz="24" w:space="0" w:color="F99D2A" w:themeColor="accent6"/>
        <w:left w:val="single" w:sz="24" w:space="0" w:color="F99D2A" w:themeColor="accent6"/>
        <w:bottom w:val="single" w:sz="24" w:space="0" w:color="F99D2A" w:themeColor="accent6"/>
        <w:right w:val="single" w:sz="24" w:space="0" w:color="F99D2A" w:themeColor="accent6"/>
      </w:tblBorders>
    </w:tblPr>
    <w:tcPr>
      <w:shd w:val="clear" w:color="auto" w:fill="F99D2A"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ulloutboxes">
    <w:name w:val="Pull out boxes"/>
    <w:basedOn w:val="Normal"/>
    <w:qFormat/>
    <w:rsid w:val="002D7F91"/>
    <w:pPr>
      <w:pBdr>
        <w:top w:val="single" w:sz="6" w:space="8" w:color="F26423"/>
        <w:left w:val="single" w:sz="48" w:space="4" w:color="F26423"/>
        <w:bottom w:val="single" w:sz="6" w:space="8" w:color="F26423"/>
        <w:right w:val="single" w:sz="6" w:space="4" w:color="F26423"/>
      </w:pBdr>
      <w:spacing w:before="240" w:line="240" w:lineRule="auto"/>
      <w:ind w:left="210" w:right="210"/>
    </w:pPr>
    <w:rPr>
      <w:rFonts w:ascii="Calibri" w:hAnsi="Calibri" w:cs="Calibri"/>
      <w:color w:val="000000" w:themeColor="text1"/>
    </w:rPr>
  </w:style>
  <w:style w:type="paragraph" w:customStyle="1" w:styleId="PriorityAction-Heading5">
    <w:name w:val="Priority Action - Heading 5"/>
    <w:basedOn w:val="Heading5"/>
    <w:qFormat/>
    <w:rsid w:val="00547E97"/>
    <w:pPr>
      <w:pBdr>
        <w:top w:val="single" w:sz="48" w:space="1" w:color="FFF4ED"/>
        <w:left w:val="single" w:sz="48" w:space="4" w:color="FFF4ED"/>
        <w:bottom w:val="single" w:sz="48" w:space="1" w:color="FFF4ED"/>
        <w:right w:val="single" w:sz="48" w:space="4" w:color="FFF4ED"/>
      </w:pBdr>
      <w:shd w:val="clear" w:color="FCD7A9" w:themeColor="accent6" w:themeTint="66" w:fill="FFF4ED"/>
      <w:spacing w:after="160" w:line="240" w:lineRule="auto"/>
      <w:ind w:left="210" w:right="210"/>
    </w:pPr>
    <w:rPr>
      <w:rFonts w:asciiTheme="minorHAnsi" w:hAnsiTheme="minorHAnsi"/>
      <w:color w:val="CF531C"/>
      <w:sz w:val="32"/>
    </w:rPr>
  </w:style>
  <w:style w:type="paragraph" w:customStyle="1" w:styleId="Considerations">
    <w:name w:val="Considerations"/>
    <w:basedOn w:val="Normal"/>
    <w:qFormat/>
    <w:rsid w:val="00D27B4C"/>
    <w:pPr>
      <w:pBdr>
        <w:top w:val="single" w:sz="48" w:space="1" w:color="E5EAF2"/>
        <w:left w:val="single" w:sz="48" w:space="4" w:color="E5EAF2"/>
        <w:bottom w:val="single" w:sz="48" w:space="1" w:color="E5EAF2"/>
        <w:right w:val="single" w:sz="48" w:space="4" w:color="E5EAF2"/>
      </w:pBdr>
      <w:shd w:val="clear" w:color="D2E8FF" w:fill="E5EAF2"/>
      <w:spacing w:after="0" w:line="240" w:lineRule="auto"/>
      <w:ind w:left="210" w:right="210"/>
    </w:pPr>
    <w:rPr>
      <w:rFonts w:ascii="Calibri" w:eastAsia="Calibri" w:hAnsi="Calibri" w:cs="Calibri"/>
    </w:rPr>
  </w:style>
  <w:style w:type="paragraph" w:customStyle="1" w:styleId="Casestudy">
    <w:name w:val="Case study"/>
    <w:basedOn w:val="Normal"/>
    <w:qFormat/>
    <w:rsid w:val="00FD482C"/>
    <w:pPr>
      <w:shd w:val="solid" w:color="D9D9D9" w:themeColor="background1" w:themeShade="D9" w:fill="D9D9D9" w:themeFill="background1" w:themeFillShade="D9"/>
    </w:pPr>
  </w:style>
  <w:style w:type="paragraph" w:customStyle="1" w:styleId="Immediateaction">
    <w:name w:val="Immediate action"/>
    <w:basedOn w:val="Normal"/>
    <w:qFormat/>
    <w:rsid w:val="00E74934"/>
    <w:pPr>
      <w:shd w:val="clear" w:color="FCDFDF" w:themeColor="accent5" w:themeTint="33" w:fill="auto"/>
    </w:pPr>
    <w:rPr>
      <w:b/>
      <w:color w:val="CF531C"/>
      <w:sz w:val="28"/>
    </w:rPr>
  </w:style>
  <w:style w:type="paragraph" w:customStyle="1" w:styleId="Spotlight">
    <w:name w:val="Spotlight"/>
    <w:basedOn w:val="Casestudy"/>
    <w:qFormat/>
    <w:rsid w:val="00BC1824"/>
    <w:pPr>
      <w:shd w:val="solid" w:color="DAF2EF" w:themeColor="accent4" w:themeTint="33" w:fill="DAF2EF" w:themeFill="accent4" w:themeFillTint="33"/>
      <w:spacing w:before="120"/>
    </w:pPr>
    <w:rPr>
      <w:rFonts w:eastAsiaTheme="minorEastAsia"/>
      <w:bCs/>
      <w:spacing w:val="15"/>
      <w:szCs w:val="24"/>
    </w:rPr>
  </w:style>
  <w:style w:type="paragraph" w:customStyle="1" w:styleId="Spotlight2">
    <w:name w:val="Spotlight 2"/>
    <w:basedOn w:val="Casestudy"/>
    <w:qFormat/>
    <w:rsid w:val="00BC1824"/>
    <w:pPr>
      <w:shd w:val="solid" w:color="DAF2EF" w:themeColor="accent4" w:themeTint="33" w:fill="DAF2EF" w:themeFill="accent4" w:themeFillTint="33"/>
    </w:pPr>
  </w:style>
  <w:style w:type="table" w:customStyle="1" w:styleId="ImmediateAction0">
    <w:name w:val="Immediate Action"/>
    <w:basedOn w:val="TableNormal"/>
    <w:uiPriority w:val="99"/>
    <w:rsid w:val="00530711"/>
    <w:pPr>
      <w:spacing w:after="0" w:line="240" w:lineRule="auto"/>
    </w:pPr>
    <w:tblPr>
      <w:tblCellMar>
        <w:top w:w="113" w:type="dxa"/>
        <w:left w:w="210" w:type="dxa"/>
        <w:bottom w:w="113" w:type="dxa"/>
        <w:right w:w="210" w:type="dxa"/>
      </w:tblCellMar>
    </w:tblPr>
    <w:tcPr>
      <w:shd w:val="clear" w:color="auto" w:fill="FFF4ED"/>
    </w:tcPr>
  </w:style>
  <w:style w:type="paragraph" w:customStyle="1" w:styleId="ImmediateAction-Heading">
    <w:name w:val="Immediate Action - Heading"/>
    <w:basedOn w:val="Normal"/>
    <w:qFormat/>
    <w:rsid w:val="00E74934"/>
    <w:pPr>
      <w:spacing w:after="120" w:line="240" w:lineRule="auto"/>
    </w:pPr>
    <w:rPr>
      <w:b/>
      <w:color w:val="CF531C"/>
      <w:sz w:val="28"/>
    </w:rPr>
  </w:style>
  <w:style w:type="paragraph" w:customStyle="1" w:styleId="PriorityActions-Body">
    <w:name w:val="Priority Actions - Body"/>
    <w:basedOn w:val="Considerations"/>
    <w:qFormat/>
    <w:rsid w:val="00423FD0"/>
    <w:pPr>
      <w:pBdr>
        <w:top w:val="single" w:sz="48" w:space="1" w:color="FFF4ED"/>
        <w:left w:val="single" w:sz="48" w:space="4" w:color="FFF4ED"/>
        <w:bottom w:val="single" w:sz="48" w:space="1" w:color="FFF4ED"/>
        <w:right w:val="single" w:sz="48" w:space="4" w:color="FFF4ED"/>
      </w:pBdr>
      <w:shd w:val="clear" w:color="D2E8FF" w:fill="FFF4ED"/>
      <w:spacing w:after="240"/>
    </w:pPr>
    <w:rPr>
      <w:bCs/>
      <w:i/>
      <w:color w:val="000000" w:themeColor="text1"/>
    </w:rPr>
  </w:style>
  <w:style w:type="character" w:customStyle="1" w:styleId="PriorityAction-Bold">
    <w:name w:val="Priority Action - Bold"/>
    <w:basedOn w:val="Strong"/>
    <w:uiPriority w:val="1"/>
    <w:qFormat/>
    <w:rsid w:val="00423FD0"/>
    <w:rPr>
      <w:b/>
      <w:bCs/>
      <w:i/>
    </w:rPr>
  </w:style>
  <w:style w:type="paragraph" w:customStyle="1" w:styleId="PriorityActions-ListBullet">
    <w:name w:val="Priority Actions - List Bullet"/>
    <w:basedOn w:val="ListBullet"/>
    <w:qFormat/>
    <w:rsid w:val="00423FD0"/>
    <w:pPr>
      <w:pBdr>
        <w:top w:val="single" w:sz="48" w:space="1" w:color="FFF4ED"/>
        <w:left w:val="single" w:sz="48" w:space="4" w:color="FFF4ED"/>
        <w:bottom w:val="single" w:sz="48" w:space="1" w:color="FFF4ED"/>
        <w:right w:val="single" w:sz="48" w:space="4" w:color="FFF4ED"/>
      </w:pBdr>
      <w:shd w:val="clear" w:color="auto" w:fill="FFF4ED"/>
      <w:ind w:left="494" w:right="210"/>
    </w:pPr>
  </w:style>
  <w:style w:type="paragraph" w:customStyle="1" w:styleId="BlueShadedBox-Body">
    <w:name w:val="Blue Shaded Box - Body"/>
    <w:basedOn w:val="PriorityActions-Body"/>
    <w:qFormat/>
    <w:rsid w:val="00D27B4C"/>
    <w:pPr>
      <w:pBdr>
        <w:top w:val="single" w:sz="48" w:space="1" w:color="E5EAF2"/>
        <w:left w:val="single" w:sz="48" w:space="4" w:color="E5EAF2"/>
        <w:bottom w:val="single" w:sz="48" w:space="1" w:color="E5EAF2"/>
        <w:right w:val="single" w:sz="48" w:space="4" w:color="E5EAF2"/>
      </w:pBdr>
      <w:shd w:val="clear" w:color="D2E8FF" w:fill="E5EAF2"/>
    </w:pPr>
    <w:rPr>
      <w:i w:val="0"/>
    </w:rPr>
  </w:style>
  <w:style w:type="table" w:customStyle="1" w:styleId="CaseStudy0">
    <w:name w:val="Case Study"/>
    <w:basedOn w:val="TableNormal"/>
    <w:uiPriority w:val="99"/>
    <w:rsid w:val="00272CC8"/>
    <w:pPr>
      <w:spacing w:after="0" w:line="240" w:lineRule="auto"/>
    </w:pPr>
    <w:tblPr>
      <w:tblCellMar>
        <w:top w:w="113" w:type="dxa"/>
        <w:left w:w="210" w:type="dxa"/>
        <w:bottom w:w="113" w:type="dxa"/>
        <w:right w:w="210" w:type="dxa"/>
      </w:tblCellMar>
    </w:tblPr>
    <w:tcPr>
      <w:shd w:val="clear" w:color="auto" w:fill="F0F0F1"/>
    </w:tcPr>
  </w:style>
  <w:style w:type="paragraph" w:customStyle="1" w:styleId="BlueShadedBox-ListLetterstest">
    <w:name w:val="Blue Shaded Box - List Letters test"/>
    <w:basedOn w:val="ListNumber"/>
    <w:qFormat/>
    <w:rsid w:val="005C2F55"/>
    <w:pPr>
      <w:numPr>
        <w:numId w:val="15"/>
      </w:numPr>
      <w:pBdr>
        <w:top w:val="single" w:sz="48" w:space="1" w:color="E5EAF2"/>
        <w:left w:val="single" w:sz="48" w:space="4" w:color="E5EAF2"/>
        <w:bottom w:val="single" w:sz="48" w:space="1" w:color="E5EAF2"/>
        <w:right w:val="single" w:sz="48" w:space="4" w:color="E5EAF2"/>
      </w:pBdr>
      <w:shd w:val="clear" w:color="auto" w:fill="E5EAF2"/>
      <w:ind w:left="567" w:right="210" w:hanging="357"/>
    </w:pPr>
  </w:style>
  <w:style w:type="table" w:customStyle="1" w:styleId="BlueTable">
    <w:name w:val="Blue Table"/>
    <w:basedOn w:val="TableNormal"/>
    <w:uiPriority w:val="99"/>
    <w:rsid w:val="00FC381C"/>
    <w:pPr>
      <w:spacing w:after="0" w:line="240" w:lineRule="auto"/>
    </w:pPr>
    <w:tblPr>
      <w:tblCellMar>
        <w:top w:w="113" w:type="dxa"/>
        <w:left w:w="210" w:type="dxa"/>
        <w:bottom w:w="113" w:type="dxa"/>
        <w:right w:w="210" w:type="dxa"/>
      </w:tblCellMar>
    </w:tblPr>
    <w:tcPr>
      <w:shd w:val="clear" w:color="auto" w:fill="E5EAF2"/>
    </w:tcPr>
  </w:style>
  <w:style w:type="paragraph" w:customStyle="1" w:styleId="CaseStudy-Heading">
    <w:name w:val="Case Study - Heading"/>
    <w:basedOn w:val="ImmediateAction-Heading"/>
    <w:qFormat/>
    <w:rsid w:val="00BE5099"/>
    <w:rPr>
      <w:color w:val="002D3E"/>
    </w:rPr>
  </w:style>
  <w:style w:type="paragraph" w:customStyle="1" w:styleId="Normal-AfterTable">
    <w:name w:val="Normal - After Table"/>
    <w:basedOn w:val="Normal"/>
    <w:qFormat/>
    <w:rsid w:val="00FC381C"/>
    <w:pPr>
      <w:spacing w:before="240"/>
    </w:pPr>
  </w:style>
  <w:style w:type="table" w:customStyle="1" w:styleId="SpotLight0">
    <w:name w:val="Spot Light"/>
    <w:basedOn w:val="CaseStudy0"/>
    <w:uiPriority w:val="99"/>
    <w:rsid w:val="00672023"/>
    <w:tblPr/>
    <w:tcPr>
      <w:shd w:val="clear" w:color="auto" w:fill="E1EAE3"/>
    </w:tcPr>
  </w:style>
  <w:style w:type="paragraph" w:customStyle="1" w:styleId="Heading4-LookslikeHeading5">
    <w:name w:val="Heading 4 - Looks like Heading 5"/>
    <w:basedOn w:val="Heading4"/>
    <w:qFormat/>
    <w:rsid w:val="00321345"/>
    <w:rPr>
      <w:color w:val="297BAF"/>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87514">
      <w:bodyDiv w:val="1"/>
      <w:marLeft w:val="0"/>
      <w:marRight w:val="0"/>
      <w:marTop w:val="0"/>
      <w:marBottom w:val="0"/>
      <w:divBdr>
        <w:top w:val="none" w:sz="0" w:space="0" w:color="auto"/>
        <w:left w:val="none" w:sz="0" w:space="0" w:color="auto"/>
        <w:bottom w:val="none" w:sz="0" w:space="0" w:color="auto"/>
        <w:right w:val="none" w:sz="0" w:space="0" w:color="auto"/>
      </w:divBdr>
    </w:div>
    <w:div w:id="57636691">
      <w:bodyDiv w:val="1"/>
      <w:marLeft w:val="0"/>
      <w:marRight w:val="0"/>
      <w:marTop w:val="0"/>
      <w:marBottom w:val="0"/>
      <w:divBdr>
        <w:top w:val="none" w:sz="0" w:space="0" w:color="auto"/>
        <w:left w:val="none" w:sz="0" w:space="0" w:color="auto"/>
        <w:bottom w:val="none" w:sz="0" w:space="0" w:color="auto"/>
        <w:right w:val="none" w:sz="0" w:space="0" w:color="auto"/>
      </w:divBdr>
    </w:div>
    <w:div w:id="102045234">
      <w:bodyDiv w:val="1"/>
      <w:marLeft w:val="0"/>
      <w:marRight w:val="0"/>
      <w:marTop w:val="0"/>
      <w:marBottom w:val="0"/>
      <w:divBdr>
        <w:top w:val="none" w:sz="0" w:space="0" w:color="auto"/>
        <w:left w:val="none" w:sz="0" w:space="0" w:color="auto"/>
        <w:bottom w:val="none" w:sz="0" w:space="0" w:color="auto"/>
        <w:right w:val="none" w:sz="0" w:space="0" w:color="auto"/>
      </w:divBdr>
      <w:divsChild>
        <w:div w:id="588080909">
          <w:marLeft w:val="0"/>
          <w:marRight w:val="0"/>
          <w:marTop w:val="0"/>
          <w:marBottom w:val="0"/>
          <w:divBdr>
            <w:top w:val="none" w:sz="0" w:space="0" w:color="auto"/>
            <w:left w:val="none" w:sz="0" w:space="0" w:color="auto"/>
            <w:bottom w:val="none" w:sz="0" w:space="0" w:color="auto"/>
            <w:right w:val="none" w:sz="0" w:space="0" w:color="auto"/>
          </w:divBdr>
        </w:div>
      </w:divsChild>
    </w:div>
    <w:div w:id="105269370">
      <w:bodyDiv w:val="1"/>
      <w:marLeft w:val="0"/>
      <w:marRight w:val="0"/>
      <w:marTop w:val="0"/>
      <w:marBottom w:val="0"/>
      <w:divBdr>
        <w:top w:val="none" w:sz="0" w:space="0" w:color="auto"/>
        <w:left w:val="none" w:sz="0" w:space="0" w:color="auto"/>
        <w:bottom w:val="none" w:sz="0" w:space="0" w:color="auto"/>
        <w:right w:val="none" w:sz="0" w:space="0" w:color="auto"/>
      </w:divBdr>
    </w:div>
    <w:div w:id="105735022">
      <w:bodyDiv w:val="1"/>
      <w:marLeft w:val="0"/>
      <w:marRight w:val="0"/>
      <w:marTop w:val="0"/>
      <w:marBottom w:val="0"/>
      <w:divBdr>
        <w:top w:val="none" w:sz="0" w:space="0" w:color="auto"/>
        <w:left w:val="none" w:sz="0" w:space="0" w:color="auto"/>
        <w:bottom w:val="none" w:sz="0" w:space="0" w:color="auto"/>
        <w:right w:val="none" w:sz="0" w:space="0" w:color="auto"/>
      </w:divBdr>
    </w:div>
    <w:div w:id="106242688">
      <w:bodyDiv w:val="1"/>
      <w:marLeft w:val="0"/>
      <w:marRight w:val="0"/>
      <w:marTop w:val="0"/>
      <w:marBottom w:val="0"/>
      <w:divBdr>
        <w:top w:val="none" w:sz="0" w:space="0" w:color="auto"/>
        <w:left w:val="none" w:sz="0" w:space="0" w:color="auto"/>
        <w:bottom w:val="none" w:sz="0" w:space="0" w:color="auto"/>
        <w:right w:val="none" w:sz="0" w:space="0" w:color="auto"/>
      </w:divBdr>
    </w:div>
    <w:div w:id="117184575">
      <w:bodyDiv w:val="1"/>
      <w:marLeft w:val="0"/>
      <w:marRight w:val="0"/>
      <w:marTop w:val="0"/>
      <w:marBottom w:val="0"/>
      <w:divBdr>
        <w:top w:val="none" w:sz="0" w:space="0" w:color="auto"/>
        <w:left w:val="none" w:sz="0" w:space="0" w:color="auto"/>
        <w:bottom w:val="none" w:sz="0" w:space="0" w:color="auto"/>
        <w:right w:val="none" w:sz="0" w:space="0" w:color="auto"/>
      </w:divBdr>
    </w:div>
    <w:div w:id="171770133">
      <w:bodyDiv w:val="1"/>
      <w:marLeft w:val="0"/>
      <w:marRight w:val="0"/>
      <w:marTop w:val="0"/>
      <w:marBottom w:val="0"/>
      <w:divBdr>
        <w:top w:val="none" w:sz="0" w:space="0" w:color="auto"/>
        <w:left w:val="none" w:sz="0" w:space="0" w:color="auto"/>
        <w:bottom w:val="none" w:sz="0" w:space="0" w:color="auto"/>
        <w:right w:val="none" w:sz="0" w:space="0" w:color="auto"/>
      </w:divBdr>
    </w:div>
    <w:div w:id="188422249">
      <w:bodyDiv w:val="1"/>
      <w:marLeft w:val="0"/>
      <w:marRight w:val="0"/>
      <w:marTop w:val="0"/>
      <w:marBottom w:val="0"/>
      <w:divBdr>
        <w:top w:val="none" w:sz="0" w:space="0" w:color="auto"/>
        <w:left w:val="none" w:sz="0" w:space="0" w:color="auto"/>
        <w:bottom w:val="none" w:sz="0" w:space="0" w:color="auto"/>
        <w:right w:val="none" w:sz="0" w:space="0" w:color="auto"/>
      </w:divBdr>
      <w:divsChild>
        <w:div w:id="1022975226">
          <w:marLeft w:val="0"/>
          <w:marRight w:val="0"/>
          <w:marTop w:val="0"/>
          <w:marBottom w:val="0"/>
          <w:divBdr>
            <w:top w:val="none" w:sz="0" w:space="0" w:color="auto"/>
            <w:left w:val="none" w:sz="0" w:space="0" w:color="auto"/>
            <w:bottom w:val="none" w:sz="0" w:space="0" w:color="auto"/>
            <w:right w:val="none" w:sz="0" w:space="0" w:color="auto"/>
          </w:divBdr>
          <w:divsChild>
            <w:div w:id="174350037">
              <w:marLeft w:val="0"/>
              <w:marRight w:val="0"/>
              <w:marTop w:val="0"/>
              <w:marBottom w:val="0"/>
              <w:divBdr>
                <w:top w:val="none" w:sz="0" w:space="0" w:color="auto"/>
                <w:left w:val="none" w:sz="0" w:space="0" w:color="auto"/>
                <w:bottom w:val="none" w:sz="0" w:space="0" w:color="auto"/>
                <w:right w:val="none" w:sz="0" w:space="0" w:color="auto"/>
              </w:divBdr>
            </w:div>
            <w:div w:id="855849597">
              <w:marLeft w:val="0"/>
              <w:marRight w:val="0"/>
              <w:marTop w:val="0"/>
              <w:marBottom w:val="0"/>
              <w:divBdr>
                <w:top w:val="none" w:sz="0" w:space="0" w:color="auto"/>
                <w:left w:val="none" w:sz="0" w:space="0" w:color="auto"/>
                <w:bottom w:val="none" w:sz="0" w:space="0" w:color="auto"/>
                <w:right w:val="none" w:sz="0" w:space="0" w:color="auto"/>
              </w:divBdr>
            </w:div>
            <w:div w:id="159516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779953">
      <w:bodyDiv w:val="1"/>
      <w:marLeft w:val="0"/>
      <w:marRight w:val="0"/>
      <w:marTop w:val="0"/>
      <w:marBottom w:val="0"/>
      <w:divBdr>
        <w:top w:val="none" w:sz="0" w:space="0" w:color="auto"/>
        <w:left w:val="none" w:sz="0" w:space="0" w:color="auto"/>
        <w:bottom w:val="none" w:sz="0" w:space="0" w:color="auto"/>
        <w:right w:val="none" w:sz="0" w:space="0" w:color="auto"/>
      </w:divBdr>
    </w:div>
    <w:div w:id="353502469">
      <w:bodyDiv w:val="1"/>
      <w:marLeft w:val="0"/>
      <w:marRight w:val="0"/>
      <w:marTop w:val="0"/>
      <w:marBottom w:val="0"/>
      <w:divBdr>
        <w:top w:val="none" w:sz="0" w:space="0" w:color="auto"/>
        <w:left w:val="none" w:sz="0" w:space="0" w:color="auto"/>
        <w:bottom w:val="none" w:sz="0" w:space="0" w:color="auto"/>
        <w:right w:val="none" w:sz="0" w:space="0" w:color="auto"/>
      </w:divBdr>
    </w:div>
    <w:div w:id="362748941">
      <w:bodyDiv w:val="1"/>
      <w:marLeft w:val="0"/>
      <w:marRight w:val="0"/>
      <w:marTop w:val="0"/>
      <w:marBottom w:val="0"/>
      <w:divBdr>
        <w:top w:val="none" w:sz="0" w:space="0" w:color="auto"/>
        <w:left w:val="none" w:sz="0" w:space="0" w:color="auto"/>
        <w:bottom w:val="none" w:sz="0" w:space="0" w:color="auto"/>
        <w:right w:val="none" w:sz="0" w:space="0" w:color="auto"/>
      </w:divBdr>
      <w:divsChild>
        <w:div w:id="1093547491">
          <w:marLeft w:val="0"/>
          <w:marRight w:val="0"/>
          <w:marTop w:val="0"/>
          <w:marBottom w:val="0"/>
          <w:divBdr>
            <w:top w:val="none" w:sz="0" w:space="0" w:color="auto"/>
            <w:left w:val="none" w:sz="0" w:space="0" w:color="auto"/>
            <w:bottom w:val="none" w:sz="0" w:space="0" w:color="auto"/>
            <w:right w:val="none" w:sz="0" w:space="0" w:color="auto"/>
          </w:divBdr>
        </w:div>
        <w:div w:id="1635285191">
          <w:marLeft w:val="0"/>
          <w:marRight w:val="0"/>
          <w:marTop w:val="0"/>
          <w:marBottom w:val="0"/>
          <w:divBdr>
            <w:top w:val="none" w:sz="0" w:space="0" w:color="auto"/>
            <w:left w:val="none" w:sz="0" w:space="0" w:color="auto"/>
            <w:bottom w:val="none" w:sz="0" w:space="0" w:color="auto"/>
            <w:right w:val="none" w:sz="0" w:space="0" w:color="auto"/>
          </w:divBdr>
        </w:div>
      </w:divsChild>
    </w:div>
    <w:div w:id="369307881">
      <w:bodyDiv w:val="1"/>
      <w:marLeft w:val="0"/>
      <w:marRight w:val="0"/>
      <w:marTop w:val="0"/>
      <w:marBottom w:val="0"/>
      <w:divBdr>
        <w:top w:val="none" w:sz="0" w:space="0" w:color="auto"/>
        <w:left w:val="none" w:sz="0" w:space="0" w:color="auto"/>
        <w:bottom w:val="none" w:sz="0" w:space="0" w:color="auto"/>
        <w:right w:val="none" w:sz="0" w:space="0" w:color="auto"/>
      </w:divBdr>
    </w:div>
    <w:div w:id="397552270">
      <w:bodyDiv w:val="1"/>
      <w:marLeft w:val="0"/>
      <w:marRight w:val="0"/>
      <w:marTop w:val="0"/>
      <w:marBottom w:val="0"/>
      <w:divBdr>
        <w:top w:val="none" w:sz="0" w:space="0" w:color="auto"/>
        <w:left w:val="none" w:sz="0" w:space="0" w:color="auto"/>
        <w:bottom w:val="none" w:sz="0" w:space="0" w:color="auto"/>
        <w:right w:val="none" w:sz="0" w:space="0" w:color="auto"/>
      </w:divBdr>
    </w:div>
    <w:div w:id="407574450">
      <w:bodyDiv w:val="1"/>
      <w:marLeft w:val="0"/>
      <w:marRight w:val="0"/>
      <w:marTop w:val="0"/>
      <w:marBottom w:val="0"/>
      <w:divBdr>
        <w:top w:val="none" w:sz="0" w:space="0" w:color="auto"/>
        <w:left w:val="none" w:sz="0" w:space="0" w:color="auto"/>
        <w:bottom w:val="none" w:sz="0" w:space="0" w:color="auto"/>
        <w:right w:val="none" w:sz="0" w:space="0" w:color="auto"/>
      </w:divBdr>
    </w:div>
    <w:div w:id="412094983">
      <w:bodyDiv w:val="1"/>
      <w:marLeft w:val="0"/>
      <w:marRight w:val="0"/>
      <w:marTop w:val="0"/>
      <w:marBottom w:val="0"/>
      <w:divBdr>
        <w:top w:val="none" w:sz="0" w:space="0" w:color="auto"/>
        <w:left w:val="none" w:sz="0" w:space="0" w:color="auto"/>
        <w:bottom w:val="none" w:sz="0" w:space="0" w:color="auto"/>
        <w:right w:val="none" w:sz="0" w:space="0" w:color="auto"/>
      </w:divBdr>
    </w:div>
    <w:div w:id="430972253">
      <w:bodyDiv w:val="1"/>
      <w:marLeft w:val="0"/>
      <w:marRight w:val="0"/>
      <w:marTop w:val="0"/>
      <w:marBottom w:val="0"/>
      <w:divBdr>
        <w:top w:val="none" w:sz="0" w:space="0" w:color="auto"/>
        <w:left w:val="none" w:sz="0" w:space="0" w:color="auto"/>
        <w:bottom w:val="none" w:sz="0" w:space="0" w:color="auto"/>
        <w:right w:val="none" w:sz="0" w:space="0" w:color="auto"/>
      </w:divBdr>
    </w:div>
    <w:div w:id="461659455">
      <w:bodyDiv w:val="1"/>
      <w:marLeft w:val="0"/>
      <w:marRight w:val="0"/>
      <w:marTop w:val="0"/>
      <w:marBottom w:val="0"/>
      <w:divBdr>
        <w:top w:val="none" w:sz="0" w:space="0" w:color="auto"/>
        <w:left w:val="none" w:sz="0" w:space="0" w:color="auto"/>
        <w:bottom w:val="none" w:sz="0" w:space="0" w:color="auto"/>
        <w:right w:val="none" w:sz="0" w:space="0" w:color="auto"/>
      </w:divBdr>
    </w:div>
    <w:div w:id="471139292">
      <w:bodyDiv w:val="1"/>
      <w:marLeft w:val="0"/>
      <w:marRight w:val="0"/>
      <w:marTop w:val="0"/>
      <w:marBottom w:val="0"/>
      <w:divBdr>
        <w:top w:val="none" w:sz="0" w:space="0" w:color="auto"/>
        <w:left w:val="none" w:sz="0" w:space="0" w:color="auto"/>
        <w:bottom w:val="none" w:sz="0" w:space="0" w:color="auto"/>
        <w:right w:val="none" w:sz="0" w:space="0" w:color="auto"/>
      </w:divBdr>
      <w:divsChild>
        <w:div w:id="2031908963">
          <w:marLeft w:val="0"/>
          <w:marRight w:val="0"/>
          <w:marTop w:val="0"/>
          <w:marBottom w:val="0"/>
          <w:divBdr>
            <w:top w:val="none" w:sz="0" w:space="0" w:color="auto"/>
            <w:left w:val="none" w:sz="0" w:space="0" w:color="auto"/>
            <w:bottom w:val="none" w:sz="0" w:space="0" w:color="auto"/>
            <w:right w:val="none" w:sz="0" w:space="0" w:color="auto"/>
          </w:divBdr>
        </w:div>
      </w:divsChild>
    </w:div>
    <w:div w:id="568732953">
      <w:bodyDiv w:val="1"/>
      <w:marLeft w:val="0"/>
      <w:marRight w:val="0"/>
      <w:marTop w:val="0"/>
      <w:marBottom w:val="0"/>
      <w:divBdr>
        <w:top w:val="none" w:sz="0" w:space="0" w:color="auto"/>
        <w:left w:val="none" w:sz="0" w:space="0" w:color="auto"/>
        <w:bottom w:val="none" w:sz="0" w:space="0" w:color="auto"/>
        <w:right w:val="none" w:sz="0" w:space="0" w:color="auto"/>
      </w:divBdr>
    </w:div>
    <w:div w:id="680664211">
      <w:bodyDiv w:val="1"/>
      <w:marLeft w:val="0"/>
      <w:marRight w:val="0"/>
      <w:marTop w:val="0"/>
      <w:marBottom w:val="0"/>
      <w:divBdr>
        <w:top w:val="none" w:sz="0" w:space="0" w:color="auto"/>
        <w:left w:val="none" w:sz="0" w:space="0" w:color="auto"/>
        <w:bottom w:val="none" w:sz="0" w:space="0" w:color="auto"/>
        <w:right w:val="none" w:sz="0" w:space="0" w:color="auto"/>
      </w:divBdr>
    </w:div>
    <w:div w:id="684939894">
      <w:bodyDiv w:val="1"/>
      <w:marLeft w:val="0"/>
      <w:marRight w:val="0"/>
      <w:marTop w:val="0"/>
      <w:marBottom w:val="0"/>
      <w:divBdr>
        <w:top w:val="none" w:sz="0" w:space="0" w:color="auto"/>
        <w:left w:val="none" w:sz="0" w:space="0" w:color="auto"/>
        <w:bottom w:val="none" w:sz="0" w:space="0" w:color="auto"/>
        <w:right w:val="none" w:sz="0" w:space="0" w:color="auto"/>
      </w:divBdr>
    </w:div>
    <w:div w:id="686294683">
      <w:bodyDiv w:val="1"/>
      <w:marLeft w:val="0"/>
      <w:marRight w:val="0"/>
      <w:marTop w:val="0"/>
      <w:marBottom w:val="0"/>
      <w:divBdr>
        <w:top w:val="none" w:sz="0" w:space="0" w:color="auto"/>
        <w:left w:val="none" w:sz="0" w:space="0" w:color="auto"/>
        <w:bottom w:val="none" w:sz="0" w:space="0" w:color="auto"/>
        <w:right w:val="none" w:sz="0" w:space="0" w:color="auto"/>
      </w:divBdr>
    </w:div>
    <w:div w:id="695539181">
      <w:bodyDiv w:val="1"/>
      <w:marLeft w:val="0"/>
      <w:marRight w:val="0"/>
      <w:marTop w:val="0"/>
      <w:marBottom w:val="0"/>
      <w:divBdr>
        <w:top w:val="none" w:sz="0" w:space="0" w:color="auto"/>
        <w:left w:val="none" w:sz="0" w:space="0" w:color="auto"/>
        <w:bottom w:val="none" w:sz="0" w:space="0" w:color="auto"/>
        <w:right w:val="none" w:sz="0" w:space="0" w:color="auto"/>
      </w:divBdr>
    </w:div>
    <w:div w:id="752512783">
      <w:bodyDiv w:val="1"/>
      <w:marLeft w:val="0"/>
      <w:marRight w:val="0"/>
      <w:marTop w:val="0"/>
      <w:marBottom w:val="0"/>
      <w:divBdr>
        <w:top w:val="none" w:sz="0" w:space="0" w:color="auto"/>
        <w:left w:val="none" w:sz="0" w:space="0" w:color="auto"/>
        <w:bottom w:val="none" w:sz="0" w:space="0" w:color="auto"/>
        <w:right w:val="none" w:sz="0" w:space="0" w:color="auto"/>
      </w:divBdr>
      <w:divsChild>
        <w:div w:id="210532522">
          <w:marLeft w:val="446"/>
          <w:marRight w:val="0"/>
          <w:marTop w:val="0"/>
          <w:marBottom w:val="0"/>
          <w:divBdr>
            <w:top w:val="none" w:sz="0" w:space="0" w:color="auto"/>
            <w:left w:val="none" w:sz="0" w:space="0" w:color="auto"/>
            <w:bottom w:val="none" w:sz="0" w:space="0" w:color="auto"/>
            <w:right w:val="none" w:sz="0" w:space="0" w:color="auto"/>
          </w:divBdr>
        </w:div>
        <w:div w:id="338967909">
          <w:marLeft w:val="446"/>
          <w:marRight w:val="0"/>
          <w:marTop w:val="0"/>
          <w:marBottom w:val="0"/>
          <w:divBdr>
            <w:top w:val="none" w:sz="0" w:space="0" w:color="auto"/>
            <w:left w:val="none" w:sz="0" w:space="0" w:color="auto"/>
            <w:bottom w:val="none" w:sz="0" w:space="0" w:color="auto"/>
            <w:right w:val="none" w:sz="0" w:space="0" w:color="auto"/>
          </w:divBdr>
        </w:div>
        <w:div w:id="641621610">
          <w:marLeft w:val="446"/>
          <w:marRight w:val="0"/>
          <w:marTop w:val="0"/>
          <w:marBottom w:val="0"/>
          <w:divBdr>
            <w:top w:val="none" w:sz="0" w:space="0" w:color="auto"/>
            <w:left w:val="none" w:sz="0" w:space="0" w:color="auto"/>
            <w:bottom w:val="none" w:sz="0" w:space="0" w:color="auto"/>
            <w:right w:val="none" w:sz="0" w:space="0" w:color="auto"/>
          </w:divBdr>
        </w:div>
        <w:div w:id="1295208701">
          <w:marLeft w:val="446"/>
          <w:marRight w:val="0"/>
          <w:marTop w:val="0"/>
          <w:marBottom w:val="0"/>
          <w:divBdr>
            <w:top w:val="none" w:sz="0" w:space="0" w:color="auto"/>
            <w:left w:val="none" w:sz="0" w:space="0" w:color="auto"/>
            <w:bottom w:val="none" w:sz="0" w:space="0" w:color="auto"/>
            <w:right w:val="none" w:sz="0" w:space="0" w:color="auto"/>
          </w:divBdr>
        </w:div>
      </w:divsChild>
    </w:div>
    <w:div w:id="761101298">
      <w:bodyDiv w:val="1"/>
      <w:marLeft w:val="0"/>
      <w:marRight w:val="0"/>
      <w:marTop w:val="0"/>
      <w:marBottom w:val="0"/>
      <w:divBdr>
        <w:top w:val="none" w:sz="0" w:space="0" w:color="auto"/>
        <w:left w:val="none" w:sz="0" w:space="0" w:color="auto"/>
        <w:bottom w:val="none" w:sz="0" w:space="0" w:color="auto"/>
        <w:right w:val="none" w:sz="0" w:space="0" w:color="auto"/>
      </w:divBdr>
      <w:divsChild>
        <w:div w:id="1599757316">
          <w:marLeft w:val="0"/>
          <w:marRight w:val="0"/>
          <w:marTop w:val="0"/>
          <w:marBottom w:val="0"/>
          <w:divBdr>
            <w:top w:val="none" w:sz="0" w:space="0" w:color="auto"/>
            <w:left w:val="none" w:sz="0" w:space="0" w:color="auto"/>
            <w:bottom w:val="none" w:sz="0" w:space="0" w:color="auto"/>
            <w:right w:val="none" w:sz="0" w:space="0" w:color="auto"/>
          </w:divBdr>
        </w:div>
      </w:divsChild>
    </w:div>
    <w:div w:id="764692696">
      <w:bodyDiv w:val="1"/>
      <w:marLeft w:val="0"/>
      <w:marRight w:val="0"/>
      <w:marTop w:val="0"/>
      <w:marBottom w:val="0"/>
      <w:divBdr>
        <w:top w:val="none" w:sz="0" w:space="0" w:color="auto"/>
        <w:left w:val="none" w:sz="0" w:space="0" w:color="auto"/>
        <w:bottom w:val="none" w:sz="0" w:space="0" w:color="auto"/>
        <w:right w:val="none" w:sz="0" w:space="0" w:color="auto"/>
      </w:divBdr>
    </w:div>
    <w:div w:id="771584355">
      <w:bodyDiv w:val="1"/>
      <w:marLeft w:val="0"/>
      <w:marRight w:val="0"/>
      <w:marTop w:val="0"/>
      <w:marBottom w:val="0"/>
      <w:divBdr>
        <w:top w:val="none" w:sz="0" w:space="0" w:color="auto"/>
        <w:left w:val="none" w:sz="0" w:space="0" w:color="auto"/>
        <w:bottom w:val="none" w:sz="0" w:space="0" w:color="auto"/>
        <w:right w:val="none" w:sz="0" w:space="0" w:color="auto"/>
      </w:divBdr>
    </w:div>
    <w:div w:id="801773942">
      <w:bodyDiv w:val="1"/>
      <w:marLeft w:val="0"/>
      <w:marRight w:val="0"/>
      <w:marTop w:val="0"/>
      <w:marBottom w:val="0"/>
      <w:divBdr>
        <w:top w:val="none" w:sz="0" w:space="0" w:color="auto"/>
        <w:left w:val="none" w:sz="0" w:space="0" w:color="auto"/>
        <w:bottom w:val="none" w:sz="0" w:space="0" w:color="auto"/>
        <w:right w:val="none" w:sz="0" w:space="0" w:color="auto"/>
      </w:divBdr>
    </w:div>
    <w:div w:id="820737049">
      <w:bodyDiv w:val="1"/>
      <w:marLeft w:val="0"/>
      <w:marRight w:val="0"/>
      <w:marTop w:val="0"/>
      <w:marBottom w:val="0"/>
      <w:divBdr>
        <w:top w:val="none" w:sz="0" w:space="0" w:color="auto"/>
        <w:left w:val="none" w:sz="0" w:space="0" w:color="auto"/>
        <w:bottom w:val="none" w:sz="0" w:space="0" w:color="auto"/>
        <w:right w:val="none" w:sz="0" w:space="0" w:color="auto"/>
      </w:divBdr>
    </w:div>
    <w:div w:id="822355367">
      <w:bodyDiv w:val="1"/>
      <w:marLeft w:val="0"/>
      <w:marRight w:val="0"/>
      <w:marTop w:val="0"/>
      <w:marBottom w:val="0"/>
      <w:divBdr>
        <w:top w:val="none" w:sz="0" w:space="0" w:color="auto"/>
        <w:left w:val="none" w:sz="0" w:space="0" w:color="auto"/>
        <w:bottom w:val="none" w:sz="0" w:space="0" w:color="auto"/>
        <w:right w:val="none" w:sz="0" w:space="0" w:color="auto"/>
      </w:divBdr>
      <w:divsChild>
        <w:div w:id="352073363">
          <w:marLeft w:val="0"/>
          <w:marRight w:val="0"/>
          <w:marTop w:val="0"/>
          <w:marBottom w:val="0"/>
          <w:divBdr>
            <w:top w:val="none" w:sz="0" w:space="0" w:color="auto"/>
            <w:left w:val="none" w:sz="0" w:space="0" w:color="auto"/>
            <w:bottom w:val="none" w:sz="0" w:space="0" w:color="auto"/>
            <w:right w:val="none" w:sz="0" w:space="0" w:color="auto"/>
          </w:divBdr>
        </w:div>
      </w:divsChild>
    </w:div>
    <w:div w:id="832641846">
      <w:bodyDiv w:val="1"/>
      <w:marLeft w:val="0"/>
      <w:marRight w:val="0"/>
      <w:marTop w:val="0"/>
      <w:marBottom w:val="0"/>
      <w:divBdr>
        <w:top w:val="none" w:sz="0" w:space="0" w:color="auto"/>
        <w:left w:val="none" w:sz="0" w:space="0" w:color="auto"/>
        <w:bottom w:val="none" w:sz="0" w:space="0" w:color="auto"/>
        <w:right w:val="none" w:sz="0" w:space="0" w:color="auto"/>
      </w:divBdr>
    </w:div>
    <w:div w:id="874271537">
      <w:bodyDiv w:val="1"/>
      <w:marLeft w:val="0"/>
      <w:marRight w:val="0"/>
      <w:marTop w:val="0"/>
      <w:marBottom w:val="0"/>
      <w:divBdr>
        <w:top w:val="none" w:sz="0" w:space="0" w:color="auto"/>
        <w:left w:val="none" w:sz="0" w:space="0" w:color="auto"/>
        <w:bottom w:val="none" w:sz="0" w:space="0" w:color="auto"/>
        <w:right w:val="none" w:sz="0" w:space="0" w:color="auto"/>
      </w:divBdr>
    </w:div>
    <w:div w:id="896549227">
      <w:bodyDiv w:val="1"/>
      <w:marLeft w:val="0"/>
      <w:marRight w:val="0"/>
      <w:marTop w:val="0"/>
      <w:marBottom w:val="0"/>
      <w:divBdr>
        <w:top w:val="none" w:sz="0" w:space="0" w:color="auto"/>
        <w:left w:val="none" w:sz="0" w:space="0" w:color="auto"/>
        <w:bottom w:val="none" w:sz="0" w:space="0" w:color="auto"/>
        <w:right w:val="none" w:sz="0" w:space="0" w:color="auto"/>
      </w:divBdr>
    </w:div>
    <w:div w:id="912927810">
      <w:bodyDiv w:val="1"/>
      <w:marLeft w:val="0"/>
      <w:marRight w:val="0"/>
      <w:marTop w:val="0"/>
      <w:marBottom w:val="0"/>
      <w:divBdr>
        <w:top w:val="none" w:sz="0" w:space="0" w:color="auto"/>
        <w:left w:val="none" w:sz="0" w:space="0" w:color="auto"/>
        <w:bottom w:val="none" w:sz="0" w:space="0" w:color="auto"/>
        <w:right w:val="none" w:sz="0" w:space="0" w:color="auto"/>
      </w:divBdr>
    </w:div>
    <w:div w:id="928974877">
      <w:bodyDiv w:val="1"/>
      <w:marLeft w:val="0"/>
      <w:marRight w:val="0"/>
      <w:marTop w:val="0"/>
      <w:marBottom w:val="0"/>
      <w:divBdr>
        <w:top w:val="none" w:sz="0" w:space="0" w:color="auto"/>
        <w:left w:val="none" w:sz="0" w:space="0" w:color="auto"/>
        <w:bottom w:val="none" w:sz="0" w:space="0" w:color="auto"/>
        <w:right w:val="none" w:sz="0" w:space="0" w:color="auto"/>
      </w:divBdr>
      <w:divsChild>
        <w:div w:id="841968002">
          <w:marLeft w:val="360"/>
          <w:marRight w:val="0"/>
          <w:marTop w:val="200"/>
          <w:marBottom w:val="0"/>
          <w:divBdr>
            <w:top w:val="none" w:sz="0" w:space="0" w:color="auto"/>
            <w:left w:val="none" w:sz="0" w:space="0" w:color="auto"/>
            <w:bottom w:val="none" w:sz="0" w:space="0" w:color="auto"/>
            <w:right w:val="none" w:sz="0" w:space="0" w:color="auto"/>
          </w:divBdr>
        </w:div>
      </w:divsChild>
    </w:div>
    <w:div w:id="997197829">
      <w:bodyDiv w:val="1"/>
      <w:marLeft w:val="0"/>
      <w:marRight w:val="0"/>
      <w:marTop w:val="0"/>
      <w:marBottom w:val="0"/>
      <w:divBdr>
        <w:top w:val="none" w:sz="0" w:space="0" w:color="auto"/>
        <w:left w:val="none" w:sz="0" w:space="0" w:color="auto"/>
        <w:bottom w:val="none" w:sz="0" w:space="0" w:color="auto"/>
        <w:right w:val="none" w:sz="0" w:space="0" w:color="auto"/>
      </w:divBdr>
    </w:div>
    <w:div w:id="1042944162">
      <w:bodyDiv w:val="1"/>
      <w:marLeft w:val="0"/>
      <w:marRight w:val="0"/>
      <w:marTop w:val="0"/>
      <w:marBottom w:val="0"/>
      <w:divBdr>
        <w:top w:val="none" w:sz="0" w:space="0" w:color="auto"/>
        <w:left w:val="none" w:sz="0" w:space="0" w:color="auto"/>
        <w:bottom w:val="none" w:sz="0" w:space="0" w:color="auto"/>
        <w:right w:val="none" w:sz="0" w:space="0" w:color="auto"/>
      </w:divBdr>
    </w:div>
    <w:div w:id="1074933017">
      <w:bodyDiv w:val="1"/>
      <w:marLeft w:val="0"/>
      <w:marRight w:val="0"/>
      <w:marTop w:val="0"/>
      <w:marBottom w:val="0"/>
      <w:divBdr>
        <w:top w:val="none" w:sz="0" w:space="0" w:color="auto"/>
        <w:left w:val="none" w:sz="0" w:space="0" w:color="auto"/>
        <w:bottom w:val="none" w:sz="0" w:space="0" w:color="auto"/>
        <w:right w:val="none" w:sz="0" w:space="0" w:color="auto"/>
      </w:divBdr>
    </w:div>
    <w:div w:id="1094087230">
      <w:bodyDiv w:val="1"/>
      <w:marLeft w:val="0"/>
      <w:marRight w:val="0"/>
      <w:marTop w:val="0"/>
      <w:marBottom w:val="0"/>
      <w:divBdr>
        <w:top w:val="none" w:sz="0" w:space="0" w:color="auto"/>
        <w:left w:val="none" w:sz="0" w:space="0" w:color="auto"/>
        <w:bottom w:val="none" w:sz="0" w:space="0" w:color="auto"/>
        <w:right w:val="none" w:sz="0" w:space="0" w:color="auto"/>
      </w:divBdr>
    </w:div>
    <w:div w:id="1128085989">
      <w:bodyDiv w:val="1"/>
      <w:marLeft w:val="0"/>
      <w:marRight w:val="0"/>
      <w:marTop w:val="0"/>
      <w:marBottom w:val="0"/>
      <w:divBdr>
        <w:top w:val="none" w:sz="0" w:space="0" w:color="auto"/>
        <w:left w:val="none" w:sz="0" w:space="0" w:color="auto"/>
        <w:bottom w:val="none" w:sz="0" w:space="0" w:color="auto"/>
        <w:right w:val="none" w:sz="0" w:space="0" w:color="auto"/>
      </w:divBdr>
    </w:div>
    <w:div w:id="1138571006">
      <w:bodyDiv w:val="1"/>
      <w:marLeft w:val="0"/>
      <w:marRight w:val="0"/>
      <w:marTop w:val="0"/>
      <w:marBottom w:val="0"/>
      <w:divBdr>
        <w:top w:val="none" w:sz="0" w:space="0" w:color="auto"/>
        <w:left w:val="none" w:sz="0" w:space="0" w:color="auto"/>
        <w:bottom w:val="none" w:sz="0" w:space="0" w:color="auto"/>
        <w:right w:val="none" w:sz="0" w:space="0" w:color="auto"/>
      </w:divBdr>
    </w:div>
    <w:div w:id="1142884781">
      <w:bodyDiv w:val="1"/>
      <w:marLeft w:val="0"/>
      <w:marRight w:val="0"/>
      <w:marTop w:val="0"/>
      <w:marBottom w:val="0"/>
      <w:divBdr>
        <w:top w:val="none" w:sz="0" w:space="0" w:color="auto"/>
        <w:left w:val="none" w:sz="0" w:space="0" w:color="auto"/>
        <w:bottom w:val="none" w:sz="0" w:space="0" w:color="auto"/>
        <w:right w:val="none" w:sz="0" w:space="0" w:color="auto"/>
      </w:divBdr>
    </w:div>
    <w:div w:id="1148934296">
      <w:bodyDiv w:val="1"/>
      <w:marLeft w:val="0"/>
      <w:marRight w:val="0"/>
      <w:marTop w:val="0"/>
      <w:marBottom w:val="0"/>
      <w:divBdr>
        <w:top w:val="none" w:sz="0" w:space="0" w:color="auto"/>
        <w:left w:val="none" w:sz="0" w:space="0" w:color="auto"/>
        <w:bottom w:val="none" w:sz="0" w:space="0" w:color="auto"/>
        <w:right w:val="none" w:sz="0" w:space="0" w:color="auto"/>
      </w:divBdr>
      <w:divsChild>
        <w:div w:id="671374554">
          <w:marLeft w:val="0"/>
          <w:marRight w:val="0"/>
          <w:marTop w:val="0"/>
          <w:marBottom w:val="0"/>
          <w:divBdr>
            <w:top w:val="none" w:sz="0" w:space="0" w:color="auto"/>
            <w:left w:val="none" w:sz="0" w:space="0" w:color="auto"/>
            <w:bottom w:val="none" w:sz="0" w:space="0" w:color="auto"/>
            <w:right w:val="none" w:sz="0" w:space="0" w:color="auto"/>
          </w:divBdr>
        </w:div>
        <w:div w:id="1000281535">
          <w:marLeft w:val="0"/>
          <w:marRight w:val="0"/>
          <w:marTop w:val="0"/>
          <w:marBottom w:val="0"/>
          <w:divBdr>
            <w:top w:val="none" w:sz="0" w:space="0" w:color="auto"/>
            <w:left w:val="none" w:sz="0" w:space="0" w:color="auto"/>
            <w:bottom w:val="none" w:sz="0" w:space="0" w:color="auto"/>
            <w:right w:val="none" w:sz="0" w:space="0" w:color="auto"/>
          </w:divBdr>
        </w:div>
        <w:div w:id="1903179350">
          <w:marLeft w:val="0"/>
          <w:marRight w:val="0"/>
          <w:marTop w:val="0"/>
          <w:marBottom w:val="0"/>
          <w:divBdr>
            <w:top w:val="none" w:sz="0" w:space="0" w:color="auto"/>
            <w:left w:val="none" w:sz="0" w:space="0" w:color="auto"/>
            <w:bottom w:val="none" w:sz="0" w:space="0" w:color="auto"/>
            <w:right w:val="none" w:sz="0" w:space="0" w:color="auto"/>
          </w:divBdr>
        </w:div>
      </w:divsChild>
    </w:div>
    <w:div w:id="1204630971">
      <w:bodyDiv w:val="1"/>
      <w:marLeft w:val="0"/>
      <w:marRight w:val="0"/>
      <w:marTop w:val="0"/>
      <w:marBottom w:val="0"/>
      <w:divBdr>
        <w:top w:val="none" w:sz="0" w:space="0" w:color="auto"/>
        <w:left w:val="none" w:sz="0" w:space="0" w:color="auto"/>
        <w:bottom w:val="none" w:sz="0" w:space="0" w:color="auto"/>
        <w:right w:val="none" w:sz="0" w:space="0" w:color="auto"/>
      </w:divBdr>
    </w:div>
    <w:div w:id="1208882166">
      <w:bodyDiv w:val="1"/>
      <w:marLeft w:val="0"/>
      <w:marRight w:val="0"/>
      <w:marTop w:val="0"/>
      <w:marBottom w:val="0"/>
      <w:divBdr>
        <w:top w:val="none" w:sz="0" w:space="0" w:color="auto"/>
        <w:left w:val="none" w:sz="0" w:space="0" w:color="auto"/>
        <w:bottom w:val="none" w:sz="0" w:space="0" w:color="auto"/>
        <w:right w:val="none" w:sz="0" w:space="0" w:color="auto"/>
      </w:divBdr>
    </w:div>
    <w:div w:id="1295140057">
      <w:bodyDiv w:val="1"/>
      <w:marLeft w:val="0"/>
      <w:marRight w:val="0"/>
      <w:marTop w:val="0"/>
      <w:marBottom w:val="0"/>
      <w:divBdr>
        <w:top w:val="none" w:sz="0" w:space="0" w:color="auto"/>
        <w:left w:val="none" w:sz="0" w:space="0" w:color="auto"/>
        <w:bottom w:val="none" w:sz="0" w:space="0" w:color="auto"/>
        <w:right w:val="none" w:sz="0" w:space="0" w:color="auto"/>
      </w:divBdr>
    </w:div>
    <w:div w:id="1361711039">
      <w:bodyDiv w:val="1"/>
      <w:marLeft w:val="0"/>
      <w:marRight w:val="0"/>
      <w:marTop w:val="0"/>
      <w:marBottom w:val="0"/>
      <w:divBdr>
        <w:top w:val="none" w:sz="0" w:space="0" w:color="auto"/>
        <w:left w:val="none" w:sz="0" w:space="0" w:color="auto"/>
        <w:bottom w:val="none" w:sz="0" w:space="0" w:color="auto"/>
        <w:right w:val="none" w:sz="0" w:space="0" w:color="auto"/>
      </w:divBdr>
    </w:div>
    <w:div w:id="1474249393">
      <w:bodyDiv w:val="1"/>
      <w:marLeft w:val="0"/>
      <w:marRight w:val="0"/>
      <w:marTop w:val="0"/>
      <w:marBottom w:val="0"/>
      <w:divBdr>
        <w:top w:val="none" w:sz="0" w:space="0" w:color="auto"/>
        <w:left w:val="none" w:sz="0" w:space="0" w:color="auto"/>
        <w:bottom w:val="none" w:sz="0" w:space="0" w:color="auto"/>
        <w:right w:val="none" w:sz="0" w:space="0" w:color="auto"/>
      </w:divBdr>
    </w:div>
    <w:div w:id="1488085402">
      <w:bodyDiv w:val="1"/>
      <w:marLeft w:val="0"/>
      <w:marRight w:val="0"/>
      <w:marTop w:val="0"/>
      <w:marBottom w:val="0"/>
      <w:divBdr>
        <w:top w:val="none" w:sz="0" w:space="0" w:color="auto"/>
        <w:left w:val="none" w:sz="0" w:space="0" w:color="auto"/>
        <w:bottom w:val="none" w:sz="0" w:space="0" w:color="auto"/>
        <w:right w:val="none" w:sz="0" w:space="0" w:color="auto"/>
      </w:divBdr>
    </w:div>
    <w:div w:id="1508133937">
      <w:bodyDiv w:val="1"/>
      <w:marLeft w:val="0"/>
      <w:marRight w:val="0"/>
      <w:marTop w:val="0"/>
      <w:marBottom w:val="0"/>
      <w:divBdr>
        <w:top w:val="none" w:sz="0" w:space="0" w:color="auto"/>
        <w:left w:val="none" w:sz="0" w:space="0" w:color="auto"/>
        <w:bottom w:val="none" w:sz="0" w:space="0" w:color="auto"/>
        <w:right w:val="none" w:sz="0" w:space="0" w:color="auto"/>
      </w:divBdr>
    </w:div>
    <w:div w:id="1521776645">
      <w:bodyDiv w:val="1"/>
      <w:marLeft w:val="0"/>
      <w:marRight w:val="0"/>
      <w:marTop w:val="0"/>
      <w:marBottom w:val="0"/>
      <w:divBdr>
        <w:top w:val="none" w:sz="0" w:space="0" w:color="auto"/>
        <w:left w:val="none" w:sz="0" w:space="0" w:color="auto"/>
        <w:bottom w:val="none" w:sz="0" w:space="0" w:color="auto"/>
        <w:right w:val="none" w:sz="0" w:space="0" w:color="auto"/>
      </w:divBdr>
    </w:div>
    <w:div w:id="1525090195">
      <w:bodyDiv w:val="1"/>
      <w:marLeft w:val="0"/>
      <w:marRight w:val="0"/>
      <w:marTop w:val="0"/>
      <w:marBottom w:val="0"/>
      <w:divBdr>
        <w:top w:val="none" w:sz="0" w:space="0" w:color="auto"/>
        <w:left w:val="none" w:sz="0" w:space="0" w:color="auto"/>
        <w:bottom w:val="none" w:sz="0" w:space="0" w:color="auto"/>
        <w:right w:val="none" w:sz="0" w:space="0" w:color="auto"/>
      </w:divBdr>
    </w:div>
    <w:div w:id="1527981652">
      <w:bodyDiv w:val="1"/>
      <w:marLeft w:val="0"/>
      <w:marRight w:val="0"/>
      <w:marTop w:val="0"/>
      <w:marBottom w:val="0"/>
      <w:divBdr>
        <w:top w:val="none" w:sz="0" w:space="0" w:color="auto"/>
        <w:left w:val="none" w:sz="0" w:space="0" w:color="auto"/>
        <w:bottom w:val="none" w:sz="0" w:space="0" w:color="auto"/>
        <w:right w:val="none" w:sz="0" w:space="0" w:color="auto"/>
      </w:divBdr>
    </w:div>
    <w:div w:id="1587499758">
      <w:bodyDiv w:val="1"/>
      <w:marLeft w:val="0"/>
      <w:marRight w:val="0"/>
      <w:marTop w:val="0"/>
      <w:marBottom w:val="0"/>
      <w:divBdr>
        <w:top w:val="none" w:sz="0" w:space="0" w:color="auto"/>
        <w:left w:val="none" w:sz="0" w:space="0" w:color="auto"/>
        <w:bottom w:val="none" w:sz="0" w:space="0" w:color="auto"/>
        <w:right w:val="none" w:sz="0" w:space="0" w:color="auto"/>
      </w:divBdr>
    </w:div>
    <w:div w:id="1587611880">
      <w:bodyDiv w:val="1"/>
      <w:marLeft w:val="0"/>
      <w:marRight w:val="0"/>
      <w:marTop w:val="0"/>
      <w:marBottom w:val="0"/>
      <w:divBdr>
        <w:top w:val="none" w:sz="0" w:space="0" w:color="auto"/>
        <w:left w:val="none" w:sz="0" w:space="0" w:color="auto"/>
        <w:bottom w:val="none" w:sz="0" w:space="0" w:color="auto"/>
        <w:right w:val="none" w:sz="0" w:space="0" w:color="auto"/>
      </w:divBdr>
    </w:div>
    <w:div w:id="1596792457">
      <w:bodyDiv w:val="1"/>
      <w:marLeft w:val="0"/>
      <w:marRight w:val="0"/>
      <w:marTop w:val="0"/>
      <w:marBottom w:val="0"/>
      <w:divBdr>
        <w:top w:val="none" w:sz="0" w:space="0" w:color="auto"/>
        <w:left w:val="none" w:sz="0" w:space="0" w:color="auto"/>
        <w:bottom w:val="none" w:sz="0" w:space="0" w:color="auto"/>
        <w:right w:val="none" w:sz="0" w:space="0" w:color="auto"/>
      </w:divBdr>
    </w:div>
    <w:div w:id="1638605647">
      <w:bodyDiv w:val="1"/>
      <w:marLeft w:val="0"/>
      <w:marRight w:val="0"/>
      <w:marTop w:val="0"/>
      <w:marBottom w:val="0"/>
      <w:divBdr>
        <w:top w:val="none" w:sz="0" w:space="0" w:color="auto"/>
        <w:left w:val="none" w:sz="0" w:space="0" w:color="auto"/>
        <w:bottom w:val="none" w:sz="0" w:space="0" w:color="auto"/>
        <w:right w:val="none" w:sz="0" w:space="0" w:color="auto"/>
      </w:divBdr>
      <w:divsChild>
        <w:div w:id="4599298">
          <w:marLeft w:val="0"/>
          <w:marRight w:val="0"/>
          <w:marTop w:val="0"/>
          <w:marBottom w:val="0"/>
          <w:divBdr>
            <w:top w:val="none" w:sz="0" w:space="0" w:color="auto"/>
            <w:left w:val="none" w:sz="0" w:space="0" w:color="auto"/>
            <w:bottom w:val="none" w:sz="0" w:space="0" w:color="auto"/>
            <w:right w:val="none" w:sz="0" w:space="0" w:color="auto"/>
          </w:divBdr>
        </w:div>
        <w:div w:id="667367113">
          <w:marLeft w:val="0"/>
          <w:marRight w:val="0"/>
          <w:marTop w:val="0"/>
          <w:marBottom w:val="0"/>
          <w:divBdr>
            <w:top w:val="none" w:sz="0" w:space="0" w:color="auto"/>
            <w:left w:val="none" w:sz="0" w:space="0" w:color="auto"/>
            <w:bottom w:val="none" w:sz="0" w:space="0" w:color="auto"/>
            <w:right w:val="none" w:sz="0" w:space="0" w:color="auto"/>
          </w:divBdr>
        </w:div>
        <w:div w:id="795876206">
          <w:marLeft w:val="0"/>
          <w:marRight w:val="0"/>
          <w:marTop w:val="0"/>
          <w:marBottom w:val="0"/>
          <w:divBdr>
            <w:top w:val="none" w:sz="0" w:space="0" w:color="auto"/>
            <w:left w:val="none" w:sz="0" w:space="0" w:color="auto"/>
            <w:bottom w:val="none" w:sz="0" w:space="0" w:color="auto"/>
            <w:right w:val="none" w:sz="0" w:space="0" w:color="auto"/>
          </w:divBdr>
        </w:div>
      </w:divsChild>
    </w:div>
    <w:div w:id="1702431990">
      <w:bodyDiv w:val="1"/>
      <w:marLeft w:val="0"/>
      <w:marRight w:val="0"/>
      <w:marTop w:val="0"/>
      <w:marBottom w:val="0"/>
      <w:divBdr>
        <w:top w:val="none" w:sz="0" w:space="0" w:color="auto"/>
        <w:left w:val="none" w:sz="0" w:space="0" w:color="auto"/>
        <w:bottom w:val="none" w:sz="0" w:space="0" w:color="auto"/>
        <w:right w:val="none" w:sz="0" w:space="0" w:color="auto"/>
      </w:divBdr>
    </w:div>
    <w:div w:id="1723169729">
      <w:bodyDiv w:val="1"/>
      <w:marLeft w:val="0"/>
      <w:marRight w:val="0"/>
      <w:marTop w:val="0"/>
      <w:marBottom w:val="0"/>
      <w:divBdr>
        <w:top w:val="none" w:sz="0" w:space="0" w:color="auto"/>
        <w:left w:val="none" w:sz="0" w:space="0" w:color="auto"/>
        <w:bottom w:val="none" w:sz="0" w:space="0" w:color="auto"/>
        <w:right w:val="none" w:sz="0" w:space="0" w:color="auto"/>
      </w:divBdr>
    </w:div>
    <w:div w:id="1773427903">
      <w:bodyDiv w:val="1"/>
      <w:marLeft w:val="0"/>
      <w:marRight w:val="0"/>
      <w:marTop w:val="0"/>
      <w:marBottom w:val="0"/>
      <w:divBdr>
        <w:top w:val="none" w:sz="0" w:space="0" w:color="auto"/>
        <w:left w:val="none" w:sz="0" w:space="0" w:color="auto"/>
        <w:bottom w:val="none" w:sz="0" w:space="0" w:color="auto"/>
        <w:right w:val="none" w:sz="0" w:space="0" w:color="auto"/>
      </w:divBdr>
    </w:div>
    <w:div w:id="1792435526">
      <w:bodyDiv w:val="1"/>
      <w:marLeft w:val="0"/>
      <w:marRight w:val="0"/>
      <w:marTop w:val="0"/>
      <w:marBottom w:val="0"/>
      <w:divBdr>
        <w:top w:val="none" w:sz="0" w:space="0" w:color="auto"/>
        <w:left w:val="none" w:sz="0" w:space="0" w:color="auto"/>
        <w:bottom w:val="none" w:sz="0" w:space="0" w:color="auto"/>
        <w:right w:val="none" w:sz="0" w:space="0" w:color="auto"/>
      </w:divBdr>
    </w:div>
    <w:div w:id="1802503381">
      <w:bodyDiv w:val="1"/>
      <w:marLeft w:val="0"/>
      <w:marRight w:val="0"/>
      <w:marTop w:val="0"/>
      <w:marBottom w:val="0"/>
      <w:divBdr>
        <w:top w:val="none" w:sz="0" w:space="0" w:color="auto"/>
        <w:left w:val="none" w:sz="0" w:space="0" w:color="auto"/>
        <w:bottom w:val="none" w:sz="0" w:space="0" w:color="auto"/>
        <w:right w:val="none" w:sz="0" w:space="0" w:color="auto"/>
      </w:divBdr>
      <w:divsChild>
        <w:div w:id="1107773521">
          <w:marLeft w:val="0"/>
          <w:marRight w:val="0"/>
          <w:marTop w:val="0"/>
          <w:marBottom w:val="0"/>
          <w:divBdr>
            <w:top w:val="none" w:sz="0" w:space="0" w:color="auto"/>
            <w:left w:val="none" w:sz="0" w:space="0" w:color="auto"/>
            <w:bottom w:val="none" w:sz="0" w:space="0" w:color="auto"/>
            <w:right w:val="none" w:sz="0" w:space="0" w:color="auto"/>
          </w:divBdr>
        </w:div>
      </w:divsChild>
    </w:div>
    <w:div w:id="1810244207">
      <w:bodyDiv w:val="1"/>
      <w:marLeft w:val="0"/>
      <w:marRight w:val="0"/>
      <w:marTop w:val="0"/>
      <w:marBottom w:val="0"/>
      <w:divBdr>
        <w:top w:val="none" w:sz="0" w:space="0" w:color="auto"/>
        <w:left w:val="none" w:sz="0" w:space="0" w:color="auto"/>
        <w:bottom w:val="none" w:sz="0" w:space="0" w:color="auto"/>
        <w:right w:val="none" w:sz="0" w:space="0" w:color="auto"/>
      </w:divBdr>
    </w:div>
    <w:div w:id="1832939308">
      <w:bodyDiv w:val="1"/>
      <w:marLeft w:val="0"/>
      <w:marRight w:val="0"/>
      <w:marTop w:val="0"/>
      <w:marBottom w:val="0"/>
      <w:divBdr>
        <w:top w:val="none" w:sz="0" w:space="0" w:color="auto"/>
        <w:left w:val="none" w:sz="0" w:space="0" w:color="auto"/>
        <w:bottom w:val="none" w:sz="0" w:space="0" w:color="auto"/>
        <w:right w:val="none" w:sz="0" w:space="0" w:color="auto"/>
      </w:divBdr>
    </w:div>
    <w:div w:id="1834177641">
      <w:bodyDiv w:val="1"/>
      <w:marLeft w:val="0"/>
      <w:marRight w:val="0"/>
      <w:marTop w:val="0"/>
      <w:marBottom w:val="0"/>
      <w:divBdr>
        <w:top w:val="none" w:sz="0" w:space="0" w:color="auto"/>
        <w:left w:val="none" w:sz="0" w:space="0" w:color="auto"/>
        <w:bottom w:val="none" w:sz="0" w:space="0" w:color="auto"/>
        <w:right w:val="none" w:sz="0" w:space="0" w:color="auto"/>
      </w:divBdr>
    </w:div>
    <w:div w:id="1905215510">
      <w:bodyDiv w:val="1"/>
      <w:marLeft w:val="0"/>
      <w:marRight w:val="0"/>
      <w:marTop w:val="0"/>
      <w:marBottom w:val="0"/>
      <w:divBdr>
        <w:top w:val="none" w:sz="0" w:space="0" w:color="auto"/>
        <w:left w:val="none" w:sz="0" w:space="0" w:color="auto"/>
        <w:bottom w:val="none" w:sz="0" w:space="0" w:color="auto"/>
        <w:right w:val="none" w:sz="0" w:space="0" w:color="auto"/>
      </w:divBdr>
    </w:div>
    <w:div w:id="1917785223">
      <w:bodyDiv w:val="1"/>
      <w:marLeft w:val="0"/>
      <w:marRight w:val="0"/>
      <w:marTop w:val="0"/>
      <w:marBottom w:val="0"/>
      <w:divBdr>
        <w:top w:val="none" w:sz="0" w:space="0" w:color="auto"/>
        <w:left w:val="none" w:sz="0" w:space="0" w:color="auto"/>
        <w:bottom w:val="none" w:sz="0" w:space="0" w:color="auto"/>
        <w:right w:val="none" w:sz="0" w:space="0" w:color="auto"/>
      </w:divBdr>
      <w:divsChild>
        <w:div w:id="1176044116">
          <w:marLeft w:val="0"/>
          <w:marRight w:val="0"/>
          <w:marTop w:val="0"/>
          <w:marBottom w:val="0"/>
          <w:divBdr>
            <w:top w:val="none" w:sz="0" w:space="0" w:color="auto"/>
            <w:left w:val="none" w:sz="0" w:space="0" w:color="auto"/>
            <w:bottom w:val="none" w:sz="0" w:space="0" w:color="auto"/>
            <w:right w:val="none" w:sz="0" w:space="0" w:color="auto"/>
          </w:divBdr>
        </w:div>
        <w:div w:id="1214925225">
          <w:marLeft w:val="0"/>
          <w:marRight w:val="0"/>
          <w:marTop w:val="0"/>
          <w:marBottom w:val="0"/>
          <w:divBdr>
            <w:top w:val="none" w:sz="0" w:space="0" w:color="auto"/>
            <w:left w:val="none" w:sz="0" w:space="0" w:color="auto"/>
            <w:bottom w:val="none" w:sz="0" w:space="0" w:color="auto"/>
            <w:right w:val="none" w:sz="0" w:space="0" w:color="auto"/>
          </w:divBdr>
        </w:div>
        <w:div w:id="1343363663">
          <w:marLeft w:val="0"/>
          <w:marRight w:val="0"/>
          <w:marTop w:val="0"/>
          <w:marBottom w:val="0"/>
          <w:divBdr>
            <w:top w:val="none" w:sz="0" w:space="0" w:color="auto"/>
            <w:left w:val="none" w:sz="0" w:space="0" w:color="auto"/>
            <w:bottom w:val="none" w:sz="0" w:space="0" w:color="auto"/>
            <w:right w:val="none" w:sz="0" w:space="0" w:color="auto"/>
          </w:divBdr>
        </w:div>
        <w:div w:id="1371681911">
          <w:marLeft w:val="0"/>
          <w:marRight w:val="0"/>
          <w:marTop w:val="0"/>
          <w:marBottom w:val="0"/>
          <w:divBdr>
            <w:top w:val="none" w:sz="0" w:space="0" w:color="auto"/>
            <w:left w:val="none" w:sz="0" w:space="0" w:color="auto"/>
            <w:bottom w:val="none" w:sz="0" w:space="0" w:color="auto"/>
            <w:right w:val="none" w:sz="0" w:space="0" w:color="auto"/>
          </w:divBdr>
        </w:div>
      </w:divsChild>
    </w:div>
    <w:div w:id="1921983698">
      <w:bodyDiv w:val="1"/>
      <w:marLeft w:val="0"/>
      <w:marRight w:val="0"/>
      <w:marTop w:val="0"/>
      <w:marBottom w:val="0"/>
      <w:divBdr>
        <w:top w:val="none" w:sz="0" w:space="0" w:color="auto"/>
        <w:left w:val="none" w:sz="0" w:space="0" w:color="auto"/>
        <w:bottom w:val="none" w:sz="0" w:space="0" w:color="auto"/>
        <w:right w:val="none" w:sz="0" w:space="0" w:color="auto"/>
      </w:divBdr>
    </w:div>
    <w:div w:id="1938974799">
      <w:bodyDiv w:val="1"/>
      <w:marLeft w:val="0"/>
      <w:marRight w:val="0"/>
      <w:marTop w:val="0"/>
      <w:marBottom w:val="0"/>
      <w:divBdr>
        <w:top w:val="none" w:sz="0" w:space="0" w:color="auto"/>
        <w:left w:val="none" w:sz="0" w:space="0" w:color="auto"/>
        <w:bottom w:val="none" w:sz="0" w:space="0" w:color="auto"/>
        <w:right w:val="none" w:sz="0" w:space="0" w:color="auto"/>
      </w:divBdr>
    </w:div>
    <w:div w:id="1978874936">
      <w:bodyDiv w:val="1"/>
      <w:marLeft w:val="0"/>
      <w:marRight w:val="0"/>
      <w:marTop w:val="0"/>
      <w:marBottom w:val="0"/>
      <w:divBdr>
        <w:top w:val="none" w:sz="0" w:space="0" w:color="auto"/>
        <w:left w:val="none" w:sz="0" w:space="0" w:color="auto"/>
        <w:bottom w:val="none" w:sz="0" w:space="0" w:color="auto"/>
        <w:right w:val="none" w:sz="0" w:space="0" w:color="auto"/>
      </w:divBdr>
    </w:div>
    <w:div w:id="2000959091">
      <w:bodyDiv w:val="1"/>
      <w:marLeft w:val="0"/>
      <w:marRight w:val="0"/>
      <w:marTop w:val="0"/>
      <w:marBottom w:val="0"/>
      <w:divBdr>
        <w:top w:val="none" w:sz="0" w:space="0" w:color="auto"/>
        <w:left w:val="none" w:sz="0" w:space="0" w:color="auto"/>
        <w:bottom w:val="none" w:sz="0" w:space="0" w:color="auto"/>
        <w:right w:val="none" w:sz="0" w:space="0" w:color="auto"/>
      </w:divBdr>
    </w:div>
    <w:div w:id="2018463505">
      <w:bodyDiv w:val="1"/>
      <w:marLeft w:val="0"/>
      <w:marRight w:val="0"/>
      <w:marTop w:val="0"/>
      <w:marBottom w:val="0"/>
      <w:divBdr>
        <w:top w:val="none" w:sz="0" w:space="0" w:color="auto"/>
        <w:left w:val="none" w:sz="0" w:space="0" w:color="auto"/>
        <w:bottom w:val="none" w:sz="0" w:space="0" w:color="auto"/>
        <w:right w:val="none" w:sz="0" w:space="0" w:color="auto"/>
      </w:divBdr>
    </w:div>
    <w:div w:id="2024043062">
      <w:bodyDiv w:val="1"/>
      <w:marLeft w:val="0"/>
      <w:marRight w:val="0"/>
      <w:marTop w:val="0"/>
      <w:marBottom w:val="0"/>
      <w:divBdr>
        <w:top w:val="none" w:sz="0" w:space="0" w:color="auto"/>
        <w:left w:val="none" w:sz="0" w:space="0" w:color="auto"/>
        <w:bottom w:val="none" w:sz="0" w:space="0" w:color="auto"/>
        <w:right w:val="none" w:sz="0" w:space="0" w:color="auto"/>
      </w:divBdr>
    </w:div>
    <w:div w:id="2070373338">
      <w:bodyDiv w:val="1"/>
      <w:marLeft w:val="0"/>
      <w:marRight w:val="0"/>
      <w:marTop w:val="0"/>
      <w:marBottom w:val="0"/>
      <w:divBdr>
        <w:top w:val="none" w:sz="0" w:space="0" w:color="auto"/>
        <w:left w:val="none" w:sz="0" w:space="0" w:color="auto"/>
        <w:bottom w:val="none" w:sz="0" w:space="0" w:color="auto"/>
        <w:right w:val="none" w:sz="0" w:space="0" w:color="auto"/>
      </w:divBdr>
    </w:div>
    <w:div w:id="2111047573">
      <w:bodyDiv w:val="1"/>
      <w:marLeft w:val="0"/>
      <w:marRight w:val="0"/>
      <w:marTop w:val="0"/>
      <w:marBottom w:val="0"/>
      <w:divBdr>
        <w:top w:val="none" w:sz="0" w:space="0" w:color="auto"/>
        <w:left w:val="none" w:sz="0" w:space="0" w:color="auto"/>
        <w:bottom w:val="none" w:sz="0" w:space="0" w:color="auto"/>
        <w:right w:val="none" w:sz="0" w:space="0" w:color="auto"/>
      </w:divBdr>
    </w:div>
    <w:div w:id="212842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footer" Target="footer2.xml"/><Relationship Id="rId42" Type="http://schemas.openxmlformats.org/officeDocument/2006/relationships/hyperlink" Target="https://www.abs.gov.au/statistics/people/population/population-projections-australia/2017-base-2066" TargetMode="External"/><Relationship Id="rId47" Type="http://schemas.openxmlformats.org/officeDocument/2006/relationships/hyperlink" Target="https://www.education.gov.au/australian-universities-accord/consultations/consultation-accord-terms-reference/submission/15035" TargetMode="External"/><Relationship Id="rId63" Type="http://schemas.openxmlformats.org/officeDocument/2006/relationships/image" Target="media/image27.png"/><Relationship Id="rId68" Type="http://schemas.openxmlformats.org/officeDocument/2006/relationships/hyperlink" Target="https://qilt.edu.au/surveys/student-experience-survey-(ses)" TargetMode="External"/><Relationship Id="rId84" Type="http://schemas.openxmlformats.org/officeDocument/2006/relationships/theme" Target="theme/theme1.xml"/><Relationship Id="rId16" Type="http://schemas.openxmlformats.org/officeDocument/2006/relationships/hyperlink" Target="https://creativecommons.org/licenses/by/4.0/legalcode" TargetMode="External"/><Relationship Id="rId11" Type="http://schemas.openxmlformats.org/officeDocument/2006/relationships/image" Target="media/image1.png"/><Relationship Id="rId32" Type="http://schemas.openxmlformats.org/officeDocument/2006/relationships/image" Target="media/image11.png"/><Relationship Id="rId37" Type="http://schemas.openxmlformats.org/officeDocument/2006/relationships/hyperlink" Target="https://www.abs.gov.au/statistics/people/population/population-projections-australia/2017-base-2066" TargetMode="External"/><Relationship Id="rId53" Type="http://schemas.openxmlformats.org/officeDocument/2006/relationships/hyperlink" Target="https://www.abs.gov.au/census" TargetMode="External"/><Relationship Id="rId58" Type="http://schemas.openxmlformats.org/officeDocument/2006/relationships/hyperlink" Target="https://labourmarketinsights.gov.au/our-research/employment-projections/" TargetMode="External"/><Relationship Id="rId74" Type="http://schemas.openxmlformats.org/officeDocument/2006/relationships/hyperlink" Target="https://qilt.edu.au/surveys/student-experience-survey-(ses)" TargetMode="External"/><Relationship Id="rId79" Type="http://schemas.openxmlformats.org/officeDocument/2006/relationships/image" Target="media/image38.svg"/><Relationship Id="rId5" Type="http://schemas.openxmlformats.org/officeDocument/2006/relationships/numbering" Target="numbering.xml"/><Relationship Id="rId19" Type="http://schemas.openxmlformats.org/officeDocument/2006/relationships/header" Target="header2.xml"/><Relationship Id="rId14" Type="http://schemas.openxmlformats.org/officeDocument/2006/relationships/image" Target="media/image4.jpeg"/><Relationship Id="rId22" Type="http://schemas.openxmlformats.org/officeDocument/2006/relationships/header" Target="header3.xml"/><Relationship Id="rId27" Type="http://schemas.openxmlformats.org/officeDocument/2006/relationships/image" Target="media/image8.svg"/><Relationship Id="rId30" Type="http://schemas.openxmlformats.org/officeDocument/2006/relationships/image" Target="media/image10.svg"/><Relationship Id="rId35" Type="http://schemas.openxmlformats.org/officeDocument/2006/relationships/image" Target="media/image14.svg"/><Relationship Id="rId43" Type="http://schemas.openxmlformats.org/officeDocument/2006/relationships/hyperlink" Target="https://population.gov.au/data-and-forecasts/projections" TargetMode="External"/><Relationship Id="rId48" Type="http://schemas.openxmlformats.org/officeDocument/2006/relationships/image" Target="media/image19.png"/><Relationship Id="rId56" Type="http://schemas.openxmlformats.org/officeDocument/2006/relationships/image" Target="media/image23.png"/><Relationship Id="rId64" Type="http://schemas.openxmlformats.org/officeDocument/2006/relationships/image" Target="media/image28.svg"/><Relationship Id="rId69" Type="http://schemas.openxmlformats.org/officeDocument/2006/relationships/image" Target="media/image31.png"/><Relationship Id="rId77" Type="http://schemas.openxmlformats.org/officeDocument/2006/relationships/hyperlink" Target="https://www.education.gov.au/higher-education-publications/finance-publication" TargetMode="External"/><Relationship Id="rId8" Type="http://schemas.openxmlformats.org/officeDocument/2006/relationships/webSettings" Target="webSettings.xml"/><Relationship Id="rId51" Type="http://schemas.openxmlformats.org/officeDocument/2006/relationships/image" Target="media/image21.png"/><Relationship Id="rId72" Type="http://schemas.openxmlformats.org/officeDocument/2006/relationships/image" Target="media/image33.png"/><Relationship Id="rId80" Type="http://schemas.openxmlformats.org/officeDocument/2006/relationships/hyperlink" Target="https://www.education.gov.au/higher-education-statistics/student-data/selected-higher-education-statistics-2021-student-data" TargetMode="External"/><Relationship Id="rId85" Type="http://schemas.microsoft.com/office/2019/05/relationships/documenttasks" Target="documenttasks/documenttasks1.xm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hyperlink" Target="https://www.education.gov.au/australian-universities-accord" TargetMode="External"/><Relationship Id="rId25" Type="http://schemas.openxmlformats.org/officeDocument/2006/relationships/image" Target="media/image6.svg"/><Relationship Id="rId33" Type="http://schemas.openxmlformats.org/officeDocument/2006/relationships/image" Target="media/image12.svg"/><Relationship Id="rId38" Type="http://schemas.openxmlformats.org/officeDocument/2006/relationships/hyperlink" Target="https://population.gov.au/data-and-forecasts/projections" TargetMode="External"/><Relationship Id="rId46" Type="http://schemas.openxmlformats.org/officeDocument/2006/relationships/hyperlink" Target="https://www.abs.gov.au/census" TargetMode="External"/><Relationship Id="rId59" Type="http://schemas.openxmlformats.org/officeDocument/2006/relationships/hyperlink" Target="https://www.education.gov.au/higher-education-statistics/student-data/selected-higher-education-statistics-2021-student-data" TargetMode="External"/><Relationship Id="rId67" Type="http://schemas.openxmlformats.org/officeDocument/2006/relationships/image" Target="media/image30.svg"/><Relationship Id="rId20" Type="http://schemas.openxmlformats.org/officeDocument/2006/relationships/footer" Target="footer1.xml"/><Relationship Id="rId41" Type="http://schemas.openxmlformats.org/officeDocument/2006/relationships/hyperlink" Target="https://www.abs.gov.au/census" TargetMode="External"/><Relationship Id="rId54" Type="http://schemas.openxmlformats.org/officeDocument/2006/relationships/hyperlink" Target="https://www.abs.gov.au/statistics/people/population/population-projections-australia/2017-base-2066" TargetMode="External"/><Relationship Id="rId62" Type="http://schemas.openxmlformats.org/officeDocument/2006/relationships/hyperlink" Target="https://www.education.gov.au/higher-education-statistics/student-data/selected-higher-education-statistics-2021-student-data" TargetMode="External"/><Relationship Id="rId70" Type="http://schemas.openxmlformats.org/officeDocument/2006/relationships/image" Target="media/image32.svg"/><Relationship Id="rId75" Type="http://schemas.openxmlformats.org/officeDocument/2006/relationships/image" Target="media/image35.pn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reativecommons.org/licenses/by/4.0/" TargetMode="External"/><Relationship Id="rId23" Type="http://schemas.openxmlformats.org/officeDocument/2006/relationships/footer" Target="footer3.xml"/><Relationship Id="rId28" Type="http://schemas.openxmlformats.org/officeDocument/2006/relationships/hyperlink" Target="https://www.abs.gov.au/statistics/people/education/education-and-work-australia/latest-release" TargetMode="External"/><Relationship Id="rId36" Type="http://schemas.openxmlformats.org/officeDocument/2006/relationships/hyperlink" Target="https://www.abs.gov.au/census" TargetMode="External"/><Relationship Id="rId49" Type="http://schemas.openxmlformats.org/officeDocument/2006/relationships/image" Target="media/image20.svg"/><Relationship Id="rId57" Type="http://schemas.openxmlformats.org/officeDocument/2006/relationships/image" Target="media/image24.svg"/><Relationship Id="rId10" Type="http://schemas.openxmlformats.org/officeDocument/2006/relationships/endnotes" Target="endnotes.xml"/><Relationship Id="rId31" Type="http://schemas.openxmlformats.org/officeDocument/2006/relationships/hyperlink" Target="https://data.oecd.org/eduatt/population-with-tertiary-education.htm" TargetMode="External"/><Relationship Id="rId44" Type="http://schemas.openxmlformats.org/officeDocument/2006/relationships/image" Target="media/image17.png"/><Relationship Id="rId52" Type="http://schemas.openxmlformats.org/officeDocument/2006/relationships/image" Target="media/image22.svg"/><Relationship Id="rId60" Type="http://schemas.openxmlformats.org/officeDocument/2006/relationships/image" Target="media/image25.png"/><Relationship Id="rId65" Type="http://schemas.openxmlformats.org/officeDocument/2006/relationships/hyperlink" Target="https://qilt.edu.au/surveys/student-experience-survey-(ses)" TargetMode="External"/><Relationship Id="rId73" Type="http://schemas.openxmlformats.org/officeDocument/2006/relationships/image" Target="media/image34.svg"/><Relationship Id="rId78" Type="http://schemas.openxmlformats.org/officeDocument/2006/relationships/image" Target="media/image37.png"/><Relationship Id="rId81" Type="http://schemas.openxmlformats.org/officeDocument/2006/relationships/image" Target="media/image39.png"/><Relationship Id="rId86"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header" Target="header1.xml"/><Relationship Id="rId39" Type="http://schemas.openxmlformats.org/officeDocument/2006/relationships/image" Target="media/image15.png"/><Relationship Id="rId34" Type="http://schemas.openxmlformats.org/officeDocument/2006/relationships/image" Target="media/image13.png"/><Relationship Id="rId50" Type="http://schemas.openxmlformats.org/officeDocument/2006/relationships/hyperlink" Target="https://www.education.gov.au/higher-education-statistics/student-data/selected-higher-education-statistics-2021-student-data" TargetMode="External"/><Relationship Id="rId55" Type="http://schemas.openxmlformats.org/officeDocument/2006/relationships/hyperlink" Target="https://population.gov.au/data-and-forecasts/projections" TargetMode="External"/><Relationship Id="rId76" Type="http://schemas.openxmlformats.org/officeDocument/2006/relationships/image" Target="media/image36.svg"/><Relationship Id="rId7" Type="http://schemas.openxmlformats.org/officeDocument/2006/relationships/settings" Target="settings.xml"/><Relationship Id="rId71" Type="http://schemas.openxmlformats.org/officeDocument/2006/relationships/hyperlink" Target="https://www.education.gov.au/international-education-data-and-research/international-student-monthly-summary-and-data-tables" TargetMode="External"/><Relationship Id="rId2" Type="http://schemas.openxmlformats.org/officeDocument/2006/relationships/customXml" Target="../customXml/item2.xml"/><Relationship Id="rId29" Type="http://schemas.openxmlformats.org/officeDocument/2006/relationships/image" Target="media/image9.png"/><Relationship Id="rId24" Type="http://schemas.openxmlformats.org/officeDocument/2006/relationships/image" Target="media/image5.png"/><Relationship Id="rId40" Type="http://schemas.openxmlformats.org/officeDocument/2006/relationships/image" Target="media/image16.svg"/><Relationship Id="rId45" Type="http://schemas.openxmlformats.org/officeDocument/2006/relationships/image" Target="media/image18.svg"/><Relationship Id="rId66" Type="http://schemas.openxmlformats.org/officeDocument/2006/relationships/image" Target="media/image29.png"/><Relationship Id="rId61" Type="http://schemas.openxmlformats.org/officeDocument/2006/relationships/image" Target="media/image26.svg"/><Relationship Id="rId82" Type="http://schemas.openxmlformats.org/officeDocument/2006/relationships/image" Target="media/image40.svg"/></Relationships>
</file>

<file path=word/_rels/footnotes.xml.rels><?xml version="1.0" encoding="UTF-8" standalone="yes"?>
<Relationships xmlns="http://schemas.openxmlformats.org/package/2006/relationships"><Relationship Id="rId117" Type="http://schemas.openxmlformats.org/officeDocument/2006/relationships/hyperlink" Target="https://www.education.gov.au/australian-universities-accord/consultations/australian-universities-accord-panel-discussion-paper-consultation/submission/15917" TargetMode="External"/><Relationship Id="rId21" Type="http://schemas.openxmlformats.org/officeDocument/2006/relationships/hyperlink" Target="https://www.education.gov.au/australian-universities-accord/consultations/australian-universities-accord-panel-discussion-paper-consultation/submission/15912" TargetMode="External"/><Relationship Id="rId42" Type="http://schemas.openxmlformats.org/officeDocument/2006/relationships/hyperlink" Target="https://education.nsw.gov.au/about-us/strategies-and-reports/our-reports-and-reviews/review-on-the-nsw-vocational-education-and-training-sector" TargetMode="External"/><Relationship Id="rId63" Type="http://schemas.openxmlformats.org/officeDocument/2006/relationships/hyperlink" Target="https://www.core-econ.org/" TargetMode="External"/><Relationship Id="rId84" Type="http://schemas.openxmlformats.org/officeDocument/2006/relationships/hyperlink" Target="https://www.anu.edu.au/alumni/get-involved/networking/indigenous-alumni" TargetMode="External"/><Relationship Id="rId138" Type="http://schemas.openxmlformats.org/officeDocument/2006/relationships/hyperlink" Target="https://www.education.gov.au/higher-education-publications/resources/2022-transparency-higher-education-expenditure-publication" TargetMode="External"/><Relationship Id="rId107" Type="http://schemas.openxmlformats.org/officeDocument/2006/relationships/hyperlink" Target="https://lens.monash.edu/@education/2023/06/07/1385853/workplace-relations-and-insecure-employment-in-australian-universities" TargetMode="External"/><Relationship Id="rId11" Type="http://schemas.openxmlformats.org/officeDocument/2006/relationships/hyperlink" Target="https://www.theguardian.com/commentisfree/2021/may/26/to-stop-from-losing-hope-i-focus-on-the-positive-stories-of-change-in-my-own-family" TargetMode="External"/><Relationship Id="rId32" Type="http://schemas.openxmlformats.org/officeDocument/2006/relationships/hyperlink" Target="https://www.engineersaustralia.org.au/publications/strengthening-engineering-workforce-australia" TargetMode="External"/><Relationship Id="rId37" Type="http://schemas.openxmlformats.org/officeDocument/2006/relationships/hyperlink" Target="https://research.acer.edu.au/higher_education/44/" TargetMode="External"/><Relationship Id="rId53" Type="http://schemas.openxmlformats.org/officeDocument/2006/relationships/hyperlink" Target="https://www.universitiesaustralia.edu.au/wp-content/uploads/2019/06/180713-2017-UA-Student-Finance-Survey-Report.pdf" TargetMode="External"/><Relationship Id="rId58" Type="http://schemas.openxmlformats.org/officeDocument/2006/relationships/hyperlink" Target="https://udlguidelines.cast.org/?utm_source=castsite&amp;lutm_medium=web&amp;utm_campaign=none&amp;utm_content=aboutudl&amp;_gl=1*573r9r*_ga*MTcwMjU2NTk2My4xNjg3NzU2MjAx*_ga_C7LXP5M74W*MTY4Nzc1NjIwMC4xLjEuMTY4Nzc1NjIwNy4wLjAuMA.." TargetMode="External"/><Relationship Id="rId74" Type="http://schemas.openxmlformats.org/officeDocument/2006/relationships/hyperlink" Target="https://www.cdu.edu.au/news/new-cyber-security-training-hub-planned-charles-darwin-university" TargetMode="External"/><Relationship Id="rId79" Type="http://schemas.openxmlformats.org/officeDocument/2006/relationships/hyperlink" Target="https://open.sydneyuniversitypress.com.au/9781743327579.html" TargetMode="External"/><Relationship Id="rId102" Type="http://schemas.openxmlformats.org/officeDocument/2006/relationships/hyperlink" Target="https://ucc.edu.au/university-governance-in-australia" TargetMode="External"/><Relationship Id="rId123" Type="http://schemas.openxmlformats.org/officeDocument/2006/relationships/hyperlink" Target="https://www.aph.gov.au/About_Parliament/Parliamentary_Departments/Parliamentary_Library/FlagPost/2018/November/Education_Investment_Fund" TargetMode="External"/><Relationship Id="rId128" Type="http://schemas.openxmlformats.org/officeDocument/2006/relationships/hyperlink" Target="https://www.education.gov.au/australian-universities-accord/consultations/australian-universities-accord-panel-discussion-paper-consultation/submission/15952" TargetMode="External"/><Relationship Id="rId5" Type="http://schemas.openxmlformats.org/officeDocument/2006/relationships/hyperlink" Target="https://apo.org.au/sites/default/files/resource-files/2008-12/apo-nid15776.pdf" TargetMode="External"/><Relationship Id="rId90" Type="http://schemas.openxmlformats.org/officeDocument/2006/relationships/hyperlink" Target="https://www.education.gov.au/research-block-grants/resources/research-income-time-series" TargetMode="External"/><Relationship Id="rId95" Type="http://schemas.openxmlformats.org/officeDocument/2006/relationships/hyperlink" Target="https://www.dpac.tas.gov.au/divisions/policy/partnership_with_the_university_of_tasmania" TargetMode="External"/><Relationship Id="rId22" Type="http://schemas.openxmlformats.org/officeDocument/2006/relationships/hyperlink" Target="https://www.education.gov.au/quality-schools-package/resources/national-school-reform-agreement" TargetMode="External"/><Relationship Id="rId27" Type="http://schemas.openxmlformats.org/officeDocument/2006/relationships/hyperlink" Target="https://www.industry.gov.au/publications/list-critical-technologies-national-interest" TargetMode="External"/><Relationship Id="rId43" Type="http://schemas.openxmlformats.org/officeDocument/2006/relationships/hyperlink" Target="https://www.education.gov.au/australian-universities-accord/consultations/australian-universities-accord-panel-discussion-paper-consultation/submission/16303" TargetMode="External"/><Relationship Id="rId48" Type="http://schemas.openxmlformats.org/officeDocument/2006/relationships/hyperlink" Target="https://www.education.gov.au/australian-universities-accord/consultations/australian-universities-accord-panel-discussion-paper-consultation/submission/15924" TargetMode="External"/><Relationship Id="rId64" Type="http://schemas.openxmlformats.org/officeDocument/2006/relationships/hyperlink" Target="https://www.education.gov.au/international-education-data-and-research/international-student-monthly-summary-and-data-tables" TargetMode="External"/><Relationship Id="rId69" Type="http://schemas.openxmlformats.org/officeDocument/2006/relationships/hyperlink" Target="https://www.education.gov.au/international-education-engagement/resources/recognition-qualifications-australia-india" TargetMode="External"/><Relationship Id="rId113" Type="http://schemas.openxmlformats.org/officeDocument/2006/relationships/hyperlink" Target="https://www.fairwork.gov.au/find-help-for/visa-holders-migrants/visa-protections-the-assurance-protocol" TargetMode="External"/><Relationship Id="rId118" Type="http://schemas.openxmlformats.org/officeDocument/2006/relationships/hyperlink" Target="https://ndhadeliver.natlib.govt.nz/delivery/DeliveryManagerServlet?dps_pid=IE73105345" TargetMode="External"/><Relationship Id="rId134" Type="http://schemas.openxmlformats.org/officeDocument/2006/relationships/hyperlink" Target="https://www.education.gov.au/australian-universities-accord/consultations/australian-universities-accord-panel-discussion-paper-consultation/submission/15945" TargetMode="External"/><Relationship Id="rId139" Type="http://schemas.openxmlformats.org/officeDocument/2006/relationships/hyperlink" Target="https://www.education.gov.au/australian-universities-accord/consultations/australian-universities-accord-panel-discussion-paper-consultation/submission/15951" TargetMode="External"/><Relationship Id="rId80" Type="http://schemas.openxmlformats.org/officeDocument/2006/relationships/hyperlink" Target="https://www.aihw.gov.au/reports/indigenous-australians/education-programs-for-indigenous-australians-abou/contents/table-of-contents" TargetMode="External"/><Relationship Id="rId85" Type="http://schemas.openxmlformats.org/officeDocument/2006/relationships/hyperlink" Target="https://www.timeshighereducation.com/impactrankings" TargetMode="External"/><Relationship Id="rId12" Type="http://schemas.openxmlformats.org/officeDocument/2006/relationships/hyperlink" Target="https://ulurustatement.org/the-statement/view-the-statement/" TargetMode="External"/><Relationship Id="rId17" Type="http://schemas.openxmlformats.org/officeDocument/2006/relationships/hyperlink" Target="https://canapprove.ae/canada-immigration-news/g7s-most-educated-country" TargetMode="External"/><Relationship Id="rId33" Type="http://schemas.openxmlformats.org/officeDocument/2006/relationships/hyperlink" Target="https://www.infrastructureaustralia.gov.au/infrastructure-workforce-skills-supply" TargetMode="External"/><Relationship Id="rId38" Type="http://schemas.openxmlformats.org/officeDocument/2006/relationships/hyperlink" Target="https://www.universitiesaustralia.edu.au/wp-content/uploads/2022/03/WIL-in-universities-final-report-April-2019.pdf" TargetMode="External"/><Relationship Id="rId59" Type="http://schemas.openxmlformats.org/officeDocument/2006/relationships/hyperlink" Target="https://www.vu.edu.au/study-at-vu/why-choose-vu/vu-block-model" TargetMode="External"/><Relationship Id="rId103" Type="http://schemas.openxmlformats.org/officeDocument/2006/relationships/hyperlink" Target="https://static1.squarespace.com/static/5b984f4e5ffd2046651aea73/t/5bceb24d4192023439248fee/1540272720988/Legislative-changes-affecting-University-Governance-20180221.pdf" TargetMode="External"/><Relationship Id="rId108" Type="http://schemas.openxmlformats.org/officeDocument/2006/relationships/hyperlink" Target="https://www.education.gov.au/higher-education-statistics/resources/staff-pivot-table" TargetMode="External"/><Relationship Id="rId124" Type="http://schemas.openxmlformats.org/officeDocument/2006/relationships/hyperlink" Target="https://www.education.gov.au/higher-education-publications/resources/2019-transparency-higher-education-expenditure-publication" TargetMode="External"/><Relationship Id="rId129" Type="http://schemas.openxmlformats.org/officeDocument/2006/relationships/hyperlink" Target="https://www.education.gov.au/australian-universities-accord/consultations/australian-universities-accord-panel-discussion-paper-consultation/submission/15877" TargetMode="External"/><Relationship Id="rId54" Type="http://schemas.openxmlformats.org/officeDocument/2006/relationships/hyperlink" Target="https://www.abs.gov.au/statistics/people/education/work-related-training-and-adult-learning-australia/latest-release" TargetMode="External"/><Relationship Id="rId70" Type="http://schemas.openxmlformats.org/officeDocument/2006/relationships/hyperlink" Target="https://alga.com.au/2022-local-government-workforce-skills-and-capability-survey/" TargetMode="External"/><Relationship Id="rId75" Type="http://schemas.openxmlformats.org/officeDocument/2006/relationships/hyperlink" Target="https://www.health.gov.au/our-work/murray-darling-medical-schools-network" TargetMode="External"/><Relationship Id="rId91" Type="http://schemas.openxmlformats.org/officeDocument/2006/relationships/hyperlink" Target="https://www.globalinnovationindex.org/gii-2022-report" TargetMode="External"/><Relationship Id="rId96" Type="http://schemas.openxmlformats.org/officeDocument/2006/relationships/hyperlink" Target="https://fishing.tas.gov.au/news-events/sustainable-research-agreement-renewed" TargetMode="External"/><Relationship Id="rId140" Type="http://schemas.openxmlformats.org/officeDocument/2006/relationships/hyperlink" Target="https://www.abs.gov.au/statistics/economy/price-indexes-and-inflation/consumer-price-index-australia/latest-release" TargetMode="External"/><Relationship Id="rId1" Type="http://schemas.openxmlformats.org/officeDocument/2006/relationships/hyperlink" Target="https://labourmarketinsights.gov.au/our-research/employment-projections/" TargetMode="External"/><Relationship Id="rId6" Type="http://schemas.openxmlformats.org/officeDocument/2006/relationships/hyperlink" Target="https://www.education.gov.au/higher-education-statistics/resources/2021-section-11-equity-groups" TargetMode="External"/><Relationship Id="rId23" Type="http://schemas.openxmlformats.org/officeDocument/2006/relationships/hyperlink" Target="https://www.pc.gov.au/inquiries/completed/school-agreement/report" TargetMode="External"/><Relationship Id="rId28" Type="http://schemas.openxmlformats.org/officeDocument/2006/relationships/hyperlink" Target="https://www.theaustralian.com.au/nation/defence/submarines-need-108-phdlevel-nuclear-scientists-a-year/news-story/dd90b2754969d5170f18017386b05686" TargetMode="External"/><Relationship Id="rId49" Type="http://schemas.openxmlformats.org/officeDocument/2006/relationships/hyperlink" Target="https://www.education.gov.au/access-and-participation/resources/national-regional-rural-and-remote-tertiary-education-strategy-final-report" TargetMode="External"/><Relationship Id="rId114" Type="http://schemas.openxmlformats.org/officeDocument/2006/relationships/hyperlink" Target="https://rlc.org.au/what-we-do/our-services/international-student-legal-service-nsw" TargetMode="External"/><Relationship Id="rId119" Type="http://schemas.openxmlformats.org/officeDocument/2006/relationships/hyperlink" Target="https://www.scoop.co.nz/stories/PO2107/S00142/nzusa-welcomes-new-learner-wellbeing-and-safety-code.htm" TargetMode="External"/><Relationship Id="rId44" Type="http://schemas.openxmlformats.org/officeDocument/2006/relationships/hyperlink" Target="https://www.pc.gov.au/inquiries/completed/productivity/report" TargetMode="External"/><Relationship Id="rId60" Type="http://schemas.openxmlformats.org/officeDocument/2006/relationships/hyperlink" Target="https://www.csu.edu.au/division/student-success/units/academic-skills-student-retention/student-retention" TargetMode="External"/><Relationship Id="rId65" Type="http://schemas.openxmlformats.org/officeDocument/2006/relationships/hyperlink" Target="http://data.uis.unesco.org/" TargetMode="External"/><Relationship Id="rId81" Type="http://schemas.openxmlformats.org/officeDocument/2006/relationships/hyperlink" Target="https://siren.org.au/evidence-review-for-the-wa-aboriginal-shbbv-strategy/" TargetMode="External"/><Relationship Id="rId86" Type="http://schemas.openxmlformats.org/officeDocument/2006/relationships/hyperlink" Target="https://www.abs.gov.au/statistics/industry/technology-and-innovation" TargetMode="External"/><Relationship Id="rId130" Type="http://schemas.openxmlformats.org/officeDocument/2006/relationships/hyperlink" Target="https://www.education.gov.au/recurrent-funding-schools/schooling-resource-standard" TargetMode="External"/><Relationship Id="rId135" Type="http://schemas.openxmlformats.org/officeDocument/2006/relationships/hyperlink" Target="https://www.education.gov.au/australian-universities-accord/consultations/australian-universities-accord-panel-discussion-paper-consultation/submission/15877" TargetMode="External"/><Relationship Id="rId13" Type="http://schemas.openxmlformats.org/officeDocument/2006/relationships/hyperlink" Target="https://www.pc.gov.au/closing-the-gap-data" TargetMode="External"/><Relationship Id="rId18" Type="http://schemas.openxmlformats.org/officeDocument/2006/relationships/hyperlink" Target="https://www.education.gov.au/australian-universities-accord/consultations/australian-universities-accord-panel-discussion-paper-consultation/submission/15927" TargetMode="External"/><Relationship Id="rId39" Type="http://schemas.openxmlformats.org/officeDocument/2006/relationships/hyperlink" Target="https://www.aigroup.com.au/news/reports/2023/cet-pathways-report/" TargetMode="External"/><Relationship Id="rId109" Type="http://schemas.openxmlformats.org/officeDocument/2006/relationships/hyperlink" Target="https://www.education.gov.au/australian-universities-accord/consultations/australian-universities-accord-panel-discussion-paper-consultation/submission/16262" TargetMode="External"/><Relationship Id="rId34" Type="http://schemas.openxmlformats.org/officeDocument/2006/relationships/hyperlink" Target="https://www.education.gov.au/higher-education-reviews-and-consultations/resources/universityindustry-collaboration-teaching-and-learning-review" TargetMode="External"/><Relationship Id="rId50" Type="http://schemas.openxmlformats.org/officeDocument/2006/relationships/hyperlink" Target="https://www.cdu.edu.au/files/2022-04/Bidjipidji%20School%20Camp%20Report%20A5_FINAL.pdf" TargetMode="External"/><Relationship Id="rId55" Type="http://schemas.openxmlformats.org/officeDocument/2006/relationships/hyperlink" Target="https://www.education.gov.au/download/5046/work-and-study/18988/document/pdf" TargetMode="External"/><Relationship Id="rId76" Type="http://schemas.openxmlformats.org/officeDocument/2006/relationships/hyperlink" Target="https://health.nt.gov.au/professionals/training-and-education-for-health-professionals/nt-medical-school" TargetMode="External"/><Relationship Id="rId97" Type="http://schemas.openxmlformats.org/officeDocument/2006/relationships/hyperlink" Target="https://commonfund.nih.gov/workforce" TargetMode="External"/><Relationship Id="rId104" Type="http://schemas.openxmlformats.org/officeDocument/2006/relationships/hyperlink" Target="https://www.theaustralian.com.au/higher-education/fair-work-ombudsman-investigating-over-a-dozen-universities/news-story/0929ddf47ec87f9a0fa51fa49615830b" TargetMode="External"/><Relationship Id="rId120" Type="http://schemas.openxmlformats.org/officeDocument/2006/relationships/hyperlink" Target="https://www.education.gov.au/higher-education-publications/resources/2021-higher-education-providers-finance-tables" TargetMode="External"/><Relationship Id="rId125" Type="http://schemas.openxmlformats.org/officeDocument/2006/relationships/hyperlink" Target="https://www.education.gov.au/higher-education-reviews-and-consultations/resources/review-demand-driven-funding-system-report" TargetMode="External"/><Relationship Id="rId141" Type="http://schemas.openxmlformats.org/officeDocument/2006/relationships/hyperlink" Target="https://www.ato.gov.au/Rates/HELP,-TSL-and-SFSS-repayment-thresholds-and-rates/" TargetMode="External"/><Relationship Id="rId7" Type="http://schemas.openxmlformats.org/officeDocument/2006/relationships/hyperlink" Target="https://www.aph.gov.au/Parliamentary_Business/Senate_estimates/ee/2023-24_budget_estimates/Education" TargetMode="External"/><Relationship Id="rId71" Type="http://schemas.openxmlformats.org/officeDocument/2006/relationships/hyperlink" Target="https://rfnc.com.au/munarra-centre-for-regional-excellence/" TargetMode="External"/><Relationship Id="rId92" Type="http://schemas.openxmlformats.org/officeDocument/2006/relationships/hyperlink" Target="https://www.cutlerco.com.au/activities/speeches/08_speeches/Cutler_ECLAC_final.pdf" TargetMode="External"/><Relationship Id="rId2" Type="http://schemas.openxmlformats.org/officeDocument/2006/relationships/hyperlink" Target="https://www.abs.gov.au/statistics/people/education" TargetMode="External"/><Relationship Id="rId29" Type="http://schemas.openxmlformats.org/officeDocument/2006/relationships/hyperlink" Target="https://www.unsw.edu.au/news/2023/03/three-tiers-and-more-than-8000-new-engineers--what-it-will-take-" TargetMode="External"/><Relationship Id="rId24" Type="http://schemas.openxmlformats.org/officeDocument/2006/relationships/hyperlink" Target="https://www.nationalskillscommission.gov.au/topics/skills-priority-list" TargetMode="External"/><Relationship Id="rId40" Type="http://schemas.openxmlformats.org/officeDocument/2006/relationships/hyperlink" Target="https://www.nzqa.govt.nz/providers-partners/approval-accreditation-and-registration/micro-credentials/" TargetMode="External"/><Relationship Id="rId45" Type="http://schemas.openxmlformats.org/officeDocument/2006/relationships/hyperlink" Target="https://www.teqsa.gov.au/course-accreditation/course-accreditation-applications/applications-accreditation-undergraduate-and-graduate-certificate-courses-short-courses" TargetMode="External"/><Relationship Id="rId66" Type="http://schemas.openxmlformats.org/officeDocument/2006/relationships/hyperlink" Target="https://www.scival.com/collaboration/collabMetrics?uri=Country/36" TargetMode="External"/><Relationship Id="rId87" Type="http://schemas.openxmlformats.org/officeDocument/2006/relationships/hyperlink" Target="https://www.industry.gov.au/publications/science-research-and-innovation-sri-budget-tables-2022-23" TargetMode="External"/><Relationship Id="rId110" Type="http://schemas.openxmlformats.org/officeDocument/2006/relationships/hyperlink" Target="https://www.education.gov.au/australian-universities-accord/consultations/consultation-accord-terms-reference/submission/15075" TargetMode="External"/><Relationship Id="rId115" Type="http://schemas.openxmlformats.org/officeDocument/2006/relationships/hyperlink" Target="https://static1.squarespace.com/static/55861728e4b0403b40cdba08/t/6371a4329eca4b01be713aef/1668391993530/Disability+JPP+%26+Report.pdf" TargetMode="External"/><Relationship Id="rId131" Type="http://schemas.openxmlformats.org/officeDocument/2006/relationships/hyperlink" Target="https://www.oecd.org/education/education-at-a-glance/" TargetMode="External"/><Relationship Id="rId136" Type="http://schemas.openxmlformats.org/officeDocument/2006/relationships/hyperlink" Target="https://www.education.gov.au/australian-universities-accord/consultations/australian-universities-accord-panel-discussion-paper-consultation/submission/16315" TargetMode="External"/><Relationship Id="rId61" Type="http://schemas.openxmlformats.org/officeDocument/2006/relationships/hyperlink" Target="https://www.education.gov.au/australian-universities-accord/consultations/australian-universities-accord-panel-discussion-paper-consultation/submission/15957" TargetMode="External"/><Relationship Id="rId82" Type="http://schemas.openxmlformats.org/officeDocument/2006/relationships/hyperlink" Target="https://www.unisq.edu.au/news/2023/02/arc-funding-barley" TargetMode="External"/><Relationship Id="rId19" Type="http://schemas.openxmlformats.org/officeDocument/2006/relationships/hyperlink" Target="https://www.education.gov.au/australian-universities-accord/consultations/australian-universities-accord-panel-discussion-paper-consultation/submission/16039" TargetMode="External"/><Relationship Id="rId14" Type="http://schemas.openxmlformats.org/officeDocument/2006/relationships/hyperlink" Target="https://www.education.gov.au/higher-education-statistics/student-data/selected-higher-education-statistics-2021-student-data" TargetMode="External"/><Relationship Id="rId30" Type="http://schemas.openxmlformats.org/officeDocument/2006/relationships/hyperlink" Target="https://atn.edu.au/publications/" TargetMode="External"/><Relationship Id="rId35" Type="http://schemas.openxmlformats.org/officeDocument/2006/relationships/hyperlink" Target="https://acen.edu.au/resources/national-wil-strategy-2/" TargetMode="External"/><Relationship Id="rId56" Type="http://schemas.openxmlformats.org/officeDocument/2006/relationships/hyperlink" Target="https://www.education.gov.au/australian-universities-accord/consultations/australian-universities-accord-panel-discussion-paper-consultation/submission/15910" TargetMode="External"/><Relationship Id="rId77" Type="http://schemas.openxmlformats.org/officeDocument/2006/relationships/hyperlink" Target="https://www.newcastle.edu.au/__data/assets/pdf_file/0003/614370/2023-1024-JMP-Prospectus_WEB.pdf" TargetMode="External"/><Relationship Id="rId100" Type="http://schemas.openxmlformats.org/officeDocument/2006/relationships/hyperlink" Target="https://parlinfo.aph.gov.au/parlInfo/download/library/prspub/8823870/upload_binary/8823870.pdf;fileType=application/pdf" TargetMode="External"/><Relationship Id="rId105" Type="http://schemas.openxmlformats.org/officeDocument/2006/relationships/hyperlink" Target="https://www.fairwork.gov.au/newsroom/media-releases/2022-media-releases/june-2022/20220622-fwo-2022-23-priorities-media-release" TargetMode="External"/><Relationship Id="rId126" Type="http://schemas.openxmlformats.org/officeDocument/2006/relationships/hyperlink" Target="https://www.education.gov.au/australian-universities-accord/consultations/australian-universities-accord-panel-discussion-paper-consultation/submission/15956" TargetMode="External"/><Relationship Id="rId8" Type="http://schemas.openxmlformats.org/officeDocument/2006/relationships/hyperlink" Target="https://www.education.gov.au/higher-education-statistics/resources/2021-section-6-indigenous-students" TargetMode="External"/><Relationship Id="rId51" Type="http://schemas.openxmlformats.org/officeDocument/2006/relationships/hyperlink" Target="https://www.ncsehe.edu.au/publications/pathways-to-higher-education-the-efficacy-of-enabling-and-sub-bachelor-pathways-for-disadvantaged-students/" TargetMode="External"/><Relationship Id="rId72" Type="http://schemas.openxmlformats.org/officeDocument/2006/relationships/hyperlink" Target="https://www.batchelor.edu.au/biite/wp-content/uploads/BITTE_2020_AReport_FA_Web.pdf" TargetMode="External"/><Relationship Id="rId93" Type="http://schemas.openxmlformats.org/officeDocument/2006/relationships/hyperlink" Target="https://www.abs.gov.au/statistics/industry/technology-and-innovation/research-and-experimental-development-higher-education-organisations-australia/latest-release" TargetMode="External"/><Relationship Id="rId98" Type="http://schemas.openxmlformats.org/officeDocument/2006/relationships/hyperlink" Target="https://www.education.gov.au/australian-universities-accord/consultations/australian-universities-accord-panel-discussion-paper-consultation/submission/16302" TargetMode="External"/><Relationship Id="rId121" Type="http://schemas.openxmlformats.org/officeDocument/2006/relationships/hyperlink" Target="https://www.education.gov.au/higher-education-publications/resources/2021-university-finance-summary-information" TargetMode="External"/><Relationship Id="rId142" Type="http://schemas.openxmlformats.org/officeDocument/2006/relationships/hyperlink" Target="http://classic.austlii.edu.au/au/journals/eJlTaxR/2015/" TargetMode="External"/><Relationship Id="rId3" Type="http://schemas.openxmlformats.org/officeDocument/2006/relationships/hyperlink" Target="https://www.jobsandskills.gov.au/reports/labour-market-update-may-2023" TargetMode="External"/><Relationship Id="rId25" Type="http://schemas.openxmlformats.org/officeDocument/2006/relationships/hyperlink" Target="https://www.nationalskillscommission.gov.au/topics/employment-projections" TargetMode="External"/><Relationship Id="rId46" Type="http://schemas.openxmlformats.org/officeDocument/2006/relationships/hyperlink" Target="https://www.homeaffairs.gov.au/reports-and-publications/reviews-and-inquiries/departmental-reviews/migration-system-for-australias-future" TargetMode="External"/><Relationship Id="rId67" Type="http://schemas.openxmlformats.org/officeDocument/2006/relationships/hyperlink" Target="https://www.oecd.org/sti/msti.htm" TargetMode="External"/><Relationship Id="rId116" Type="http://schemas.openxmlformats.org/officeDocument/2006/relationships/hyperlink" Target="https://www.education.gov.au/australian-universities-accord/consultations/australian-universities-accord-panel-discussion-paper-consultation/submission/15911" TargetMode="External"/><Relationship Id="rId137" Type="http://schemas.openxmlformats.org/officeDocument/2006/relationships/hyperlink" Target="https://www.education.gov.au/australian-universities-accord/consultations/australian-universities-accord-panel-discussion-paper-consultation/submission/15963" TargetMode="External"/><Relationship Id="rId20" Type="http://schemas.openxmlformats.org/officeDocument/2006/relationships/hyperlink" Target="https://www.education.gov.au/australian-universities-accord/consultations/australian-universities-accord-panel-discussion-paper-consultation/submission/16226" TargetMode="External"/><Relationship Id="rId41" Type="http://schemas.openxmlformats.org/officeDocument/2006/relationships/hyperlink" Target="https://www.officeforstudents.org.uk/advice-and-guidance/skills-and-employment/higher-education-short-course-trial/" TargetMode="External"/><Relationship Id="rId62" Type="http://schemas.openxmlformats.org/officeDocument/2006/relationships/hyperlink" Target="https://www.wpca.sydney/delivery/netm/" TargetMode="External"/><Relationship Id="rId83" Type="http://schemas.openxmlformats.org/officeDocument/2006/relationships/hyperlink" Target="https://rms.arc.gov.au/RMS/Report/Download/Report/1b0c8b2e-7bb0-4f2d-8f52-ad207cfbb41d/244" TargetMode="External"/><Relationship Id="rId88" Type="http://schemas.openxmlformats.org/officeDocument/2006/relationships/hyperlink" Target="https://www.oecd.org/science/msti.htm" TargetMode="External"/><Relationship Id="rId111" Type="http://schemas.openxmlformats.org/officeDocument/2006/relationships/hyperlink" Target="https://www.qilt.edu.au/resources?survey=SES&amp;type=Reports" TargetMode="External"/><Relationship Id="rId132" Type="http://schemas.openxmlformats.org/officeDocument/2006/relationships/hyperlink" Target="https://www.education.gov.au/australian-universities-accord/consultations/australian-universities-accord-panel-discussion-paper-consultation/submission/16262" TargetMode="External"/><Relationship Id="rId15" Type="http://schemas.openxmlformats.org/officeDocument/2006/relationships/hyperlink" Target="https://www.abs.gov.au/statistics/people/education/education-and-work-australia/latest-release" TargetMode="External"/><Relationship Id="rId36" Type="http://schemas.openxmlformats.org/officeDocument/2006/relationships/hyperlink" Target="https://espace.curtin.edu.au/bitstream/handle/20.500.11937/55398/255434.pdf?sequence=2&amp;isAllowed=y" TargetMode="External"/><Relationship Id="rId57" Type="http://schemas.openxmlformats.org/officeDocument/2006/relationships/hyperlink" Target="https://www.aph.gov.au/Parliamentary_Business/Committees/Senate/Education_Employment_and_Workplace_Relations/Completed_inquiries/2004-07/studentincome04/report/index" TargetMode="External"/><Relationship Id="rId106" Type="http://schemas.openxmlformats.org/officeDocument/2006/relationships/hyperlink" Target="https://lens.monash.edu/@education/2023/06/07/1385853/workplace-relations-and-insecure-employment-in-australian-universities" TargetMode="External"/><Relationship Id="rId127" Type="http://schemas.openxmlformats.org/officeDocument/2006/relationships/hyperlink" Target="https://www.education.gov.au/australian-universities-accord/consultations/australian-universities-accord-panel-discussion-paper-consultation/submission/15907" TargetMode="External"/><Relationship Id="rId10" Type="http://schemas.openxmlformats.org/officeDocument/2006/relationships/hyperlink" Target="https://www.theguardian.com/commentisfree/2021/may/26/to-stop-from-losing-hope-i-focus-on-the-positive-stories-of-change-in-my-own-family" TargetMode="External"/><Relationship Id="rId31" Type="http://schemas.openxmlformats.org/officeDocument/2006/relationships/hyperlink" Target="https://www.ncver.edu.au/research-and-statistics/publications/all-publications/vet-student-outcomes-2022" TargetMode="External"/><Relationship Id="rId52" Type="http://schemas.openxmlformats.org/officeDocument/2006/relationships/hyperlink" Target="https://www.education.gov.au/australian-universities-accord/consultations/consultation-accord-terms-reference/submission/15129" TargetMode="External"/><Relationship Id="rId73" Type="http://schemas.openxmlformats.org/officeDocument/2006/relationships/hyperlink" Target="https://www.scu.edu.au/engage/news/latest-news/2023/seeds-of-hope-sprout-one-year-on-from-2022-floods.php" TargetMode="External"/><Relationship Id="rId78" Type="http://schemas.openxmlformats.org/officeDocument/2006/relationships/hyperlink" Target="https://news.csu.edu.au/latest-news/charles-sturt-and-western-sydney-university-celebrate-the-success-of-the-joint-program-in-medicine" TargetMode="External"/><Relationship Id="rId94" Type="http://schemas.openxmlformats.org/officeDocument/2006/relationships/hyperlink" Target="https://www.education.gov.au/higher-education-reviews-and-consultations/resources/trusting-australias-ability-review-australian-research-council-act-2001" TargetMode="External"/><Relationship Id="rId99" Type="http://schemas.openxmlformats.org/officeDocument/2006/relationships/hyperlink" Target="https://www.education.gov.au/australian-universities-accord/consultations/australian-universities-accord-panel-discussion-paper-consultation/submission/15935" TargetMode="External"/><Relationship Id="rId101" Type="http://schemas.openxmlformats.org/officeDocument/2006/relationships/hyperlink" Target="https://www.voced.edu.au/content/ngv%3A3762" TargetMode="External"/><Relationship Id="rId122" Type="http://schemas.openxmlformats.org/officeDocument/2006/relationships/hyperlink" Target="https://nla.gov.au/nla.obj-3072760614/view" TargetMode="External"/><Relationship Id="rId4" Type="http://schemas.openxmlformats.org/officeDocument/2006/relationships/hyperlink" Target="https://newsroom.unsw.edu.au/news/social-affairs/new-report-wealth-inequality-australia-and-rapid-rise-house-prices" TargetMode="External"/><Relationship Id="rId9" Type="http://schemas.openxmlformats.org/officeDocument/2006/relationships/hyperlink" Target="https://www.education.gov.au/higher-education-statistics/resources/2021-staff-indigenous" TargetMode="External"/><Relationship Id="rId26" Type="http://schemas.openxmlformats.org/officeDocument/2006/relationships/hyperlink" Target="https://www.pc.gov.au/inquiries/completed/productivity/report" TargetMode="External"/><Relationship Id="rId47" Type="http://schemas.openxmlformats.org/officeDocument/2006/relationships/hyperlink" Target="https://www.abs.gov.au/census" TargetMode="External"/><Relationship Id="rId68" Type="http://schemas.openxmlformats.org/officeDocument/2006/relationships/hyperlink" Target="https://www.education.gov.in/sites/upload_files/mhrd/files/NEP_Final_English_0.pdf" TargetMode="External"/><Relationship Id="rId89" Type="http://schemas.openxmlformats.org/officeDocument/2006/relationships/hyperlink" Target="https://www.industry.gov.au/publications/australian-innovation-system-monitor" TargetMode="External"/><Relationship Id="rId112" Type="http://schemas.openxmlformats.org/officeDocument/2006/relationships/hyperlink" Target="https://www.nsss.edu.au/results" TargetMode="External"/><Relationship Id="rId133" Type="http://schemas.openxmlformats.org/officeDocument/2006/relationships/hyperlink" Target="https://www.education.gov.au/australian-universities-accord/consultations/australian-universities-accord-panel-discussion-paper-consultation/submission/16039" TargetMode="External"/><Relationship Id="rId16" Type="http://schemas.openxmlformats.org/officeDocument/2006/relationships/hyperlink" Target="https://data.oecd.org/eduatt/population-with-tertiary-education.htm" TargetMode="External"/></Relationships>
</file>

<file path=word/documenttasks/documenttasks1.xml><?xml version="1.0" encoding="utf-8"?>
<t:Tasks xmlns:t="http://schemas.microsoft.com/office/tasks/2019/documenttasks" xmlns:oel="http://schemas.microsoft.com/office/2019/extlst">
  <t:Task id="{588109F5-3644-431A-B452-2D3591C2720F}">
    <t:Anchor>
      <t:Comment id="674975509"/>
    </t:Anchor>
    <t:History>
      <t:Event id="{CC174B20-02F5-4672-ACB5-E8A59F231EC9}" time="2023-06-19T04:43:55.315Z">
        <t:Attribution userId="S::kate.chipperfield@education.gov.au::e543c2b9-78bf-4fe6-8ad0-e72e0a80b428" userProvider="AD" userName="CHIPPERFIELD,Kate"/>
        <t:Anchor>
          <t:Comment id="1270369430"/>
        </t:Anchor>
        <t:Create/>
      </t:Event>
      <t:Event id="{5D57F643-C7D7-40D8-A6CE-E06B63841689}" time="2023-06-19T04:43:55.315Z">
        <t:Attribution userId="S::kate.chipperfield@education.gov.au::e543c2b9-78bf-4fe6-8ad0-e72e0a80b428" userProvider="AD" userName="CHIPPERFIELD,Kate"/>
        <t:Anchor>
          <t:Comment id="1270369430"/>
        </t:Anchor>
        <t:Assign userId="S::Alex.Platt@education.gov.au::f6d811c3-3339-4a53-bfa9-f9271f78aadc" userProvider="AD" userName="PLATT,Alex"/>
      </t:Event>
      <t:Event id="{F1C04231-9467-4578-95AA-BD16E221864B}" time="2023-06-19T04:43:55.315Z">
        <t:Attribution userId="S::kate.chipperfield@education.gov.au::e543c2b9-78bf-4fe6-8ad0-e72e0a80b428" userProvider="AD" userName="CHIPPERFIELD,Kate"/>
        <t:Anchor>
          <t:Comment id="1270369430"/>
        </t:Anchor>
        <t:SetTitle title="@PLATT,Alex - we need to ensure to pick this point back up later in the report as part of the considerations for change"/>
      </t:Event>
    </t:History>
  </t:Task>
  <t:Task id="{B78215E4-63CE-4A6F-89B4-DD8CA54AC151}">
    <t:Anchor>
      <t:Comment id="674975550"/>
    </t:Anchor>
    <t:History>
      <t:Event id="{CC174B20-02F5-4672-ACB5-E8A59F231EC9}" time="2023-06-19T04:43:55.315Z">
        <t:Attribution userId="S::kate.chipperfield@education.gov.au::e543c2b9-78bf-4fe6-8ad0-e72e0a80b428" userProvider="AD" userName="CHIPPERFIELD,Kate"/>
        <t:Anchor>
          <t:Comment id="1270369430"/>
        </t:Anchor>
        <t:Create/>
      </t:Event>
      <t:Event id="{5D57F643-C7D7-40D8-A6CE-E06B63841689}" time="2023-06-19T04:43:55.315Z">
        <t:Attribution userId="S::kate.chipperfield@education.gov.au::e543c2b9-78bf-4fe6-8ad0-e72e0a80b428" userProvider="AD" userName="CHIPPERFIELD,Kate"/>
        <t:Anchor>
          <t:Comment id="1270369430"/>
        </t:Anchor>
        <t:Assign userId="S::Alex.Platt@education.gov.au::f6d811c3-3339-4a53-bfa9-f9271f78aadc" userProvider="AD" userName="PLATT,Alex"/>
      </t:Event>
      <t:Event id="{F1C04231-9467-4578-95AA-BD16E221864B}" time="2023-06-19T04:43:55.315Z">
        <t:Attribution userId="S::kate.chipperfield@education.gov.au::e543c2b9-78bf-4fe6-8ad0-e72e0a80b428" userProvider="AD" userName="CHIPPERFIELD,Kate"/>
        <t:Anchor>
          <t:Comment id="1270369430"/>
        </t:Anchor>
        <t:SetTitle title="@PLATT,Alex - we need to ensure to pick this point back up later in the report as part of the considerations for change"/>
      </t:Event>
      <t:Event id="{1B21AFBD-50CB-417F-88BA-EE61E54B9DB2}" time="2023-06-20T04:13:44.247Z">
        <t:Attribution userId="S::Kimberley.Dimitriadis@education.gov.au::ec6e5c91-32f1-466a-b26f-6d6727c55a74" userProvider="AD" userName="DIMITRIADIS,Kimberley"/>
        <t:Progress percentComplete="100"/>
      </t:Event>
    </t:History>
  </t:Task>
</t:Task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14" ma:contentTypeDescription="Create a new document." ma:contentTypeScope="" ma:versionID="253efb706447b9166db59eb564112d1d">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12bd6fb7fed4183d838e394f7854b499"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71e8d9d-fbc5-4c5f-be92-0def1f9d0b2d}"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35adfce-f9b0-4566-a0fa-e4f70df87b41" xsi:nil="true"/>
    <lcf76f155ced4ddcb4097134ff3c332f xmlns="da72cac6-940c-4742-b333-53bc562b4053">
      <Terms xmlns="http://schemas.microsoft.com/office/infopath/2007/PartnerControls"/>
    </lcf76f155ced4ddcb4097134ff3c332f>
    <SharedWithUsers xmlns="c35adfce-f9b0-4566-a0fa-e4f70df87b41">
      <UserInfo>
        <DisplayName>HAWKINS,Phillip</DisplayName>
        <AccountId>136</AccountId>
        <AccountType/>
      </UserInfo>
      <UserInfo>
        <DisplayName>CHISLETT,Lachlan</DisplayName>
        <AccountId>221</AccountId>
        <AccountType/>
      </UserInfo>
      <UserInfo>
        <DisplayName>GRANLUND,Rebecca</DisplayName>
        <AccountId>62</AccountId>
        <AccountType/>
      </UserInfo>
      <UserInfo>
        <DisplayName>WUNSCH,Nicole</DisplayName>
        <AccountId>363</AccountId>
        <AccountType/>
      </UserInfo>
      <UserInfo>
        <DisplayName>TEBBS,Camille</DisplayName>
        <AccountId>312</AccountId>
        <AccountType/>
      </UserInfo>
      <UserInfo>
        <DisplayName>RIORDAN,Martin</DisplayName>
        <AccountId>447</AccountId>
        <AccountType/>
      </UserInfo>
      <UserInfo>
        <DisplayName>BROSNAN,Jessica</DisplayName>
        <AccountId>178</AccountId>
        <AccountType/>
      </UserInfo>
      <UserInfo>
        <DisplayName>PLATT,Alex</DisplayName>
        <AccountId>448</AccountId>
        <AccountType/>
      </UserInfo>
      <UserInfo>
        <DisplayName>HORGAN,Sophie</DisplayName>
        <AccountId>311</AccountId>
        <AccountType/>
      </UserInfo>
    </SharedWithUsers>
  </documentManagement>
</p:properti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F87FC6CF-2ADC-4168-B785-BCD10603C9FE}"/>
</file>

<file path=customXml/itemProps3.xml><?xml version="1.0" encoding="utf-8"?>
<ds:datastoreItem xmlns:ds="http://schemas.openxmlformats.org/officeDocument/2006/customXml" ds:itemID="{3A02D53A-304F-457B-89B0-5F14EB2E5F58}">
  <ds:schemaRefs>
    <ds:schemaRef ds:uri="http://schemas.microsoft.com/sharepoint/v3/contenttype/forms"/>
  </ds:schemaRefs>
</ds:datastoreItem>
</file>

<file path=customXml/itemProps4.xml><?xml version="1.0" encoding="utf-8"?>
<ds:datastoreItem xmlns:ds="http://schemas.openxmlformats.org/officeDocument/2006/customXml" ds:itemID="{9861E2CB-9092-4F75-8CCA-4223D12398A0}">
  <ds:schemaRefs>
    <ds:schemaRef ds:uri="http://schemas.microsoft.com/office/2006/metadata/properties"/>
    <ds:schemaRef ds:uri="http://schemas.microsoft.com/office/infopath/2007/PartnerControls"/>
    <ds:schemaRef ds:uri="150ed607-d011-45d5-8216-b1990882b9c0"/>
    <ds:schemaRef ds:uri="4a9c6c2e-cc90-47c0-be42-0b97b97642c0"/>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162</Pages>
  <Words>58547</Words>
  <Characters>344801</Characters>
  <Application>Microsoft Office Word</Application>
  <DocSecurity>0</DocSecurity>
  <Lines>5347</Lines>
  <Paragraphs>1800</Paragraphs>
  <ScaleCrop>false</ScaleCrop>
  <HeadingPairs>
    <vt:vector size="2" baseType="variant">
      <vt:variant>
        <vt:lpstr>Title</vt:lpstr>
      </vt:variant>
      <vt:variant>
        <vt:i4>1</vt:i4>
      </vt:variant>
    </vt:vector>
  </HeadingPairs>
  <TitlesOfParts>
    <vt:vector size="1" baseType="lpstr">
      <vt:lpstr>Australian Universities Accord – Interim Report</vt:lpstr>
    </vt:vector>
  </TitlesOfParts>
  <Company/>
  <LinksUpToDate>false</LinksUpToDate>
  <CharactersWithSpaces>402389</CharactersWithSpaces>
  <SharedDoc>false</SharedDoc>
  <HLinks>
    <vt:vector size="1614" baseType="variant">
      <vt:variant>
        <vt:i4>3080246</vt:i4>
      </vt:variant>
      <vt:variant>
        <vt:i4>678</vt:i4>
      </vt:variant>
      <vt:variant>
        <vt:i4>0</vt:i4>
      </vt:variant>
      <vt:variant>
        <vt:i4>5</vt:i4>
      </vt:variant>
      <vt:variant>
        <vt:lpwstr>https://www.education.gov.au/higher-education-publications/resources/2022-transparency-higher-education-expenditure-publication</vt:lpwstr>
      </vt:variant>
      <vt:variant>
        <vt:lpwstr/>
      </vt:variant>
      <vt:variant>
        <vt:i4>524298</vt:i4>
      </vt:variant>
      <vt:variant>
        <vt:i4>675</vt:i4>
      </vt:variant>
      <vt:variant>
        <vt:i4>0</vt:i4>
      </vt:variant>
      <vt:variant>
        <vt:i4>5</vt:i4>
      </vt:variant>
      <vt:variant>
        <vt:lpwstr>https://www.education.gov.au/higher-education-statistics/student-data/selected-higher-education-statistics-2021-student-data</vt:lpwstr>
      </vt:variant>
      <vt:variant>
        <vt:lpwstr/>
      </vt:variant>
      <vt:variant>
        <vt:i4>6619168</vt:i4>
      </vt:variant>
      <vt:variant>
        <vt:i4>669</vt:i4>
      </vt:variant>
      <vt:variant>
        <vt:i4>0</vt:i4>
      </vt:variant>
      <vt:variant>
        <vt:i4>5</vt:i4>
      </vt:variant>
      <vt:variant>
        <vt:lpwstr>'https:/www.education.gov.au/higher-education-publications/finance-publication</vt:lpwstr>
      </vt:variant>
      <vt:variant>
        <vt:lpwstr/>
      </vt:variant>
      <vt:variant>
        <vt:i4>6422583</vt:i4>
      </vt:variant>
      <vt:variant>
        <vt:i4>666</vt:i4>
      </vt:variant>
      <vt:variant>
        <vt:i4>0</vt:i4>
      </vt:variant>
      <vt:variant>
        <vt:i4>5</vt:i4>
      </vt:variant>
      <vt:variant>
        <vt:lpwstr>https://qilt.edu.au/surveys/student-experience-survey-(ses)</vt:lpwstr>
      </vt:variant>
      <vt:variant>
        <vt:lpwstr/>
      </vt:variant>
      <vt:variant>
        <vt:i4>786517</vt:i4>
      </vt:variant>
      <vt:variant>
        <vt:i4>663</vt:i4>
      </vt:variant>
      <vt:variant>
        <vt:i4>0</vt:i4>
      </vt:variant>
      <vt:variant>
        <vt:i4>5</vt:i4>
      </vt:variant>
      <vt:variant>
        <vt:lpwstr>https://www.aihw.gov.au/getmedia/00250e14-7b83-4da8-994e-723a25d96ab7/ctgc-rs14.pdf.aspx?inline=true</vt:lpwstr>
      </vt:variant>
      <vt:variant>
        <vt:lpwstr/>
      </vt:variant>
      <vt:variant>
        <vt:i4>2752619</vt:i4>
      </vt:variant>
      <vt:variant>
        <vt:i4>660</vt:i4>
      </vt:variant>
      <vt:variant>
        <vt:i4>0</vt:i4>
      </vt:variant>
      <vt:variant>
        <vt:i4>5</vt:i4>
      </vt:variant>
      <vt:variant>
        <vt:lpwstr>https://www.education.gov.au/international-education-data-and-research/international-student-monthly-summary-and-data-tables</vt:lpwstr>
      </vt:variant>
      <vt:variant>
        <vt:lpwstr>toc-international-student-data-full-year-data-based-on-data-finalised-in-december-2022-</vt:lpwstr>
      </vt:variant>
      <vt:variant>
        <vt:i4>6422583</vt:i4>
      </vt:variant>
      <vt:variant>
        <vt:i4>657</vt:i4>
      </vt:variant>
      <vt:variant>
        <vt:i4>0</vt:i4>
      </vt:variant>
      <vt:variant>
        <vt:i4>5</vt:i4>
      </vt:variant>
      <vt:variant>
        <vt:lpwstr>https://qilt.edu.au/surveys/student-experience-survey-(ses)</vt:lpwstr>
      </vt:variant>
      <vt:variant>
        <vt:lpwstr/>
      </vt:variant>
      <vt:variant>
        <vt:i4>6422583</vt:i4>
      </vt:variant>
      <vt:variant>
        <vt:i4>654</vt:i4>
      </vt:variant>
      <vt:variant>
        <vt:i4>0</vt:i4>
      </vt:variant>
      <vt:variant>
        <vt:i4>5</vt:i4>
      </vt:variant>
      <vt:variant>
        <vt:lpwstr>https://qilt.edu.au/surveys/student-experience-survey-(ses)</vt:lpwstr>
      </vt:variant>
      <vt:variant>
        <vt:lpwstr/>
      </vt:variant>
      <vt:variant>
        <vt:i4>524298</vt:i4>
      </vt:variant>
      <vt:variant>
        <vt:i4>651</vt:i4>
      </vt:variant>
      <vt:variant>
        <vt:i4>0</vt:i4>
      </vt:variant>
      <vt:variant>
        <vt:i4>5</vt:i4>
      </vt:variant>
      <vt:variant>
        <vt:lpwstr>https://www.education.gov.au/higher-education-statistics/student-data/selected-higher-education-statistics-2021-student-data</vt:lpwstr>
      </vt:variant>
      <vt:variant>
        <vt:lpwstr/>
      </vt:variant>
      <vt:variant>
        <vt:i4>524298</vt:i4>
      </vt:variant>
      <vt:variant>
        <vt:i4>648</vt:i4>
      </vt:variant>
      <vt:variant>
        <vt:i4>0</vt:i4>
      </vt:variant>
      <vt:variant>
        <vt:i4>5</vt:i4>
      </vt:variant>
      <vt:variant>
        <vt:lpwstr>https://www.education.gov.au/higher-education-statistics/student-data/selected-higher-education-statistics-2021-student-data</vt:lpwstr>
      </vt:variant>
      <vt:variant>
        <vt:lpwstr/>
      </vt:variant>
      <vt:variant>
        <vt:i4>1376280</vt:i4>
      </vt:variant>
      <vt:variant>
        <vt:i4>642</vt:i4>
      </vt:variant>
      <vt:variant>
        <vt:i4>0</vt:i4>
      </vt:variant>
      <vt:variant>
        <vt:i4>5</vt:i4>
      </vt:variant>
      <vt:variant>
        <vt:lpwstr>https://labourmarketinsights.gov.au/our-research/employment-projections/</vt:lpwstr>
      </vt:variant>
      <vt:variant>
        <vt:lpwstr/>
      </vt:variant>
      <vt:variant>
        <vt:i4>5373983</vt:i4>
      </vt:variant>
      <vt:variant>
        <vt:i4>639</vt:i4>
      </vt:variant>
      <vt:variant>
        <vt:i4>0</vt:i4>
      </vt:variant>
      <vt:variant>
        <vt:i4>5</vt:i4>
      </vt:variant>
      <vt:variant>
        <vt:lpwstr>https://population.gov.au/data-and-forecasts/projections</vt:lpwstr>
      </vt:variant>
      <vt:variant>
        <vt:lpwstr/>
      </vt:variant>
      <vt:variant>
        <vt:i4>7733346</vt:i4>
      </vt:variant>
      <vt:variant>
        <vt:i4>636</vt:i4>
      </vt:variant>
      <vt:variant>
        <vt:i4>0</vt:i4>
      </vt:variant>
      <vt:variant>
        <vt:i4>5</vt:i4>
      </vt:variant>
      <vt:variant>
        <vt:lpwstr>https://www.abs.gov.au/statistics/people/population/population-projections-australia/2017-base-2066</vt:lpwstr>
      </vt:variant>
      <vt:variant>
        <vt:lpwstr/>
      </vt:variant>
      <vt:variant>
        <vt:i4>4718619</vt:i4>
      </vt:variant>
      <vt:variant>
        <vt:i4>633</vt:i4>
      </vt:variant>
      <vt:variant>
        <vt:i4>0</vt:i4>
      </vt:variant>
      <vt:variant>
        <vt:i4>5</vt:i4>
      </vt:variant>
      <vt:variant>
        <vt:lpwstr>https://www.abs.gov.au/census</vt:lpwstr>
      </vt:variant>
      <vt:variant>
        <vt:lpwstr/>
      </vt:variant>
      <vt:variant>
        <vt:i4>524298</vt:i4>
      </vt:variant>
      <vt:variant>
        <vt:i4>630</vt:i4>
      </vt:variant>
      <vt:variant>
        <vt:i4>0</vt:i4>
      </vt:variant>
      <vt:variant>
        <vt:i4>5</vt:i4>
      </vt:variant>
      <vt:variant>
        <vt:lpwstr>https://www.education.gov.au/higher-education-statistics/student-data/selected-higher-education-statistics-2021-student-data</vt:lpwstr>
      </vt:variant>
      <vt:variant>
        <vt:lpwstr/>
      </vt:variant>
      <vt:variant>
        <vt:i4>7209011</vt:i4>
      </vt:variant>
      <vt:variant>
        <vt:i4>627</vt:i4>
      </vt:variant>
      <vt:variant>
        <vt:i4>0</vt:i4>
      </vt:variant>
      <vt:variant>
        <vt:i4>5</vt:i4>
      </vt:variant>
      <vt:variant>
        <vt:lpwstr>https://www.education.gov.au/australian-universities-accord/consultations/consultation-accord-terms-reference/submission/15035</vt:lpwstr>
      </vt:variant>
      <vt:variant>
        <vt:lpwstr/>
      </vt:variant>
      <vt:variant>
        <vt:i4>7209011</vt:i4>
      </vt:variant>
      <vt:variant>
        <vt:i4>624</vt:i4>
      </vt:variant>
      <vt:variant>
        <vt:i4>0</vt:i4>
      </vt:variant>
      <vt:variant>
        <vt:i4>5</vt:i4>
      </vt:variant>
      <vt:variant>
        <vt:lpwstr>https://www.education.gov.au/australian-universities-accord/consultations/consultation-accord-terms-reference/submission/15035</vt:lpwstr>
      </vt:variant>
      <vt:variant>
        <vt:lpwstr/>
      </vt:variant>
      <vt:variant>
        <vt:i4>4718619</vt:i4>
      </vt:variant>
      <vt:variant>
        <vt:i4>621</vt:i4>
      </vt:variant>
      <vt:variant>
        <vt:i4>0</vt:i4>
      </vt:variant>
      <vt:variant>
        <vt:i4>5</vt:i4>
      </vt:variant>
      <vt:variant>
        <vt:lpwstr>https://www.abs.gov.au/census</vt:lpwstr>
      </vt:variant>
      <vt:variant>
        <vt:lpwstr/>
      </vt:variant>
      <vt:variant>
        <vt:i4>5373983</vt:i4>
      </vt:variant>
      <vt:variant>
        <vt:i4>618</vt:i4>
      </vt:variant>
      <vt:variant>
        <vt:i4>0</vt:i4>
      </vt:variant>
      <vt:variant>
        <vt:i4>5</vt:i4>
      </vt:variant>
      <vt:variant>
        <vt:lpwstr>https://population.gov.au/data-and-forecasts/projections</vt:lpwstr>
      </vt:variant>
      <vt:variant>
        <vt:lpwstr/>
      </vt:variant>
      <vt:variant>
        <vt:i4>7733346</vt:i4>
      </vt:variant>
      <vt:variant>
        <vt:i4>615</vt:i4>
      </vt:variant>
      <vt:variant>
        <vt:i4>0</vt:i4>
      </vt:variant>
      <vt:variant>
        <vt:i4>5</vt:i4>
      </vt:variant>
      <vt:variant>
        <vt:lpwstr>https://www.abs.gov.au/statistics/people/population/population-projections-australia/2017-base-2066</vt:lpwstr>
      </vt:variant>
      <vt:variant>
        <vt:lpwstr/>
      </vt:variant>
      <vt:variant>
        <vt:i4>4718619</vt:i4>
      </vt:variant>
      <vt:variant>
        <vt:i4>612</vt:i4>
      </vt:variant>
      <vt:variant>
        <vt:i4>0</vt:i4>
      </vt:variant>
      <vt:variant>
        <vt:i4>5</vt:i4>
      </vt:variant>
      <vt:variant>
        <vt:lpwstr>https://www.abs.gov.au/census</vt:lpwstr>
      </vt:variant>
      <vt:variant>
        <vt:lpwstr/>
      </vt:variant>
      <vt:variant>
        <vt:i4>5373983</vt:i4>
      </vt:variant>
      <vt:variant>
        <vt:i4>609</vt:i4>
      </vt:variant>
      <vt:variant>
        <vt:i4>0</vt:i4>
      </vt:variant>
      <vt:variant>
        <vt:i4>5</vt:i4>
      </vt:variant>
      <vt:variant>
        <vt:lpwstr>https://population.gov.au/data-and-forecasts/projections</vt:lpwstr>
      </vt:variant>
      <vt:variant>
        <vt:lpwstr/>
      </vt:variant>
      <vt:variant>
        <vt:i4>7733346</vt:i4>
      </vt:variant>
      <vt:variant>
        <vt:i4>606</vt:i4>
      </vt:variant>
      <vt:variant>
        <vt:i4>0</vt:i4>
      </vt:variant>
      <vt:variant>
        <vt:i4>5</vt:i4>
      </vt:variant>
      <vt:variant>
        <vt:lpwstr>https://www.abs.gov.au/statistics/people/population/population-projections-australia/2017-base-2066</vt:lpwstr>
      </vt:variant>
      <vt:variant>
        <vt:lpwstr/>
      </vt:variant>
      <vt:variant>
        <vt:i4>4718619</vt:i4>
      </vt:variant>
      <vt:variant>
        <vt:i4>603</vt:i4>
      </vt:variant>
      <vt:variant>
        <vt:i4>0</vt:i4>
      </vt:variant>
      <vt:variant>
        <vt:i4>5</vt:i4>
      </vt:variant>
      <vt:variant>
        <vt:lpwstr>https://www.abs.gov.au/census</vt:lpwstr>
      </vt:variant>
      <vt:variant>
        <vt:lpwstr/>
      </vt:variant>
      <vt:variant>
        <vt:i4>3276921</vt:i4>
      </vt:variant>
      <vt:variant>
        <vt:i4>597</vt:i4>
      </vt:variant>
      <vt:variant>
        <vt:i4>0</vt:i4>
      </vt:variant>
      <vt:variant>
        <vt:i4>5</vt:i4>
      </vt:variant>
      <vt:variant>
        <vt:lpwstr>https://data.oecd.org/eduatt/population-with-tertiary-education.htm</vt:lpwstr>
      </vt:variant>
      <vt:variant>
        <vt:lpwstr/>
      </vt:variant>
      <vt:variant>
        <vt:i4>6422565</vt:i4>
      </vt:variant>
      <vt:variant>
        <vt:i4>594</vt:i4>
      </vt:variant>
      <vt:variant>
        <vt:i4>0</vt:i4>
      </vt:variant>
      <vt:variant>
        <vt:i4>5</vt:i4>
      </vt:variant>
      <vt:variant>
        <vt:lpwstr>https://www.abs.gov.au/statistics/people/education/education-and-work-australia/latest-release</vt:lpwstr>
      </vt:variant>
      <vt:variant>
        <vt:lpwstr/>
      </vt:variant>
      <vt:variant>
        <vt:i4>6750260</vt:i4>
      </vt:variant>
      <vt:variant>
        <vt:i4>591</vt:i4>
      </vt:variant>
      <vt:variant>
        <vt:i4>0</vt:i4>
      </vt:variant>
      <vt:variant>
        <vt:i4>5</vt:i4>
      </vt:variant>
      <vt:variant>
        <vt:lpwstr>https://www.education.gov.au/australian-universities-accord</vt:lpwstr>
      </vt:variant>
      <vt:variant>
        <vt:lpwstr/>
      </vt:variant>
      <vt:variant>
        <vt:i4>1179707</vt:i4>
      </vt:variant>
      <vt:variant>
        <vt:i4>584</vt:i4>
      </vt:variant>
      <vt:variant>
        <vt:i4>0</vt:i4>
      </vt:variant>
      <vt:variant>
        <vt:i4>5</vt:i4>
      </vt:variant>
      <vt:variant>
        <vt:lpwstr/>
      </vt:variant>
      <vt:variant>
        <vt:lpwstr>_Toc138751705</vt:lpwstr>
      </vt:variant>
      <vt:variant>
        <vt:i4>1179707</vt:i4>
      </vt:variant>
      <vt:variant>
        <vt:i4>578</vt:i4>
      </vt:variant>
      <vt:variant>
        <vt:i4>0</vt:i4>
      </vt:variant>
      <vt:variant>
        <vt:i4>5</vt:i4>
      </vt:variant>
      <vt:variant>
        <vt:lpwstr/>
      </vt:variant>
      <vt:variant>
        <vt:lpwstr>_Toc138751704</vt:lpwstr>
      </vt:variant>
      <vt:variant>
        <vt:i4>1179707</vt:i4>
      </vt:variant>
      <vt:variant>
        <vt:i4>572</vt:i4>
      </vt:variant>
      <vt:variant>
        <vt:i4>0</vt:i4>
      </vt:variant>
      <vt:variant>
        <vt:i4>5</vt:i4>
      </vt:variant>
      <vt:variant>
        <vt:lpwstr/>
      </vt:variant>
      <vt:variant>
        <vt:lpwstr>_Toc138751703</vt:lpwstr>
      </vt:variant>
      <vt:variant>
        <vt:i4>1179707</vt:i4>
      </vt:variant>
      <vt:variant>
        <vt:i4>566</vt:i4>
      </vt:variant>
      <vt:variant>
        <vt:i4>0</vt:i4>
      </vt:variant>
      <vt:variant>
        <vt:i4>5</vt:i4>
      </vt:variant>
      <vt:variant>
        <vt:lpwstr/>
      </vt:variant>
      <vt:variant>
        <vt:lpwstr>_Toc138751702</vt:lpwstr>
      </vt:variant>
      <vt:variant>
        <vt:i4>1179707</vt:i4>
      </vt:variant>
      <vt:variant>
        <vt:i4>560</vt:i4>
      </vt:variant>
      <vt:variant>
        <vt:i4>0</vt:i4>
      </vt:variant>
      <vt:variant>
        <vt:i4>5</vt:i4>
      </vt:variant>
      <vt:variant>
        <vt:lpwstr/>
      </vt:variant>
      <vt:variant>
        <vt:lpwstr>_Toc138751701</vt:lpwstr>
      </vt:variant>
      <vt:variant>
        <vt:i4>1179707</vt:i4>
      </vt:variant>
      <vt:variant>
        <vt:i4>554</vt:i4>
      </vt:variant>
      <vt:variant>
        <vt:i4>0</vt:i4>
      </vt:variant>
      <vt:variant>
        <vt:i4>5</vt:i4>
      </vt:variant>
      <vt:variant>
        <vt:lpwstr/>
      </vt:variant>
      <vt:variant>
        <vt:lpwstr>_Toc138751700</vt:lpwstr>
      </vt:variant>
      <vt:variant>
        <vt:i4>1769530</vt:i4>
      </vt:variant>
      <vt:variant>
        <vt:i4>548</vt:i4>
      </vt:variant>
      <vt:variant>
        <vt:i4>0</vt:i4>
      </vt:variant>
      <vt:variant>
        <vt:i4>5</vt:i4>
      </vt:variant>
      <vt:variant>
        <vt:lpwstr/>
      </vt:variant>
      <vt:variant>
        <vt:lpwstr>_Toc138751699</vt:lpwstr>
      </vt:variant>
      <vt:variant>
        <vt:i4>1769530</vt:i4>
      </vt:variant>
      <vt:variant>
        <vt:i4>542</vt:i4>
      </vt:variant>
      <vt:variant>
        <vt:i4>0</vt:i4>
      </vt:variant>
      <vt:variant>
        <vt:i4>5</vt:i4>
      </vt:variant>
      <vt:variant>
        <vt:lpwstr/>
      </vt:variant>
      <vt:variant>
        <vt:lpwstr>_Toc138751698</vt:lpwstr>
      </vt:variant>
      <vt:variant>
        <vt:i4>1769530</vt:i4>
      </vt:variant>
      <vt:variant>
        <vt:i4>536</vt:i4>
      </vt:variant>
      <vt:variant>
        <vt:i4>0</vt:i4>
      </vt:variant>
      <vt:variant>
        <vt:i4>5</vt:i4>
      </vt:variant>
      <vt:variant>
        <vt:lpwstr/>
      </vt:variant>
      <vt:variant>
        <vt:lpwstr>_Toc138751697</vt:lpwstr>
      </vt:variant>
      <vt:variant>
        <vt:i4>1769530</vt:i4>
      </vt:variant>
      <vt:variant>
        <vt:i4>530</vt:i4>
      </vt:variant>
      <vt:variant>
        <vt:i4>0</vt:i4>
      </vt:variant>
      <vt:variant>
        <vt:i4>5</vt:i4>
      </vt:variant>
      <vt:variant>
        <vt:lpwstr/>
      </vt:variant>
      <vt:variant>
        <vt:lpwstr>_Toc138751696</vt:lpwstr>
      </vt:variant>
      <vt:variant>
        <vt:i4>1769530</vt:i4>
      </vt:variant>
      <vt:variant>
        <vt:i4>524</vt:i4>
      </vt:variant>
      <vt:variant>
        <vt:i4>0</vt:i4>
      </vt:variant>
      <vt:variant>
        <vt:i4>5</vt:i4>
      </vt:variant>
      <vt:variant>
        <vt:lpwstr/>
      </vt:variant>
      <vt:variant>
        <vt:lpwstr>_Toc138751695</vt:lpwstr>
      </vt:variant>
      <vt:variant>
        <vt:i4>1769530</vt:i4>
      </vt:variant>
      <vt:variant>
        <vt:i4>518</vt:i4>
      </vt:variant>
      <vt:variant>
        <vt:i4>0</vt:i4>
      </vt:variant>
      <vt:variant>
        <vt:i4>5</vt:i4>
      </vt:variant>
      <vt:variant>
        <vt:lpwstr/>
      </vt:variant>
      <vt:variant>
        <vt:lpwstr>_Toc138751694</vt:lpwstr>
      </vt:variant>
      <vt:variant>
        <vt:i4>1769530</vt:i4>
      </vt:variant>
      <vt:variant>
        <vt:i4>512</vt:i4>
      </vt:variant>
      <vt:variant>
        <vt:i4>0</vt:i4>
      </vt:variant>
      <vt:variant>
        <vt:i4>5</vt:i4>
      </vt:variant>
      <vt:variant>
        <vt:lpwstr/>
      </vt:variant>
      <vt:variant>
        <vt:lpwstr>_Toc138751693</vt:lpwstr>
      </vt:variant>
      <vt:variant>
        <vt:i4>1769530</vt:i4>
      </vt:variant>
      <vt:variant>
        <vt:i4>506</vt:i4>
      </vt:variant>
      <vt:variant>
        <vt:i4>0</vt:i4>
      </vt:variant>
      <vt:variant>
        <vt:i4>5</vt:i4>
      </vt:variant>
      <vt:variant>
        <vt:lpwstr/>
      </vt:variant>
      <vt:variant>
        <vt:lpwstr>_Toc138751692</vt:lpwstr>
      </vt:variant>
      <vt:variant>
        <vt:i4>1769530</vt:i4>
      </vt:variant>
      <vt:variant>
        <vt:i4>500</vt:i4>
      </vt:variant>
      <vt:variant>
        <vt:i4>0</vt:i4>
      </vt:variant>
      <vt:variant>
        <vt:i4>5</vt:i4>
      </vt:variant>
      <vt:variant>
        <vt:lpwstr/>
      </vt:variant>
      <vt:variant>
        <vt:lpwstr>_Toc138751691</vt:lpwstr>
      </vt:variant>
      <vt:variant>
        <vt:i4>1769530</vt:i4>
      </vt:variant>
      <vt:variant>
        <vt:i4>494</vt:i4>
      </vt:variant>
      <vt:variant>
        <vt:i4>0</vt:i4>
      </vt:variant>
      <vt:variant>
        <vt:i4>5</vt:i4>
      </vt:variant>
      <vt:variant>
        <vt:lpwstr/>
      </vt:variant>
      <vt:variant>
        <vt:lpwstr>_Toc138751690</vt:lpwstr>
      </vt:variant>
      <vt:variant>
        <vt:i4>1703994</vt:i4>
      </vt:variant>
      <vt:variant>
        <vt:i4>488</vt:i4>
      </vt:variant>
      <vt:variant>
        <vt:i4>0</vt:i4>
      </vt:variant>
      <vt:variant>
        <vt:i4>5</vt:i4>
      </vt:variant>
      <vt:variant>
        <vt:lpwstr/>
      </vt:variant>
      <vt:variant>
        <vt:lpwstr>_Toc138751689</vt:lpwstr>
      </vt:variant>
      <vt:variant>
        <vt:i4>1703994</vt:i4>
      </vt:variant>
      <vt:variant>
        <vt:i4>482</vt:i4>
      </vt:variant>
      <vt:variant>
        <vt:i4>0</vt:i4>
      </vt:variant>
      <vt:variant>
        <vt:i4>5</vt:i4>
      </vt:variant>
      <vt:variant>
        <vt:lpwstr/>
      </vt:variant>
      <vt:variant>
        <vt:lpwstr>_Toc138751688</vt:lpwstr>
      </vt:variant>
      <vt:variant>
        <vt:i4>1703994</vt:i4>
      </vt:variant>
      <vt:variant>
        <vt:i4>476</vt:i4>
      </vt:variant>
      <vt:variant>
        <vt:i4>0</vt:i4>
      </vt:variant>
      <vt:variant>
        <vt:i4>5</vt:i4>
      </vt:variant>
      <vt:variant>
        <vt:lpwstr/>
      </vt:variant>
      <vt:variant>
        <vt:lpwstr>_Toc138751687</vt:lpwstr>
      </vt:variant>
      <vt:variant>
        <vt:i4>1703994</vt:i4>
      </vt:variant>
      <vt:variant>
        <vt:i4>470</vt:i4>
      </vt:variant>
      <vt:variant>
        <vt:i4>0</vt:i4>
      </vt:variant>
      <vt:variant>
        <vt:i4>5</vt:i4>
      </vt:variant>
      <vt:variant>
        <vt:lpwstr/>
      </vt:variant>
      <vt:variant>
        <vt:lpwstr>_Toc138751686</vt:lpwstr>
      </vt:variant>
      <vt:variant>
        <vt:i4>1703994</vt:i4>
      </vt:variant>
      <vt:variant>
        <vt:i4>464</vt:i4>
      </vt:variant>
      <vt:variant>
        <vt:i4>0</vt:i4>
      </vt:variant>
      <vt:variant>
        <vt:i4>5</vt:i4>
      </vt:variant>
      <vt:variant>
        <vt:lpwstr/>
      </vt:variant>
      <vt:variant>
        <vt:lpwstr>_Toc138751685</vt:lpwstr>
      </vt:variant>
      <vt:variant>
        <vt:i4>1703994</vt:i4>
      </vt:variant>
      <vt:variant>
        <vt:i4>458</vt:i4>
      </vt:variant>
      <vt:variant>
        <vt:i4>0</vt:i4>
      </vt:variant>
      <vt:variant>
        <vt:i4>5</vt:i4>
      </vt:variant>
      <vt:variant>
        <vt:lpwstr/>
      </vt:variant>
      <vt:variant>
        <vt:lpwstr>_Toc138751684</vt:lpwstr>
      </vt:variant>
      <vt:variant>
        <vt:i4>1703994</vt:i4>
      </vt:variant>
      <vt:variant>
        <vt:i4>452</vt:i4>
      </vt:variant>
      <vt:variant>
        <vt:i4>0</vt:i4>
      </vt:variant>
      <vt:variant>
        <vt:i4>5</vt:i4>
      </vt:variant>
      <vt:variant>
        <vt:lpwstr/>
      </vt:variant>
      <vt:variant>
        <vt:lpwstr>_Toc138751683</vt:lpwstr>
      </vt:variant>
      <vt:variant>
        <vt:i4>1703994</vt:i4>
      </vt:variant>
      <vt:variant>
        <vt:i4>446</vt:i4>
      </vt:variant>
      <vt:variant>
        <vt:i4>0</vt:i4>
      </vt:variant>
      <vt:variant>
        <vt:i4>5</vt:i4>
      </vt:variant>
      <vt:variant>
        <vt:lpwstr/>
      </vt:variant>
      <vt:variant>
        <vt:lpwstr>_Toc138751682</vt:lpwstr>
      </vt:variant>
      <vt:variant>
        <vt:i4>1703994</vt:i4>
      </vt:variant>
      <vt:variant>
        <vt:i4>440</vt:i4>
      </vt:variant>
      <vt:variant>
        <vt:i4>0</vt:i4>
      </vt:variant>
      <vt:variant>
        <vt:i4>5</vt:i4>
      </vt:variant>
      <vt:variant>
        <vt:lpwstr/>
      </vt:variant>
      <vt:variant>
        <vt:lpwstr>_Toc138751681</vt:lpwstr>
      </vt:variant>
      <vt:variant>
        <vt:i4>1703994</vt:i4>
      </vt:variant>
      <vt:variant>
        <vt:i4>434</vt:i4>
      </vt:variant>
      <vt:variant>
        <vt:i4>0</vt:i4>
      </vt:variant>
      <vt:variant>
        <vt:i4>5</vt:i4>
      </vt:variant>
      <vt:variant>
        <vt:lpwstr/>
      </vt:variant>
      <vt:variant>
        <vt:lpwstr>_Toc138751680</vt:lpwstr>
      </vt:variant>
      <vt:variant>
        <vt:i4>1376314</vt:i4>
      </vt:variant>
      <vt:variant>
        <vt:i4>428</vt:i4>
      </vt:variant>
      <vt:variant>
        <vt:i4>0</vt:i4>
      </vt:variant>
      <vt:variant>
        <vt:i4>5</vt:i4>
      </vt:variant>
      <vt:variant>
        <vt:lpwstr/>
      </vt:variant>
      <vt:variant>
        <vt:lpwstr>_Toc138751679</vt:lpwstr>
      </vt:variant>
      <vt:variant>
        <vt:i4>1376314</vt:i4>
      </vt:variant>
      <vt:variant>
        <vt:i4>422</vt:i4>
      </vt:variant>
      <vt:variant>
        <vt:i4>0</vt:i4>
      </vt:variant>
      <vt:variant>
        <vt:i4>5</vt:i4>
      </vt:variant>
      <vt:variant>
        <vt:lpwstr/>
      </vt:variant>
      <vt:variant>
        <vt:lpwstr>_Toc138751678</vt:lpwstr>
      </vt:variant>
      <vt:variant>
        <vt:i4>1376314</vt:i4>
      </vt:variant>
      <vt:variant>
        <vt:i4>416</vt:i4>
      </vt:variant>
      <vt:variant>
        <vt:i4>0</vt:i4>
      </vt:variant>
      <vt:variant>
        <vt:i4>5</vt:i4>
      </vt:variant>
      <vt:variant>
        <vt:lpwstr/>
      </vt:variant>
      <vt:variant>
        <vt:lpwstr>_Toc138751677</vt:lpwstr>
      </vt:variant>
      <vt:variant>
        <vt:i4>1376314</vt:i4>
      </vt:variant>
      <vt:variant>
        <vt:i4>410</vt:i4>
      </vt:variant>
      <vt:variant>
        <vt:i4>0</vt:i4>
      </vt:variant>
      <vt:variant>
        <vt:i4>5</vt:i4>
      </vt:variant>
      <vt:variant>
        <vt:lpwstr/>
      </vt:variant>
      <vt:variant>
        <vt:lpwstr>_Toc138751676</vt:lpwstr>
      </vt:variant>
      <vt:variant>
        <vt:i4>1376314</vt:i4>
      </vt:variant>
      <vt:variant>
        <vt:i4>404</vt:i4>
      </vt:variant>
      <vt:variant>
        <vt:i4>0</vt:i4>
      </vt:variant>
      <vt:variant>
        <vt:i4>5</vt:i4>
      </vt:variant>
      <vt:variant>
        <vt:lpwstr/>
      </vt:variant>
      <vt:variant>
        <vt:lpwstr>_Toc138751675</vt:lpwstr>
      </vt:variant>
      <vt:variant>
        <vt:i4>1376314</vt:i4>
      </vt:variant>
      <vt:variant>
        <vt:i4>398</vt:i4>
      </vt:variant>
      <vt:variant>
        <vt:i4>0</vt:i4>
      </vt:variant>
      <vt:variant>
        <vt:i4>5</vt:i4>
      </vt:variant>
      <vt:variant>
        <vt:lpwstr/>
      </vt:variant>
      <vt:variant>
        <vt:lpwstr>_Toc138751674</vt:lpwstr>
      </vt:variant>
      <vt:variant>
        <vt:i4>1376314</vt:i4>
      </vt:variant>
      <vt:variant>
        <vt:i4>392</vt:i4>
      </vt:variant>
      <vt:variant>
        <vt:i4>0</vt:i4>
      </vt:variant>
      <vt:variant>
        <vt:i4>5</vt:i4>
      </vt:variant>
      <vt:variant>
        <vt:lpwstr/>
      </vt:variant>
      <vt:variant>
        <vt:lpwstr>_Toc138751673</vt:lpwstr>
      </vt:variant>
      <vt:variant>
        <vt:i4>1376314</vt:i4>
      </vt:variant>
      <vt:variant>
        <vt:i4>386</vt:i4>
      </vt:variant>
      <vt:variant>
        <vt:i4>0</vt:i4>
      </vt:variant>
      <vt:variant>
        <vt:i4>5</vt:i4>
      </vt:variant>
      <vt:variant>
        <vt:lpwstr/>
      </vt:variant>
      <vt:variant>
        <vt:lpwstr>_Toc138751672</vt:lpwstr>
      </vt:variant>
      <vt:variant>
        <vt:i4>1376314</vt:i4>
      </vt:variant>
      <vt:variant>
        <vt:i4>380</vt:i4>
      </vt:variant>
      <vt:variant>
        <vt:i4>0</vt:i4>
      </vt:variant>
      <vt:variant>
        <vt:i4>5</vt:i4>
      </vt:variant>
      <vt:variant>
        <vt:lpwstr/>
      </vt:variant>
      <vt:variant>
        <vt:lpwstr>_Toc138751671</vt:lpwstr>
      </vt:variant>
      <vt:variant>
        <vt:i4>1376314</vt:i4>
      </vt:variant>
      <vt:variant>
        <vt:i4>374</vt:i4>
      </vt:variant>
      <vt:variant>
        <vt:i4>0</vt:i4>
      </vt:variant>
      <vt:variant>
        <vt:i4>5</vt:i4>
      </vt:variant>
      <vt:variant>
        <vt:lpwstr/>
      </vt:variant>
      <vt:variant>
        <vt:lpwstr>_Toc138751670</vt:lpwstr>
      </vt:variant>
      <vt:variant>
        <vt:i4>1310778</vt:i4>
      </vt:variant>
      <vt:variant>
        <vt:i4>368</vt:i4>
      </vt:variant>
      <vt:variant>
        <vt:i4>0</vt:i4>
      </vt:variant>
      <vt:variant>
        <vt:i4>5</vt:i4>
      </vt:variant>
      <vt:variant>
        <vt:lpwstr/>
      </vt:variant>
      <vt:variant>
        <vt:lpwstr>_Toc138751669</vt:lpwstr>
      </vt:variant>
      <vt:variant>
        <vt:i4>1310778</vt:i4>
      </vt:variant>
      <vt:variant>
        <vt:i4>362</vt:i4>
      </vt:variant>
      <vt:variant>
        <vt:i4>0</vt:i4>
      </vt:variant>
      <vt:variant>
        <vt:i4>5</vt:i4>
      </vt:variant>
      <vt:variant>
        <vt:lpwstr/>
      </vt:variant>
      <vt:variant>
        <vt:lpwstr>_Toc138751668</vt:lpwstr>
      </vt:variant>
      <vt:variant>
        <vt:i4>1310778</vt:i4>
      </vt:variant>
      <vt:variant>
        <vt:i4>356</vt:i4>
      </vt:variant>
      <vt:variant>
        <vt:i4>0</vt:i4>
      </vt:variant>
      <vt:variant>
        <vt:i4>5</vt:i4>
      </vt:variant>
      <vt:variant>
        <vt:lpwstr/>
      </vt:variant>
      <vt:variant>
        <vt:lpwstr>_Toc138751667</vt:lpwstr>
      </vt:variant>
      <vt:variant>
        <vt:i4>1310778</vt:i4>
      </vt:variant>
      <vt:variant>
        <vt:i4>350</vt:i4>
      </vt:variant>
      <vt:variant>
        <vt:i4>0</vt:i4>
      </vt:variant>
      <vt:variant>
        <vt:i4>5</vt:i4>
      </vt:variant>
      <vt:variant>
        <vt:lpwstr/>
      </vt:variant>
      <vt:variant>
        <vt:lpwstr>_Toc138751666</vt:lpwstr>
      </vt:variant>
      <vt:variant>
        <vt:i4>1310778</vt:i4>
      </vt:variant>
      <vt:variant>
        <vt:i4>344</vt:i4>
      </vt:variant>
      <vt:variant>
        <vt:i4>0</vt:i4>
      </vt:variant>
      <vt:variant>
        <vt:i4>5</vt:i4>
      </vt:variant>
      <vt:variant>
        <vt:lpwstr/>
      </vt:variant>
      <vt:variant>
        <vt:lpwstr>_Toc138751665</vt:lpwstr>
      </vt:variant>
      <vt:variant>
        <vt:i4>1310778</vt:i4>
      </vt:variant>
      <vt:variant>
        <vt:i4>338</vt:i4>
      </vt:variant>
      <vt:variant>
        <vt:i4>0</vt:i4>
      </vt:variant>
      <vt:variant>
        <vt:i4>5</vt:i4>
      </vt:variant>
      <vt:variant>
        <vt:lpwstr/>
      </vt:variant>
      <vt:variant>
        <vt:lpwstr>_Toc138751664</vt:lpwstr>
      </vt:variant>
      <vt:variant>
        <vt:i4>1310778</vt:i4>
      </vt:variant>
      <vt:variant>
        <vt:i4>332</vt:i4>
      </vt:variant>
      <vt:variant>
        <vt:i4>0</vt:i4>
      </vt:variant>
      <vt:variant>
        <vt:i4>5</vt:i4>
      </vt:variant>
      <vt:variant>
        <vt:lpwstr/>
      </vt:variant>
      <vt:variant>
        <vt:lpwstr>_Toc138751663</vt:lpwstr>
      </vt:variant>
      <vt:variant>
        <vt:i4>1310778</vt:i4>
      </vt:variant>
      <vt:variant>
        <vt:i4>326</vt:i4>
      </vt:variant>
      <vt:variant>
        <vt:i4>0</vt:i4>
      </vt:variant>
      <vt:variant>
        <vt:i4>5</vt:i4>
      </vt:variant>
      <vt:variant>
        <vt:lpwstr/>
      </vt:variant>
      <vt:variant>
        <vt:lpwstr>_Toc138751662</vt:lpwstr>
      </vt:variant>
      <vt:variant>
        <vt:i4>1310778</vt:i4>
      </vt:variant>
      <vt:variant>
        <vt:i4>320</vt:i4>
      </vt:variant>
      <vt:variant>
        <vt:i4>0</vt:i4>
      </vt:variant>
      <vt:variant>
        <vt:i4>5</vt:i4>
      </vt:variant>
      <vt:variant>
        <vt:lpwstr/>
      </vt:variant>
      <vt:variant>
        <vt:lpwstr>_Toc138751661</vt:lpwstr>
      </vt:variant>
      <vt:variant>
        <vt:i4>1310778</vt:i4>
      </vt:variant>
      <vt:variant>
        <vt:i4>314</vt:i4>
      </vt:variant>
      <vt:variant>
        <vt:i4>0</vt:i4>
      </vt:variant>
      <vt:variant>
        <vt:i4>5</vt:i4>
      </vt:variant>
      <vt:variant>
        <vt:lpwstr/>
      </vt:variant>
      <vt:variant>
        <vt:lpwstr>_Toc138751660</vt:lpwstr>
      </vt:variant>
      <vt:variant>
        <vt:i4>1507386</vt:i4>
      </vt:variant>
      <vt:variant>
        <vt:i4>308</vt:i4>
      </vt:variant>
      <vt:variant>
        <vt:i4>0</vt:i4>
      </vt:variant>
      <vt:variant>
        <vt:i4>5</vt:i4>
      </vt:variant>
      <vt:variant>
        <vt:lpwstr/>
      </vt:variant>
      <vt:variant>
        <vt:lpwstr>_Toc138751659</vt:lpwstr>
      </vt:variant>
      <vt:variant>
        <vt:i4>1507386</vt:i4>
      </vt:variant>
      <vt:variant>
        <vt:i4>302</vt:i4>
      </vt:variant>
      <vt:variant>
        <vt:i4>0</vt:i4>
      </vt:variant>
      <vt:variant>
        <vt:i4>5</vt:i4>
      </vt:variant>
      <vt:variant>
        <vt:lpwstr/>
      </vt:variant>
      <vt:variant>
        <vt:lpwstr>_Toc138751658</vt:lpwstr>
      </vt:variant>
      <vt:variant>
        <vt:i4>1507386</vt:i4>
      </vt:variant>
      <vt:variant>
        <vt:i4>296</vt:i4>
      </vt:variant>
      <vt:variant>
        <vt:i4>0</vt:i4>
      </vt:variant>
      <vt:variant>
        <vt:i4>5</vt:i4>
      </vt:variant>
      <vt:variant>
        <vt:lpwstr/>
      </vt:variant>
      <vt:variant>
        <vt:lpwstr>_Toc138751657</vt:lpwstr>
      </vt:variant>
      <vt:variant>
        <vt:i4>1507386</vt:i4>
      </vt:variant>
      <vt:variant>
        <vt:i4>290</vt:i4>
      </vt:variant>
      <vt:variant>
        <vt:i4>0</vt:i4>
      </vt:variant>
      <vt:variant>
        <vt:i4>5</vt:i4>
      </vt:variant>
      <vt:variant>
        <vt:lpwstr/>
      </vt:variant>
      <vt:variant>
        <vt:lpwstr>_Toc138751656</vt:lpwstr>
      </vt:variant>
      <vt:variant>
        <vt:i4>1507386</vt:i4>
      </vt:variant>
      <vt:variant>
        <vt:i4>284</vt:i4>
      </vt:variant>
      <vt:variant>
        <vt:i4>0</vt:i4>
      </vt:variant>
      <vt:variant>
        <vt:i4>5</vt:i4>
      </vt:variant>
      <vt:variant>
        <vt:lpwstr/>
      </vt:variant>
      <vt:variant>
        <vt:lpwstr>_Toc138751655</vt:lpwstr>
      </vt:variant>
      <vt:variant>
        <vt:i4>1507386</vt:i4>
      </vt:variant>
      <vt:variant>
        <vt:i4>278</vt:i4>
      </vt:variant>
      <vt:variant>
        <vt:i4>0</vt:i4>
      </vt:variant>
      <vt:variant>
        <vt:i4>5</vt:i4>
      </vt:variant>
      <vt:variant>
        <vt:lpwstr/>
      </vt:variant>
      <vt:variant>
        <vt:lpwstr>_Toc138751654</vt:lpwstr>
      </vt:variant>
      <vt:variant>
        <vt:i4>1507386</vt:i4>
      </vt:variant>
      <vt:variant>
        <vt:i4>272</vt:i4>
      </vt:variant>
      <vt:variant>
        <vt:i4>0</vt:i4>
      </vt:variant>
      <vt:variant>
        <vt:i4>5</vt:i4>
      </vt:variant>
      <vt:variant>
        <vt:lpwstr/>
      </vt:variant>
      <vt:variant>
        <vt:lpwstr>_Toc138751653</vt:lpwstr>
      </vt:variant>
      <vt:variant>
        <vt:i4>1507386</vt:i4>
      </vt:variant>
      <vt:variant>
        <vt:i4>266</vt:i4>
      </vt:variant>
      <vt:variant>
        <vt:i4>0</vt:i4>
      </vt:variant>
      <vt:variant>
        <vt:i4>5</vt:i4>
      </vt:variant>
      <vt:variant>
        <vt:lpwstr/>
      </vt:variant>
      <vt:variant>
        <vt:lpwstr>_Toc138751652</vt:lpwstr>
      </vt:variant>
      <vt:variant>
        <vt:i4>1507386</vt:i4>
      </vt:variant>
      <vt:variant>
        <vt:i4>260</vt:i4>
      </vt:variant>
      <vt:variant>
        <vt:i4>0</vt:i4>
      </vt:variant>
      <vt:variant>
        <vt:i4>5</vt:i4>
      </vt:variant>
      <vt:variant>
        <vt:lpwstr/>
      </vt:variant>
      <vt:variant>
        <vt:lpwstr>_Toc138751651</vt:lpwstr>
      </vt:variant>
      <vt:variant>
        <vt:i4>1507386</vt:i4>
      </vt:variant>
      <vt:variant>
        <vt:i4>254</vt:i4>
      </vt:variant>
      <vt:variant>
        <vt:i4>0</vt:i4>
      </vt:variant>
      <vt:variant>
        <vt:i4>5</vt:i4>
      </vt:variant>
      <vt:variant>
        <vt:lpwstr/>
      </vt:variant>
      <vt:variant>
        <vt:lpwstr>_Toc138751650</vt:lpwstr>
      </vt:variant>
      <vt:variant>
        <vt:i4>1441850</vt:i4>
      </vt:variant>
      <vt:variant>
        <vt:i4>248</vt:i4>
      </vt:variant>
      <vt:variant>
        <vt:i4>0</vt:i4>
      </vt:variant>
      <vt:variant>
        <vt:i4>5</vt:i4>
      </vt:variant>
      <vt:variant>
        <vt:lpwstr/>
      </vt:variant>
      <vt:variant>
        <vt:lpwstr>_Toc138751649</vt:lpwstr>
      </vt:variant>
      <vt:variant>
        <vt:i4>1441850</vt:i4>
      </vt:variant>
      <vt:variant>
        <vt:i4>242</vt:i4>
      </vt:variant>
      <vt:variant>
        <vt:i4>0</vt:i4>
      </vt:variant>
      <vt:variant>
        <vt:i4>5</vt:i4>
      </vt:variant>
      <vt:variant>
        <vt:lpwstr/>
      </vt:variant>
      <vt:variant>
        <vt:lpwstr>_Toc138751648</vt:lpwstr>
      </vt:variant>
      <vt:variant>
        <vt:i4>1441850</vt:i4>
      </vt:variant>
      <vt:variant>
        <vt:i4>236</vt:i4>
      </vt:variant>
      <vt:variant>
        <vt:i4>0</vt:i4>
      </vt:variant>
      <vt:variant>
        <vt:i4>5</vt:i4>
      </vt:variant>
      <vt:variant>
        <vt:lpwstr/>
      </vt:variant>
      <vt:variant>
        <vt:lpwstr>_Toc138751647</vt:lpwstr>
      </vt:variant>
      <vt:variant>
        <vt:i4>1441850</vt:i4>
      </vt:variant>
      <vt:variant>
        <vt:i4>230</vt:i4>
      </vt:variant>
      <vt:variant>
        <vt:i4>0</vt:i4>
      </vt:variant>
      <vt:variant>
        <vt:i4>5</vt:i4>
      </vt:variant>
      <vt:variant>
        <vt:lpwstr/>
      </vt:variant>
      <vt:variant>
        <vt:lpwstr>_Toc138751646</vt:lpwstr>
      </vt:variant>
      <vt:variant>
        <vt:i4>1441850</vt:i4>
      </vt:variant>
      <vt:variant>
        <vt:i4>224</vt:i4>
      </vt:variant>
      <vt:variant>
        <vt:i4>0</vt:i4>
      </vt:variant>
      <vt:variant>
        <vt:i4>5</vt:i4>
      </vt:variant>
      <vt:variant>
        <vt:lpwstr/>
      </vt:variant>
      <vt:variant>
        <vt:lpwstr>_Toc138751645</vt:lpwstr>
      </vt:variant>
      <vt:variant>
        <vt:i4>1441850</vt:i4>
      </vt:variant>
      <vt:variant>
        <vt:i4>218</vt:i4>
      </vt:variant>
      <vt:variant>
        <vt:i4>0</vt:i4>
      </vt:variant>
      <vt:variant>
        <vt:i4>5</vt:i4>
      </vt:variant>
      <vt:variant>
        <vt:lpwstr/>
      </vt:variant>
      <vt:variant>
        <vt:lpwstr>_Toc138751644</vt:lpwstr>
      </vt:variant>
      <vt:variant>
        <vt:i4>1441850</vt:i4>
      </vt:variant>
      <vt:variant>
        <vt:i4>212</vt:i4>
      </vt:variant>
      <vt:variant>
        <vt:i4>0</vt:i4>
      </vt:variant>
      <vt:variant>
        <vt:i4>5</vt:i4>
      </vt:variant>
      <vt:variant>
        <vt:lpwstr/>
      </vt:variant>
      <vt:variant>
        <vt:lpwstr>_Toc138751643</vt:lpwstr>
      </vt:variant>
      <vt:variant>
        <vt:i4>1441850</vt:i4>
      </vt:variant>
      <vt:variant>
        <vt:i4>206</vt:i4>
      </vt:variant>
      <vt:variant>
        <vt:i4>0</vt:i4>
      </vt:variant>
      <vt:variant>
        <vt:i4>5</vt:i4>
      </vt:variant>
      <vt:variant>
        <vt:lpwstr/>
      </vt:variant>
      <vt:variant>
        <vt:lpwstr>_Toc138751642</vt:lpwstr>
      </vt:variant>
      <vt:variant>
        <vt:i4>1441850</vt:i4>
      </vt:variant>
      <vt:variant>
        <vt:i4>200</vt:i4>
      </vt:variant>
      <vt:variant>
        <vt:i4>0</vt:i4>
      </vt:variant>
      <vt:variant>
        <vt:i4>5</vt:i4>
      </vt:variant>
      <vt:variant>
        <vt:lpwstr/>
      </vt:variant>
      <vt:variant>
        <vt:lpwstr>_Toc138751641</vt:lpwstr>
      </vt:variant>
      <vt:variant>
        <vt:i4>1441850</vt:i4>
      </vt:variant>
      <vt:variant>
        <vt:i4>194</vt:i4>
      </vt:variant>
      <vt:variant>
        <vt:i4>0</vt:i4>
      </vt:variant>
      <vt:variant>
        <vt:i4>5</vt:i4>
      </vt:variant>
      <vt:variant>
        <vt:lpwstr/>
      </vt:variant>
      <vt:variant>
        <vt:lpwstr>_Toc138751640</vt:lpwstr>
      </vt:variant>
      <vt:variant>
        <vt:i4>1114170</vt:i4>
      </vt:variant>
      <vt:variant>
        <vt:i4>188</vt:i4>
      </vt:variant>
      <vt:variant>
        <vt:i4>0</vt:i4>
      </vt:variant>
      <vt:variant>
        <vt:i4>5</vt:i4>
      </vt:variant>
      <vt:variant>
        <vt:lpwstr/>
      </vt:variant>
      <vt:variant>
        <vt:lpwstr>_Toc138751639</vt:lpwstr>
      </vt:variant>
      <vt:variant>
        <vt:i4>1114170</vt:i4>
      </vt:variant>
      <vt:variant>
        <vt:i4>182</vt:i4>
      </vt:variant>
      <vt:variant>
        <vt:i4>0</vt:i4>
      </vt:variant>
      <vt:variant>
        <vt:i4>5</vt:i4>
      </vt:variant>
      <vt:variant>
        <vt:lpwstr/>
      </vt:variant>
      <vt:variant>
        <vt:lpwstr>_Toc138751638</vt:lpwstr>
      </vt:variant>
      <vt:variant>
        <vt:i4>1114170</vt:i4>
      </vt:variant>
      <vt:variant>
        <vt:i4>176</vt:i4>
      </vt:variant>
      <vt:variant>
        <vt:i4>0</vt:i4>
      </vt:variant>
      <vt:variant>
        <vt:i4>5</vt:i4>
      </vt:variant>
      <vt:variant>
        <vt:lpwstr/>
      </vt:variant>
      <vt:variant>
        <vt:lpwstr>_Toc138751637</vt:lpwstr>
      </vt:variant>
      <vt:variant>
        <vt:i4>1114170</vt:i4>
      </vt:variant>
      <vt:variant>
        <vt:i4>170</vt:i4>
      </vt:variant>
      <vt:variant>
        <vt:i4>0</vt:i4>
      </vt:variant>
      <vt:variant>
        <vt:i4>5</vt:i4>
      </vt:variant>
      <vt:variant>
        <vt:lpwstr/>
      </vt:variant>
      <vt:variant>
        <vt:lpwstr>_Toc138751636</vt:lpwstr>
      </vt:variant>
      <vt:variant>
        <vt:i4>1114170</vt:i4>
      </vt:variant>
      <vt:variant>
        <vt:i4>164</vt:i4>
      </vt:variant>
      <vt:variant>
        <vt:i4>0</vt:i4>
      </vt:variant>
      <vt:variant>
        <vt:i4>5</vt:i4>
      </vt:variant>
      <vt:variant>
        <vt:lpwstr/>
      </vt:variant>
      <vt:variant>
        <vt:lpwstr>_Toc138751635</vt:lpwstr>
      </vt:variant>
      <vt:variant>
        <vt:i4>1114170</vt:i4>
      </vt:variant>
      <vt:variant>
        <vt:i4>158</vt:i4>
      </vt:variant>
      <vt:variant>
        <vt:i4>0</vt:i4>
      </vt:variant>
      <vt:variant>
        <vt:i4>5</vt:i4>
      </vt:variant>
      <vt:variant>
        <vt:lpwstr/>
      </vt:variant>
      <vt:variant>
        <vt:lpwstr>_Toc138751634</vt:lpwstr>
      </vt:variant>
      <vt:variant>
        <vt:i4>1114170</vt:i4>
      </vt:variant>
      <vt:variant>
        <vt:i4>152</vt:i4>
      </vt:variant>
      <vt:variant>
        <vt:i4>0</vt:i4>
      </vt:variant>
      <vt:variant>
        <vt:i4>5</vt:i4>
      </vt:variant>
      <vt:variant>
        <vt:lpwstr/>
      </vt:variant>
      <vt:variant>
        <vt:lpwstr>_Toc138751633</vt:lpwstr>
      </vt:variant>
      <vt:variant>
        <vt:i4>1114170</vt:i4>
      </vt:variant>
      <vt:variant>
        <vt:i4>146</vt:i4>
      </vt:variant>
      <vt:variant>
        <vt:i4>0</vt:i4>
      </vt:variant>
      <vt:variant>
        <vt:i4>5</vt:i4>
      </vt:variant>
      <vt:variant>
        <vt:lpwstr/>
      </vt:variant>
      <vt:variant>
        <vt:lpwstr>_Toc138751632</vt:lpwstr>
      </vt:variant>
      <vt:variant>
        <vt:i4>1114170</vt:i4>
      </vt:variant>
      <vt:variant>
        <vt:i4>140</vt:i4>
      </vt:variant>
      <vt:variant>
        <vt:i4>0</vt:i4>
      </vt:variant>
      <vt:variant>
        <vt:i4>5</vt:i4>
      </vt:variant>
      <vt:variant>
        <vt:lpwstr/>
      </vt:variant>
      <vt:variant>
        <vt:lpwstr>_Toc138751631</vt:lpwstr>
      </vt:variant>
      <vt:variant>
        <vt:i4>1114170</vt:i4>
      </vt:variant>
      <vt:variant>
        <vt:i4>134</vt:i4>
      </vt:variant>
      <vt:variant>
        <vt:i4>0</vt:i4>
      </vt:variant>
      <vt:variant>
        <vt:i4>5</vt:i4>
      </vt:variant>
      <vt:variant>
        <vt:lpwstr/>
      </vt:variant>
      <vt:variant>
        <vt:lpwstr>_Toc138751630</vt:lpwstr>
      </vt:variant>
      <vt:variant>
        <vt:i4>1048634</vt:i4>
      </vt:variant>
      <vt:variant>
        <vt:i4>128</vt:i4>
      </vt:variant>
      <vt:variant>
        <vt:i4>0</vt:i4>
      </vt:variant>
      <vt:variant>
        <vt:i4>5</vt:i4>
      </vt:variant>
      <vt:variant>
        <vt:lpwstr/>
      </vt:variant>
      <vt:variant>
        <vt:lpwstr>_Toc138751629</vt:lpwstr>
      </vt:variant>
      <vt:variant>
        <vt:i4>1048634</vt:i4>
      </vt:variant>
      <vt:variant>
        <vt:i4>122</vt:i4>
      </vt:variant>
      <vt:variant>
        <vt:i4>0</vt:i4>
      </vt:variant>
      <vt:variant>
        <vt:i4>5</vt:i4>
      </vt:variant>
      <vt:variant>
        <vt:lpwstr/>
      </vt:variant>
      <vt:variant>
        <vt:lpwstr>_Toc138751628</vt:lpwstr>
      </vt:variant>
      <vt:variant>
        <vt:i4>1048634</vt:i4>
      </vt:variant>
      <vt:variant>
        <vt:i4>116</vt:i4>
      </vt:variant>
      <vt:variant>
        <vt:i4>0</vt:i4>
      </vt:variant>
      <vt:variant>
        <vt:i4>5</vt:i4>
      </vt:variant>
      <vt:variant>
        <vt:lpwstr/>
      </vt:variant>
      <vt:variant>
        <vt:lpwstr>_Toc138751627</vt:lpwstr>
      </vt:variant>
      <vt:variant>
        <vt:i4>1048634</vt:i4>
      </vt:variant>
      <vt:variant>
        <vt:i4>110</vt:i4>
      </vt:variant>
      <vt:variant>
        <vt:i4>0</vt:i4>
      </vt:variant>
      <vt:variant>
        <vt:i4>5</vt:i4>
      </vt:variant>
      <vt:variant>
        <vt:lpwstr/>
      </vt:variant>
      <vt:variant>
        <vt:lpwstr>_Toc138751626</vt:lpwstr>
      </vt:variant>
      <vt:variant>
        <vt:i4>1048634</vt:i4>
      </vt:variant>
      <vt:variant>
        <vt:i4>104</vt:i4>
      </vt:variant>
      <vt:variant>
        <vt:i4>0</vt:i4>
      </vt:variant>
      <vt:variant>
        <vt:i4>5</vt:i4>
      </vt:variant>
      <vt:variant>
        <vt:lpwstr/>
      </vt:variant>
      <vt:variant>
        <vt:lpwstr>_Toc138751625</vt:lpwstr>
      </vt:variant>
      <vt:variant>
        <vt:i4>1048634</vt:i4>
      </vt:variant>
      <vt:variant>
        <vt:i4>98</vt:i4>
      </vt:variant>
      <vt:variant>
        <vt:i4>0</vt:i4>
      </vt:variant>
      <vt:variant>
        <vt:i4>5</vt:i4>
      </vt:variant>
      <vt:variant>
        <vt:lpwstr/>
      </vt:variant>
      <vt:variant>
        <vt:lpwstr>_Toc138751624</vt:lpwstr>
      </vt:variant>
      <vt:variant>
        <vt:i4>1048634</vt:i4>
      </vt:variant>
      <vt:variant>
        <vt:i4>92</vt:i4>
      </vt:variant>
      <vt:variant>
        <vt:i4>0</vt:i4>
      </vt:variant>
      <vt:variant>
        <vt:i4>5</vt:i4>
      </vt:variant>
      <vt:variant>
        <vt:lpwstr/>
      </vt:variant>
      <vt:variant>
        <vt:lpwstr>_Toc138751623</vt:lpwstr>
      </vt:variant>
      <vt:variant>
        <vt:i4>1048634</vt:i4>
      </vt:variant>
      <vt:variant>
        <vt:i4>86</vt:i4>
      </vt:variant>
      <vt:variant>
        <vt:i4>0</vt:i4>
      </vt:variant>
      <vt:variant>
        <vt:i4>5</vt:i4>
      </vt:variant>
      <vt:variant>
        <vt:lpwstr/>
      </vt:variant>
      <vt:variant>
        <vt:lpwstr>_Toc138751622</vt:lpwstr>
      </vt:variant>
      <vt:variant>
        <vt:i4>1048634</vt:i4>
      </vt:variant>
      <vt:variant>
        <vt:i4>80</vt:i4>
      </vt:variant>
      <vt:variant>
        <vt:i4>0</vt:i4>
      </vt:variant>
      <vt:variant>
        <vt:i4>5</vt:i4>
      </vt:variant>
      <vt:variant>
        <vt:lpwstr/>
      </vt:variant>
      <vt:variant>
        <vt:lpwstr>_Toc138751621</vt:lpwstr>
      </vt:variant>
      <vt:variant>
        <vt:i4>1048634</vt:i4>
      </vt:variant>
      <vt:variant>
        <vt:i4>74</vt:i4>
      </vt:variant>
      <vt:variant>
        <vt:i4>0</vt:i4>
      </vt:variant>
      <vt:variant>
        <vt:i4>5</vt:i4>
      </vt:variant>
      <vt:variant>
        <vt:lpwstr/>
      </vt:variant>
      <vt:variant>
        <vt:lpwstr>_Toc138751620</vt:lpwstr>
      </vt:variant>
      <vt:variant>
        <vt:i4>1245242</vt:i4>
      </vt:variant>
      <vt:variant>
        <vt:i4>68</vt:i4>
      </vt:variant>
      <vt:variant>
        <vt:i4>0</vt:i4>
      </vt:variant>
      <vt:variant>
        <vt:i4>5</vt:i4>
      </vt:variant>
      <vt:variant>
        <vt:lpwstr/>
      </vt:variant>
      <vt:variant>
        <vt:lpwstr>_Toc138751619</vt:lpwstr>
      </vt:variant>
      <vt:variant>
        <vt:i4>1245242</vt:i4>
      </vt:variant>
      <vt:variant>
        <vt:i4>62</vt:i4>
      </vt:variant>
      <vt:variant>
        <vt:i4>0</vt:i4>
      </vt:variant>
      <vt:variant>
        <vt:i4>5</vt:i4>
      </vt:variant>
      <vt:variant>
        <vt:lpwstr/>
      </vt:variant>
      <vt:variant>
        <vt:lpwstr>_Toc138751618</vt:lpwstr>
      </vt:variant>
      <vt:variant>
        <vt:i4>1245242</vt:i4>
      </vt:variant>
      <vt:variant>
        <vt:i4>56</vt:i4>
      </vt:variant>
      <vt:variant>
        <vt:i4>0</vt:i4>
      </vt:variant>
      <vt:variant>
        <vt:i4>5</vt:i4>
      </vt:variant>
      <vt:variant>
        <vt:lpwstr/>
      </vt:variant>
      <vt:variant>
        <vt:lpwstr>_Toc138751617</vt:lpwstr>
      </vt:variant>
      <vt:variant>
        <vt:i4>1245242</vt:i4>
      </vt:variant>
      <vt:variant>
        <vt:i4>50</vt:i4>
      </vt:variant>
      <vt:variant>
        <vt:i4>0</vt:i4>
      </vt:variant>
      <vt:variant>
        <vt:i4>5</vt:i4>
      </vt:variant>
      <vt:variant>
        <vt:lpwstr/>
      </vt:variant>
      <vt:variant>
        <vt:lpwstr>_Toc138751616</vt:lpwstr>
      </vt:variant>
      <vt:variant>
        <vt:i4>1245242</vt:i4>
      </vt:variant>
      <vt:variant>
        <vt:i4>44</vt:i4>
      </vt:variant>
      <vt:variant>
        <vt:i4>0</vt:i4>
      </vt:variant>
      <vt:variant>
        <vt:i4>5</vt:i4>
      </vt:variant>
      <vt:variant>
        <vt:lpwstr/>
      </vt:variant>
      <vt:variant>
        <vt:lpwstr>_Toc138751615</vt:lpwstr>
      </vt:variant>
      <vt:variant>
        <vt:i4>1245242</vt:i4>
      </vt:variant>
      <vt:variant>
        <vt:i4>38</vt:i4>
      </vt:variant>
      <vt:variant>
        <vt:i4>0</vt:i4>
      </vt:variant>
      <vt:variant>
        <vt:i4>5</vt:i4>
      </vt:variant>
      <vt:variant>
        <vt:lpwstr/>
      </vt:variant>
      <vt:variant>
        <vt:lpwstr>_Toc138751614</vt:lpwstr>
      </vt:variant>
      <vt:variant>
        <vt:i4>1245242</vt:i4>
      </vt:variant>
      <vt:variant>
        <vt:i4>32</vt:i4>
      </vt:variant>
      <vt:variant>
        <vt:i4>0</vt:i4>
      </vt:variant>
      <vt:variant>
        <vt:i4>5</vt:i4>
      </vt:variant>
      <vt:variant>
        <vt:lpwstr/>
      </vt:variant>
      <vt:variant>
        <vt:lpwstr>_Toc138751613</vt:lpwstr>
      </vt:variant>
      <vt:variant>
        <vt:i4>1245242</vt:i4>
      </vt:variant>
      <vt:variant>
        <vt:i4>26</vt:i4>
      </vt:variant>
      <vt:variant>
        <vt:i4>0</vt:i4>
      </vt:variant>
      <vt:variant>
        <vt:i4>5</vt:i4>
      </vt:variant>
      <vt:variant>
        <vt:lpwstr/>
      </vt:variant>
      <vt:variant>
        <vt:lpwstr>_Toc138751612</vt:lpwstr>
      </vt:variant>
      <vt:variant>
        <vt:i4>1245242</vt:i4>
      </vt:variant>
      <vt:variant>
        <vt:i4>20</vt:i4>
      </vt:variant>
      <vt:variant>
        <vt:i4>0</vt:i4>
      </vt:variant>
      <vt:variant>
        <vt:i4>5</vt:i4>
      </vt:variant>
      <vt:variant>
        <vt:lpwstr/>
      </vt:variant>
      <vt:variant>
        <vt:lpwstr>_Toc138751611</vt:lpwstr>
      </vt:variant>
      <vt:variant>
        <vt:i4>1245242</vt:i4>
      </vt:variant>
      <vt:variant>
        <vt:i4>14</vt:i4>
      </vt:variant>
      <vt:variant>
        <vt:i4>0</vt:i4>
      </vt:variant>
      <vt:variant>
        <vt:i4>5</vt:i4>
      </vt:variant>
      <vt:variant>
        <vt:lpwstr/>
      </vt:variant>
      <vt:variant>
        <vt:lpwstr>_Toc138751610</vt:lpwstr>
      </vt:variant>
      <vt:variant>
        <vt:i4>1179706</vt:i4>
      </vt:variant>
      <vt:variant>
        <vt:i4>8</vt:i4>
      </vt:variant>
      <vt:variant>
        <vt:i4>0</vt:i4>
      </vt:variant>
      <vt:variant>
        <vt:i4>5</vt:i4>
      </vt:variant>
      <vt:variant>
        <vt:lpwstr/>
      </vt:variant>
      <vt:variant>
        <vt:lpwstr>_Toc138751609</vt:lpwstr>
      </vt:variant>
      <vt:variant>
        <vt:i4>1179706</vt:i4>
      </vt:variant>
      <vt:variant>
        <vt:i4>2</vt:i4>
      </vt:variant>
      <vt:variant>
        <vt:i4>0</vt:i4>
      </vt:variant>
      <vt:variant>
        <vt:i4>5</vt:i4>
      </vt:variant>
      <vt:variant>
        <vt:lpwstr/>
      </vt:variant>
      <vt:variant>
        <vt:lpwstr>_Toc138751608</vt:lpwstr>
      </vt:variant>
      <vt:variant>
        <vt:i4>8061040</vt:i4>
      </vt:variant>
      <vt:variant>
        <vt:i4>624</vt:i4>
      </vt:variant>
      <vt:variant>
        <vt:i4>0</vt:i4>
      </vt:variant>
      <vt:variant>
        <vt:i4>5</vt:i4>
      </vt:variant>
      <vt:variant>
        <vt:lpwstr>http://classic.austlii.edu.au/au/journals/eJlTaxR/2015/</vt:lpwstr>
      </vt:variant>
      <vt:variant>
        <vt:lpwstr/>
      </vt:variant>
      <vt:variant>
        <vt:i4>7012468</vt:i4>
      </vt:variant>
      <vt:variant>
        <vt:i4>618</vt:i4>
      </vt:variant>
      <vt:variant>
        <vt:i4>0</vt:i4>
      </vt:variant>
      <vt:variant>
        <vt:i4>5</vt:i4>
      </vt:variant>
      <vt:variant>
        <vt:lpwstr>https://www.ato.gov.au/Rates/HELP,-TSL-and-SFSS-repayment-thresholds-and-rates/</vt:lpwstr>
      </vt:variant>
      <vt:variant>
        <vt:lpwstr/>
      </vt:variant>
      <vt:variant>
        <vt:i4>2883629</vt:i4>
      </vt:variant>
      <vt:variant>
        <vt:i4>615</vt:i4>
      </vt:variant>
      <vt:variant>
        <vt:i4>0</vt:i4>
      </vt:variant>
      <vt:variant>
        <vt:i4>5</vt:i4>
      </vt:variant>
      <vt:variant>
        <vt:lpwstr>abs.gov.au/statistics/economy/price-indexes-and-inflation/consumer-price-index-australia/latest-release</vt:lpwstr>
      </vt:variant>
      <vt:variant>
        <vt:lpwstr/>
      </vt:variant>
      <vt:variant>
        <vt:i4>1900617</vt:i4>
      </vt:variant>
      <vt:variant>
        <vt:i4>609</vt:i4>
      </vt:variant>
      <vt:variant>
        <vt:i4>0</vt:i4>
      </vt:variant>
      <vt:variant>
        <vt:i4>5</vt:i4>
      </vt:variant>
      <vt:variant>
        <vt:lpwstr>https://www.education.gov.au/australian-universities-accord/consultations/australian-universities-accord-panel-discussion-paper-consultation/submission/15951</vt:lpwstr>
      </vt:variant>
      <vt:variant>
        <vt:lpwstr/>
      </vt:variant>
      <vt:variant>
        <vt:i4>3080246</vt:i4>
      </vt:variant>
      <vt:variant>
        <vt:i4>603</vt:i4>
      </vt:variant>
      <vt:variant>
        <vt:i4>0</vt:i4>
      </vt:variant>
      <vt:variant>
        <vt:i4>5</vt:i4>
      </vt:variant>
      <vt:variant>
        <vt:lpwstr>https://www.education.gov.au/higher-education-publications/resources/2022-transparency-higher-education-expenditure-publication</vt:lpwstr>
      </vt:variant>
      <vt:variant>
        <vt:lpwstr/>
      </vt:variant>
      <vt:variant>
        <vt:i4>1966153</vt:i4>
      </vt:variant>
      <vt:variant>
        <vt:i4>600</vt:i4>
      </vt:variant>
      <vt:variant>
        <vt:i4>0</vt:i4>
      </vt:variant>
      <vt:variant>
        <vt:i4>5</vt:i4>
      </vt:variant>
      <vt:variant>
        <vt:lpwstr>https://www.education.gov.au/australian-universities-accord/consultations/australian-universities-accord-panel-discussion-paper-consultation/submission/15963</vt:lpwstr>
      </vt:variant>
      <vt:variant>
        <vt:lpwstr/>
      </vt:variant>
      <vt:variant>
        <vt:i4>1704003</vt:i4>
      </vt:variant>
      <vt:variant>
        <vt:i4>597</vt:i4>
      </vt:variant>
      <vt:variant>
        <vt:i4>0</vt:i4>
      </vt:variant>
      <vt:variant>
        <vt:i4>5</vt:i4>
      </vt:variant>
      <vt:variant>
        <vt:lpwstr>https://www.education.gov.au/australian-universities-accord/consultations/australian-universities-accord-panel-discussion-paper-consultation/submission/16315</vt:lpwstr>
      </vt:variant>
      <vt:variant>
        <vt:lpwstr/>
      </vt:variant>
      <vt:variant>
        <vt:i4>2031688</vt:i4>
      </vt:variant>
      <vt:variant>
        <vt:i4>594</vt:i4>
      </vt:variant>
      <vt:variant>
        <vt:i4>0</vt:i4>
      </vt:variant>
      <vt:variant>
        <vt:i4>5</vt:i4>
      </vt:variant>
      <vt:variant>
        <vt:lpwstr>https://www.education.gov.au/australian-universities-accord/consultations/australian-universities-accord-panel-discussion-paper-consultation/submission/15877</vt:lpwstr>
      </vt:variant>
      <vt:variant>
        <vt:lpwstr/>
      </vt:variant>
      <vt:variant>
        <vt:i4>1835081</vt:i4>
      </vt:variant>
      <vt:variant>
        <vt:i4>591</vt:i4>
      </vt:variant>
      <vt:variant>
        <vt:i4>0</vt:i4>
      </vt:variant>
      <vt:variant>
        <vt:i4>5</vt:i4>
      </vt:variant>
      <vt:variant>
        <vt:lpwstr>https://www.education.gov.au/australian-universities-accord/consultations/australian-universities-accord-panel-discussion-paper-consultation/submission/15945</vt:lpwstr>
      </vt:variant>
      <vt:variant>
        <vt:lpwstr/>
      </vt:variant>
      <vt:variant>
        <vt:i4>1572928</vt:i4>
      </vt:variant>
      <vt:variant>
        <vt:i4>588</vt:i4>
      </vt:variant>
      <vt:variant>
        <vt:i4>0</vt:i4>
      </vt:variant>
      <vt:variant>
        <vt:i4>5</vt:i4>
      </vt:variant>
      <vt:variant>
        <vt:lpwstr>https://www.education.gov.au/australian-universities-accord/consultations/australian-universities-accord-panel-discussion-paper-consultation/submission/16039</vt:lpwstr>
      </vt:variant>
      <vt:variant>
        <vt:lpwstr/>
      </vt:variant>
      <vt:variant>
        <vt:i4>1900610</vt:i4>
      </vt:variant>
      <vt:variant>
        <vt:i4>585</vt:i4>
      </vt:variant>
      <vt:variant>
        <vt:i4>0</vt:i4>
      </vt:variant>
      <vt:variant>
        <vt:i4>5</vt:i4>
      </vt:variant>
      <vt:variant>
        <vt:lpwstr>https://www.education.gov.au/australian-universities-accord/consultations/australian-universities-accord-panel-discussion-paper-consultation/submission/16262</vt:lpwstr>
      </vt:variant>
      <vt:variant>
        <vt:lpwstr/>
      </vt:variant>
      <vt:variant>
        <vt:i4>4653133</vt:i4>
      </vt:variant>
      <vt:variant>
        <vt:i4>579</vt:i4>
      </vt:variant>
      <vt:variant>
        <vt:i4>0</vt:i4>
      </vt:variant>
      <vt:variant>
        <vt:i4>5</vt:i4>
      </vt:variant>
      <vt:variant>
        <vt:lpwstr>https://www.oecd.org/education/education-at-a-glance/</vt:lpwstr>
      </vt:variant>
      <vt:variant>
        <vt:lpwstr/>
      </vt:variant>
      <vt:variant>
        <vt:i4>6422639</vt:i4>
      </vt:variant>
      <vt:variant>
        <vt:i4>576</vt:i4>
      </vt:variant>
      <vt:variant>
        <vt:i4>0</vt:i4>
      </vt:variant>
      <vt:variant>
        <vt:i4>5</vt:i4>
      </vt:variant>
      <vt:variant>
        <vt:lpwstr>https://www.education.gov.au/recurrent-funding-schools/schooling-resource-standard</vt:lpwstr>
      </vt:variant>
      <vt:variant>
        <vt:lpwstr/>
      </vt:variant>
      <vt:variant>
        <vt:i4>2031688</vt:i4>
      </vt:variant>
      <vt:variant>
        <vt:i4>573</vt:i4>
      </vt:variant>
      <vt:variant>
        <vt:i4>0</vt:i4>
      </vt:variant>
      <vt:variant>
        <vt:i4>5</vt:i4>
      </vt:variant>
      <vt:variant>
        <vt:lpwstr>https://www.education.gov.au/australian-universities-accord/consultations/australian-universities-accord-panel-discussion-paper-consultation/submission/15877</vt:lpwstr>
      </vt:variant>
      <vt:variant>
        <vt:lpwstr/>
      </vt:variant>
      <vt:variant>
        <vt:i4>1900617</vt:i4>
      </vt:variant>
      <vt:variant>
        <vt:i4>570</vt:i4>
      </vt:variant>
      <vt:variant>
        <vt:i4>0</vt:i4>
      </vt:variant>
      <vt:variant>
        <vt:i4>5</vt:i4>
      </vt:variant>
      <vt:variant>
        <vt:lpwstr>https://www.education.gov.au/australian-universities-accord/consultations/australian-universities-accord-panel-discussion-paper-consultation/submission/15952</vt:lpwstr>
      </vt:variant>
      <vt:variant>
        <vt:lpwstr/>
      </vt:variant>
      <vt:variant>
        <vt:i4>1572937</vt:i4>
      </vt:variant>
      <vt:variant>
        <vt:i4>567</vt:i4>
      </vt:variant>
      <vt:variant>
        <vt:i4>0</vt:i4>
      </vt:variant>
      <vt:variant>
        <vt:i4>5</vt:i4>
      </vt:variant>
      <vt:variant>
        <vt:lpwstr>https://www.education.gov.au/australian-universities-accord/consultations/australian-universities-accord-panel-discussion-paper-consultation/submission/15907</vt:lpwstr>
      </vt:variant>
      <vt:variant>
        <vt:lpwstr/>
      </vt:variant>
      <vt:variant>
        <vt:i4>1900617</vt:i4>
      </vt:variant>
      <vt:variant>
        <vt:i4>564</vt:i4>
      </vt:variant>
      <vt:variant>
        <vt:i4>0</vt:i4>
      </vt:variant>
      <vt:variant>
        <vt:i4>5</vt:i4>
      </vt:variant>
      <vt:variant>
        <vt:lpwstr>https://www.education.gov.au/australian-universities-accord/consultations/australian-universities-accord-panel-discussion-paper-consultation/submission/15956</vt:lpwstr>
      </vt:variant>
      <vt:variant>
        <vt:lpwstr/>
      </vt:variant>
      <vt:variant>
        <vt:i4>5046352</vt:i4>
      </vt:variant>
      <vt:variant>
        <vt:i4>561</vt:i4>
      </vt:variant>
      <vt:variant>
        <vt:i4>0</vt:i4>
      </vt:variant>
      <vt:variant>
        <vt:i4>5</vt:i4>
      </vt:variant>
      <vt:variant>
        <vt:lpwstr>https://www.education.gov.au/higher-education-reviews-and-consultations/resources/review-demand-driven-funding-system-report</vt:lpwstr>
      </vt:variant>
      <vt:variant>
        <vt:lpwstr/>
      </vt:variant>
      <vt:variant>
        <vt:i4>2883645</vt:i4>
      </vt:variant>
      <vt:variant>
        <vt:i4>558</vt:i4>
      </vt:variant>
      <vt:variant>
        <vt:i4>0</vt:i4>
      </vt:variant>
      <vt:variant>
        <vt:i4>5</vt:i4>
      </vt:variant>
      <vt:variant>
        <vt:lpwstr>https://www.education.gov.au/higher-education-publications/resources/2019-transparency-higher-education-expenditure-publication</vt:lpwstr>
      </vt:variant>
      <vt:variant>
        <vt:lpwstr/>
      </vt:variant>
      <vt:variant>
        <vt:i4>6684698</vt:i4>
      </vt:variant>
      <vt:variant>
        <vt:i4>555</vt:i4>
      </vt:variant>
      <vt:variant>
        <vt:i4>0</vt:i4>
      </vt:variant>
      <vt:variant>
        <vt:i4>5</vt:i4>
      </vt:variant>
      <vt:variant>
        <vt:lpwstr>https://www.aph.gov.au/About_Parliament/Parliamentary_Departments/Parliamentary_Library/FlagPost/2018/November/Education_Investment_Fund</vt:lpwstr>
      </vt:variant>
      <vt:variant>
        <vt:lpwstr/>
      </vt:variant>
      <vt:variant>
        <vt:i4>7209016</vt:i4>
      </vt:variant>
      <vt:variant>
        <vt:i4>546</vt:i4>
      </vt:variant>
      <vt:variant>
        <vt:i4>0</vt:i4>
      </vt:variant>
      <vt:variant>
        <vt:i4>5</vt:i4>
      </vt:variant>
      <vt:variant>
        <vt:lpwstr>https://nla.gov.au/nla.obj-3072760614/view</vt:lpwstr>
      </vt:variant>
      <vt:variant>
        <vt:lpwstr/>
      </vt:variant>
      <vt:variant>
        <vt:i4>458824</vt:i4>
      </vt:variant>
      <vt:variant>
        <vt:i4>540</vt:i4>
      </vt:variant>
      <vt:variant>
        <vt:i4>0</vt:i4>
      </vt:variant>
      <vt:variant>
        <vt:i4>5</vt:i4>
      </vt:variant>
      <vt:variant>
        <vt:lpwstr>https://www.education.gov.au/higher-education-publications/resources/2021-university-finance-summary-information</vt:lpwstr>
      </vt:variant>
      <vt:variant>
        <vt:lpwstr/>
      </vt:variant>
      <vt:variant>
        <vt:i4>7733359</vt:i4>
      </vt:variant>
      <vt:variant>
        <vt:i4>534</vt:i4>
      </vt:variant>
      <vt:variant>
        <vt:i4>0</vt:i4>
      </vt:variant>
      <vt:variant>
        <vt:i4>5</vt:i4>
      </vt:variant>
      <vt:variant>
        <vt:lpwstr>https://www.education.gov.au/higher-education-publications/resources/2021-higher-education-providers-finance-tables</vt:lpwstr>
      </vt:variant>
      <vt:variant>
        <vt:lpwstr/>
      </vt:variant>
      <vt:variant>
        <vt:i4>3932270</vt:i4>
      </vt:variant>
      <vt:variant>
        <vt:i4>528</vt:i4>
      </vt:variant>
      <vt:variant>
        <vt:i4>0</vt:i4>
      </vt:variant>
      <vt:variant>
        <vt:i4>5</vt:i4>
      </vt:variant>
      <vt:variant>
        <vt:lpwstr>https://www.scoop.co.nz/stories/PO2107/S00142/nzusa-welcomes-new-learner-wellbeing-and-safety-code.htm</vt:lpwstr>
      </vt:variant>
      <vt:variant>
        <vt:lpwstr/>
      </vt:variant>
      <vt:variant>
        <vt:i4>5963808</vt:i4>
      </vt:variant>
      <vt:variant>
        <vt:i4>522</vt:i4>
      </vt:variant>
      <vt:variant>
        <vt:i4>0</vt:i4>
      </vt:variant>
      <vt:variant>
        <vt:i4>5</vt:i4>
      </vt:variant>
      <vt:variant>
        <vt:lpwstr>https://ndhadeliver.natlib.govt.nz/delivery/DeliveryManagerServlet?dps_pid=IE73105345</vt:lpwstr>
      </vt:variant>
      <vt:variant>
        <vt:lpwstr/>
      </vt:variant>
      <vt:variant>
        <vt:i4>1638473</vt:i4>
      </vt:variant>
      <vt:variant>
        <vt:i4>519</vt:i4>
      </vt:variant>
      <vt:variant>
        <vt:i4>0</vt:i4>
      </vt:variant>
      <vt:variant>
        <vt:i4>5</vt:i4>
      </vt:variant>
      <vt:variant>
        <vt:lpwstr>https://www.education.gov.au/australian-universities-accord/consultations/australian-universities-accord-panel-discussion-paper-consultation/submission/15917</vt:lpwstr>
      </vt:variant>
      <vt:variant>
        <vt:lpwstr/>
      </vt:variant>
      <vt:variant>
        <vt:i4>1638473</vt:i4>
      </vt:variant>
      <vt:variant>
        <vt:i4>516</vt:i4>
      </vt:variant>
      <vt:variant>
        <vt:i4>0</vt:i4>
      </vt:variant>
      <vt:variant>
        <vt:i4>5</vt:i4>
      </vt:variant>
      <vt:variant>
        <vt:lpwstr>https://www.education.gov.au/australian-universities-accord/consultations/australian-universities-accord-panel-discussion-paper-consultation/submission/15911</vt:lpwstr>
      </vt:variant>
      <vt:variant>
        <vt:lpwstr/>
      </vt:variant>
      <vt:variant>
        <vt:i4>6881330</vt:i4>
      </vt:variant>
      <vt:variant>
        <vt:i4>510</vt:i4>
      </vt:variant>
      <vt:variant>
        <vt:i4>0</vt:i4>
      </vt:variant>
      <vt:variant>
        <vt:i4>5</vt:i4>
      </vt:variant>
      <vt:variant>
        <vt:lpwstr>https://static1.squarespace.com/static/55861728e4b0403b40cdba08/t/6371a4329eca4b01be713aef/1668391993530/Disability+JPP+%26+Report.pdf</vt:lpwstr>
      </vt:variant>
      <vt:variant>
        <vt:lpwstr/>
      </vt:variant>
      <vt:variant>
        <vt:i4>1769482</vt:i4>
      </vt:variant>
      <vt:variant>
        <vt:i4>507</vt:i4>
      </vt:variant>
      <vt:variant>
        <vt:i4>0</vt:i4>
      </vt:variant>
      <vt:variant>
        <vt:i4>5</vt:i4>
      </vt:variant>
      <vt:variant>
        <vt:lpwstr>https://www.pc.gov.au/inquiries/completed/productivity/report</vt:lpwstr>
      </vt:variant>
      <vt:variant>
        <vt:lpwstr/>
      </vt:variant>
      <vt:variant>
        <vt:i4>3473511</vt:i4>
      </vt:variant>
      <vt:variant>
        <vt:i4>501</vt:i4>
      </vt:variant>
      <vt:variant>
        <vt:i4>0</vt:i4>
      </vt:variant>
      <vt:variant>
        <vt:i4>5</vt:i4>
      </vt:variant>
      <vt:variant>
        <vt:lpwstr>https://rlc.org.au/what-we-do/our-services/international-student-legal-service-nsw</vt:lpwstr>
      </vt:variant>
      <vt:variant>
        <vt:lpwstr/>
      </vt:variant>
      <vt:variant>
        <vt:i4>3211360</vt:i4>
      </vt:variant>
      <vt:variant>
        <vt:i4>495</vt:i4>
      </vt:variant>
      <vt:variant>
        <vt:i4>0</vt:i4>
      </vt:variant>
      <vt:variant>
        <vt:i4>5</vt:i4>
      </vt:variant>
      <vt:variant>
        <vt:lpwstr>https://www.fairwork.gov.au/find-help-for/visa-holders-migrants/visa-protections-the-assurance-protocol</vt:lpwstr>
      </vt:variant>
      <vt:variant>
        <vt:lpwstr/>
      </vt:variant>
      <vt:variant>
        <vt:i4>7471137</vt:i4>
      </vt:variant>
      <vt:variant>
        <vt:i4>492</vt:i4>
      </vt:variant>
      <vt:variant>
        <vt:i4>0</vt:i4>
      </vt:variant>
      <vt:variant>
        <vt:i4>5</vt:i4>
      </vt:variant>
      <vt:variant>
        <vt:lpwstr>https://www.nsss.edu.au/results</vt:lpwstr>
      </vt:variant>
      <vt:variant>
        <vt:lpwstr/>
      </vt:variant>
      <vt:variant>
        <vt:i4>1310814</vt:i4>
      </vt:variant>
      <vt:variant>
        <vt:i4>489</vt:i4>
      </vt:variant>
      <vt:variant>
        <vt:i4>0</vt:i4>
      </vt:variant>
      <vt:variant>
        <vt:i4>5</vt:i4>
      </vt:variant>
      <vt:variant>
        <vt:lpwstr>https://www.qilt.edu.au/resources?survey=SES&amp;type=Reports</vt:lpwstr>
      </vt:variant>
      <vt:variant>
        <vt:lpwstr/>
      </vt:variant>
      <vt:variant>
        <vt:i4>7209015</vt:i4>
      </vt:variant>
      <vt:variant>
        <vt:i4>486</vt:i4>
      </vt:variant>
      <vt:variant>
        <vt:i4>0</vt:i4>
      </vt:variant>
      <vt:variant>
        <vt:i4>5</vt:i4>
      </vt:variant>
      <vt:variant>
        <vt:lpwstr>https://www.education.gov.au/australian-universities-accord/consultations/consultation-accord-terms-reference/submission/15075</vt:lpwstr>
      </vt:variant>
      <vt:variant>
        <vt:lpwstr/>
      </vt:variant>
      <vt:variant>
        <vt:i4>1900610</vt:i4>
      </vt:variant>
      <vt:variant>
        <vt:i4>483</vt:i4>
      </vt:variant>
      <vt:variant>
        <vt:i4>0</vt:i4>
      </vt:variant>
      <vt:variant>
        <vt:i4>5</vt:i4>
      </vt:variant>
      <vt:variant>
        <vt:lpwstr>https://www.education.gov.au/australian-universities-accord/consultations/australian-universities-accord-panel-discussion-paper-consultation/submission/16262</vt:lpwstr>
      </vt:variant>
      <vt:variant>
        <vt:lpwstr/>
      </vt:variant>
      <vt:variant>
        <vt:i4>4194308</vt:i4>
      </vt:variant>
      <vt:variant>
        <vt:i4>480</vt:i4>
      </vt:variant>
      <vt:variant>
        <vt:i4>0</vt:i4>
      </vt:variant>
      <vt:variant>
        <vt:i4>5</vt:i4>
      </vt:variant>
      <vt:variant>
        <vt:lpwstr>https://www.education.gov.au/higher-education-statistics/resources/staff-pivot-table</vt:lpwstr>
      </vt:variant>
      <vt:variant>
        <vt:lpwstr/>
      </vt:variant>
      <vt:variant>
        <vt:i4>5046325</vt:i4>
      </vt:variant>
      <vt:variant>
        <vt:i4>476</vt:i4>
      </vt:variant>
      <vt:variant>
        <vt:i4>0</vt:i4>
      </vt:variant>
      <vt:variant>
        <vt:i4>5</vt:i4>
      </vt:variant>
      <vt:variant>
        <vt:lpwstr>https://lens.monash.edu/@education/2023/06/07/1385853/workplace-relations-and-insecure-employment-in-australian-universities</vt:lpwstr>
      </vt:variant>
      <vt:variant>
        <vt:lpwstr/>
      </vt:variant>
      <vt:variant>
        <vt:i4>5046325</vt:i4>
      </vt:variant>
      <vt:variant>
        <vt:i4>474</vt:i4>
      </vt:variant>
      <vt:variant>
        <vt:i4>0</vt:i4>
      </vt:variant>
      <vt:variant>
        <vt:i4>5</vt:i4>
      </vt:variant>
      <vt:variant>
        <vt:lpwstr>https://lens.monash.edu/@education/2023/06/07/1385853/workplace-relations-and-insecure-employment-in-australian-universities</vt:lpwstr>
      </vt:variant>
      <vt:variant>
        <vt:lpwstr/>
      </vt:variant>
      <vt:variant>
        <vt:i4>3997804</vt:i4>
      </vt:variant>
      <vt:variant>
        <vt:i4>471</vt:i4>
      </vt:variant>
      <vt:variant>
        <vt:i4>0</vt:i4>
      </vt:variant>
      <vt:variant>
        <vt:i4>5</vt:i4>
      </vt:variant>
      <vt:variant>
        <vt:lpwstr>https://www.fairwork.gov.au/newsroom/media-releases/2022-media-releases/june-2022/20220622-fwo-2022-23-priorities-media-release</vt:lpwstr>
      </vt:variant>
      <vt:variant>
        <vt:lpwstr/>
      </vt:variant>
      <vt:variant>
        <vt:i4>1638471</vt:i4>
      </vt:variant>
      <vt:variant>
        <vt:i4>465</vt:i4>
      </vt:variant>
      <vt:variant>
        <vt:i4>0</vt:i4>
      </vt:variant>
      <vt:variant>
        <vt:i4>5</vt:i4>
      </vt:variant>
      <vt:variant>
        <vt:lpwstr>https://www.theaustralian.com.au/higher-education/fair-work-ombudsman-investigating-over-a-dozen-universities/news-story/0929ddf47ec87f9a0fa51fa49615830b</vt:lpwstr>
      </vt:variant>
      <vt:variant>
        <vt:lpwstr/>
      </vt:variant>
      <vt:variant>
        <vt:i4>4784219</vt:i4>
      </vt:variant>
      <vt:variant>
        <vt:i4>459</vt:i4>
      </vt:variant>
      <vt:variant>
        <vt:i4>0</vt:i4>
      </vt:variant>
      <vt:variant>
        <vt:i4>5</vt:i4>
      </vt:variant>
      <vt:variant>
        <vt:lpwstr>https://static1.squarespace.com/static/5b984f4e5ffd2046651aea73/t/5bceb24d4192023439248fee/1540272720988/Legislative-changes-affecting-University-Governance-20180221.pdf</vt:lpwstr>
      </vt:variant>
      <vt:variant>
        <vt:lpwstr/>
      </vt:variant>
      <vt:variant>
        <vt:i4>1179740</vt:i4>
      </vt:variant>
      <vt:variant>
        <vt:i4>456</vt:i4>
      </vt:variant>
      <vt:variant>
        <vt:i4>0</vt:i4>
      </vt:variant>
      <vt:variant>
        <vt:i4>5</vt:i4>
      </vt:variant>
      <vt:variant>
        <vt:lpwstr>https://ucc.edu.au/university-governance-in-australia</vt:lpwstr>
      </vt:variant>
      <vt:variant>
        <vt:lpwstr/>
      </vt:variant>
      <vt:variant>
        <vt:i4>6357025</vt:i4>
      </vt:variant>
      <vt:variant>
        <vt:i4>453</vt:i4>
      </vt:variant>
      <vt:variant>
        <vt:i4>0</vt:i4>
      </vt:variant>
      <vt:variant>
        <vt:i4>5</vt:i4>
      </vt:variant>
      <vt:variant>
        <vt:lpwstr>https://www.voced.edu.au/content/ngv%3A3762</vt:lpwstr>
      </vt:variant>
      <vt:variant>
        <vt:lpwstr/>
      </vt:variant>
      <vt:variant>
        <vt:i4>3997771</vt:i4>
      </vt:variant>
      <vt:variant>
        <vt:i4>447</vt:i4>
      </vt:variant>
      <vt:variant>
        <vt:i4>0</vt:i4>
      </vt:variant>
      <vt:variant>
        <vt:i4>5</vt:i4>
      </vt:variant>
      <vt:variant>
        <vt:lpwstr>https://parlinfo.aph.gov.au/parlInfo/download/library/prspub/8823870/upload_binary/8823870.pdf;fileType=application/pdf</vt:lpwstr>
      </vt:variant>
      <vt:variant>
        <vt:lpwstr>search=%22Higher%20Education%20Funding%20Policy%22</vt:lpwstr>
      </vt:variant>
      <vt:variant>
        <vt:i4>1769545</vt:i4>
      </vt:variant>
      <vt:variant>
        <vt:i4>444</vt:i4>
      </vt:variant>
      <vt:variant>
        <vt:i4>0</vt:i4>
      </vt:variant>
      <vt:variant>
        <vt:i4>5</vt:i4>
      </vt:variant>
      <vt:variant>
        <vt:lpwstr>https://www.education.gov.au/australian-universities-accord/consultations/australian-universities-accord-panel-discussion-paper-consultation/submission/15935</vt:lpwstr>
      </vt:variant>
      <vt:variant>
        <vt:lpwstr/>
      </vt:variant>
      <vt:variant>
        <vt:i4>1769539</vt:i4>
      </vt:variant>
      <vt:variant>
        <vt:i4>441</vt:i4>
      </vt:variant>
      <vt:variant>
        <vt:i4>0</vt:i4>
      </vt:variant>
      <vt:variant>
        <vt:i4>5</vt:i4>
      </vt:variant>
      <vt:variant>
        <vt:lpwstr>https://www.education.gov.au/australian-universities-accord/consultations/australian-universities-accord-panel-discussion-paper-consultation/submission/16302</vt:lpwstr>
      </vt:variant>
      <vt:variant>
        <vt:lpwstr/>
      </vt:variant>
      <vt:variant>
        <vt:i4>983048</vt:i4>
      </vt:variant>
      <vt:variant>
        <vt:i4>435</vt:i4>
      </vt:variant>
      <vt:variant>
        <vt:i4>0</vt:i4>
      </vt:variant>
      <vt:variant>
        <vt:i4>5</vt:i4>
      </vt:variant>
      <vt:variant>
        <vt:lpwstr>https://commonfund.nih.gov/workforce</vt:lpwstr>
      </vt:variant>
      <vt:variant>
        <vt:lpwstr/>
      </vt:variant>
      <vt:variant>
        <vt:i4>1769488</vt:i4>
      </vt:variant>
      <vt:variant>
        <vt:i4>426</vt:i4>
      </vt:variant>
      <vt:variant>
        <vt:i4>0</vt:i4>
      </vt:variant>
      <vt:variant>
        <vt:i4>5</vt:i4>
      </vt:variant>
      <vt:variant>
        <vt:lpwstr>https://fishing.tas.gov.au/news-events/sustainable-research-agreement-renewed</vt:lpwstr>
      </vt:variant>
      <vt:variant>
        <vt:lpwstr/>
      </vt:variant>
      <vt:variant>
        <vt:i4>7340112</vt:i4>
      </vt:variant>
      <vt:variant>
        <vt:i4>423</vt:i4>
      </vt:variant>
      <vt:variant>
        <vt:i4>0</vt:i4>
      </vt:variant>
      <vt:variant>
        <vt:i4>5</vt:i4>
      </vt:variant>
      <vt:variant>
        <vt:lpwstr>https://www.dpac.tas.gov.au/divisions/policy/partnership_with_the_university_of_tasmania</vt:lpwstr>
      </vt:variant>
      <vt:variant>
        <vt:lpwstr/>
      </vt:variant>
      <vt:variant>
        <vt:i4>1114129</vt:i4>
      </vt:variant>
      <vt:variant>
        <vt:i4>417</vt:i4>
      </vt:variant>
      <vt:variant>
        <vt:i4>0</vt:i4>
      </vt:variant>
      <vt:variant>
        <vt:i4>5</vt:i4>
      </vt:variant>
      <vt:variant>
        <vt:lpwstr>https://www.education.gov.au/higher-education-reviews-and-consultations/resources/trusting-australias-ability-review-australian-research-council-act-2001</vt:lpwstr>
      </vt:variant>
      <vt:variant>
        <vt:lpwstr/>
      </vt:variant>
      <vt:variant>
        <vt:i4>7208997</vt:i4>
      </vt:variant>
      <vt:variant>
        <vt:i4>408</vt:i4>
      </vt:variant>
      <vt:variant>
        <vt:i4>0</vt:i4>
      </vt:variant>
      <vt:variant>
        <vt:i4>5</vt:i4>
      </vt:variant>
      <vt:variant>
        <vt:lpwstr>https://www.abs.gov.au/statistics/industry/technology-and-innovation/research-and-experimental-development-higher-education-organisations-australia/latest-release</vt:lpwstr>
      </vt:variant>
      <vt:variant>
        <vt:lpwstr/>
      </vt:variant>
      <vt:variant>
        <vt:i4>4063307</vt:i4>
      </vt:variant>
      <vt:variant>
        <vt:i4>399</vt:i4>
      </vt:variant>
      <vt:variant>
        <vt:i4>0</vt:i4>
      </vt:variant>
      <vt:variant>
        <vt:i4>5</vt:i4>
      </vt:variant>
      <vt:variant>
        <vt:lpwstr>https://www.cutlerco.com.au/activities/speeches/08_speeches/Cutler_ECLAC_final.pdf</vt:lpwstr>
      </vt:variant>
      <vt:variant>
        <vt:lpwstr/>
      </vt:variant>
      <vt:variant>
        <vt:i4>196631</vt:i4>
      </vt:variant>
      <vt:variant>
        <vt:i4>390</vt:i4>
      </vt:variant>
      <vt:variant>
        <vt:i4>0</vt:i4>
      </vt:variant>
      <vt:variant>
        <vt:i4>5</vt:i4>
      </vt:variant>
      <vt:variant>
        <vt:lpwstr>https://www.globalinnovationindex.org/gii-2022-report</vt:lpwstr>
      </vt:variant>
      <vt:variant>
        <vt:lpwstr/>
      </vt:variant>
      <vt:variant>
        <vt:i4>4718658</vt:i4>
      </vt:variant>
      <vt:variant>
        <vt:i4>384</vt:i4>
      </vt:variant>
      <vt:variant>
        <vt:i4>0</vt:i4>
      </vt:variant>
      <vt:variant>
        <vt:i4>5</vt:i4>
      </vt:variant>
      <vt:variant>
        <vt:lpwstr>https://www.education.gov.au/research-block-grants/resources/research-income-time-series</vt:lpwstr>
      </vt:variant>
      <vt:variant>
        <vt:lpwstr/>
      </vt:variant>
      <vt:variant>
        <vt:i4>1376339</vt:i4>
      </vt:variant>
      <vt:variant>
        <vt:i4>378</vt:i4>
      </vt:variant>
      <vt:variant>
        <vt:i4>0</vt:i4>
      </vt:variant>
      <vt:variant>
        <vt:i4>5</vt:i4>
      </vt:variant>
      <vt:variant>
        <vt:lpwstr>https://www.industry.gov.au/publications/australian-innovation-system-monitor</vt:lpwstr>
      </vt:variant>
      <vt:variant>
        <vt:lpwstr/>
      </vt:variant>
      <vt:variant>
        <vt:i4>1245191</vt:i4>
      </vt:variant>
      <vt:variant>
        <vt:i4>372</vt:i4>
      </vt:variant>
      <vt:variant>
        <vt:i4>0</vt:i4>
      </vt:variant>
      <vt:variant>
        <vt:i4>5</vt:i4>
      </vt:variant>
      <vt:variant>
        <vt:lpwstr>https://www.oecd.org/science/msti.htm</vt:lpwstr>
      </vt:variant>
      <vt:variant>
        <vt:lpwstr/>
      </vt:variant>
      <vt:variant>
        <vt:i4>3932195</vt:i4>
      </vt:variant>
      <vt:variant>
        <vt:i4>366</vt:i4>
      </vt:variant>
      <vt:variant>
        <vt:i4>0</vt:i4>
      </vt:variant>
      <vt:variant>
        <vt:i4>5</vt:i4>
      </vt:variant>
      <vt:variant>
        <vt:lpwstr>https://www.industry.gov.au/publications/science-research-and-innovation-sri-budget-tables-2022-23</vt:lpwstr>
      </vt:variant>
      <vt:variant>
        <vt:lpwstr/>
      </vt:variant>
      <vt:variant>
        <vt:i4>1966172</vt:i4>
      </vt:variant>
      <vt:variant>
        <vt:i4>360</vt:i4>
      </vt:variant>
      <vt:variant>
        <vt:i4>0</vt:i4>
      </vt:variant>
      <vt:variant>
        <vt:i4>5</vt:i4>
      </vt:variant>
      <vt:variant>
        <vt:lpwstr>https://www.abs.gov.au/statistics/industry/technology-and-innovation</vt:lpwstr>
      </vt:variant>
      <vt:variant>
        <vt:lpwstr/>
      </vt:variant>
      <vt:variant>
        <vt:i4>4063287</vt:i4>
      </vt:variant>
      <vt:variant>
        <vt:i4>354</vt:i4>
      </vt:variant>
      <vt:variant>
        <vt:i4>0</vt:i4>
      </vt:variant>
      <vt:variant>
        <vt:i4>5</vt:i4>
      </vt:variant>
      <vt:variant>
        <vt:lpwstr>https://www.timeshighereducation.com/impactrankings</vt:lpwstr>
      </vt:variant>
      <vt:variant>
        <vt:lpwstr/>
      </vt:variant>
      <vt:variant>
        <vt:i4>6422651</vt:i4>
      </vt:variant>
      <vt:variant>
        <vt:i4>345</vt:i4>
      </vt:variant>
      <vt:variant>
        <vt:i4>0</vt:i4>
      </vt:variant>
      <vt:variant>
        <vt:i4>5</vt:i4>
      </vt:variant>
      <vt:variant>
        <vt:lpwstr>https://www.anu.edu.au/alumni/get-involved/networking/indigenous-alumni</vt:lpwstr>
      </vt:variant>
      <vt:variant>
        <vt:lpwstr/>
      </vt:variant>
      <vt:variant>
        <vt:i4>7209006</vt:i4>
      </vt:variant>
      <vt:variant>
        <vt:i4>339</vt:i4>
      </vt:variant>
      <vt:variant>
        <vt:i4>0</vt:i4>
      </vt:variant>
      <vt:variant>
        <vt:i4>5</vt:i4>
      </vt:variant>
      <vt:variant>
        <vt:lpwstr>https://rms.arc.gov.au/RMS/Report/Download/Report/1b0c8b2e-7bb0-4f2d-8f52-ad207cfbb41d/244</vt:lpwstr>
      </vt:variant>
      <vt:variant>
        <vt:lpwstr/>
      </vt:variant>
      <vt:variant>
        <vt:i4>1507337</vt:i4>
      </vt:variant>
      <vt:variant>
        <vt:i4>333</vt:i4>
      </vt:variant>
      <vt:variant>
        <vt:i4>0</vt:i4>
      </vt:variant>
      <vt:variant>
        <vt:i4>5</vt:i4>
      </vt:variant>
      <vt:variant>
        <vt:lpwstr>https://www.unisq.edu.au/news/2023/02/arc-funding-barley</vt:lpwstr>
      </vt:variant>
      <vt:variant>
        <vt:lpwstr/>
      </vt:variant>
      <vt:variant>
        <vt:i4>3538998</vt:i4>
      </vt:variant>
      <vt:variant>
        <vt:i4>330</vt:i4>
      </vt:variant>
      <vt:variant>
        <vt:i4>0</vt:i4>
      </vt:variant>
      <vt:variant>
        <vt:i4>5</vt:i4>
      </vt:variant>
      <vt:variant>
        <vt:lpwstr>https://siren.org.au/evidence-review-for-the-wa-aboriginal-shbbv-strategy/</vt:lpwstr>
      </vt:variant>
      <vt:variant>
        <vt:lpwstr/>
      </vt:variant>
      <vt:variant>
        <vt:i4>5308430</vt:i4>
      </vt:variant>
      <vt:variant>
        <vt:i4>324</vt:i4>
      </vt:variant>
      <vt:variant>
        <vt:i4>0</vt:i4>
      </vt:variant>
      <vt:variant>
        <vt:i4>5</vt:i4>
      </vt:variant>
      <vt:variant>
        <vt:lpwstr>https://www.aihw.gov.au/reports/indigenous-australians/education-programs-for-indigenous-australians-abou/contents/table-of-contents</vt:lpwstr>
      </vt:variant>
      <vt:variant>
        <vt:lpwstr/>
      </vt:variant>
      <vt:variant>
        <vt:i4>1179733</vt:i4>
      </vt:variant>
      <vt:variant>
        <vt:i4>321</vt:i4>
      </vt:variant>
      <vt:variant>
        <vt:i4>0</vt:i4>
      </vt:variant>
      <vt:variant>
        <vt:i4>5</vt:i4>
      </vt:variant>
      <vt:variant>
        <vt:lpwstr>https://open.sydneyuniversitypress.com.au/9781743327579.html</vt:lpwstr>
      </vt:variant>
      <vt:variant>
        <vt:lpwstr/>
      </vt:variant>
      <vt:variant>
        <vt:i4>2228323</vt:i4>
      </vt:variant>
      <vt:variant>
        <vt:i4>318</vt:i4>
      </vt:variant>
      <vt:variant>
        <vt:i4>0</vt:i4>
      </vt:variant>
      <vt:variant>
        <vt:i4>5</vt:i4>
      </vt:variant>
      <vt:variant>
        <vt:lpwstr>https://news.csu.edu.au/latest-news/charles-sturt-and-western-sydney-university-celebrate-the-success-of-the-joint-program-in-medicine</vt:lpwstr>
      </vt:variant>
      <vt:variant>
        <vt:lpwstr/>
      </vt:variant>
      <vt:variant>
        <vt:i4>6422641</vt:i4>
      </vt:variant>
      <vt:variant>
        <vt:i4>312</vt:i4>
      </vt:variant>
      <vt:variant>
        <vt:i4>0</vt:i4>
      </vt:variant>
      <vt:variant>
        <vt:i4>5</vt:i4>
      </vt:variant>
      <vt:variant>
        <vt:lpwstr>https://www.newcastle.edu.au/__data/assets/pdf_file/0003/614370/2023-1024-JMP-Prospectus_WEB.pdf</vt:lpwstr>
      </vt:variant>
      <vt:variant>
        <vt:lpwstr/>
      </vt:variant>
      <vt:variant>
        <vt:i4>917532</vt:i4>
      </vt:variant>
      <vt:variant>
        <vt:i4>306</vt:i4>
      </vt:variant>
      <vt:variant>
        <vt:i4>0</vt:i4>
      </vt:variant>
      <vt:variant>
        <vt:i4>5</vt:i4>
      </vt:variant>
      <vt:variant>
        <vt:lpwstr>https://health.nt.gov.au/professionals/training-and-education-for-health-professionals/nt-medical-school</vt:lpwstr>
      </vt:variant>
      <vt:variant>
        <vt:lpwstr/>
      </vt:variant>
      <vt:variant>
        <vt:i4>5898242</vt:i4>
      </vt:variant>
      <vt:variant>
        <vt:i4>300</vt:i4>
      </vt:variant>
      <vt:variant>
        <vt:i4>0</vt:i4>
      </vt:variant>
      <vt:variant>
        <vt:i4>5</vt:i4>
      </vt:variant>
      <vt:variant>
        <vt:lpwstr>https://www.health.gov.au/our-work/murray-darling-medical-schools-network</vt:lpwstr>
      </vt:variant>
      <vt:variant>
        <vt:lpwstr/>
      </vt:variant>
      <vt:variant>
        <vt:i4>786439</vt:i4>
      </vt:variant>
      <vt:variant>
        <vt:i4>294</vt:i4>
      </vt:variant>
      <vt:variant>
        <vt:i4>0</vt:i4>
      </vt:variant>
      <vt:variant>
        <vt:i4>5</vt:i4>
      </vt:variant>
      <vt:variant>
        <vt:lpwstr>https://www.cdu.edu.au/news/new-cyber-security-training-hub-planned-charles-darwin-university</vt:lpwstr>
      </vt:variant>
      <vt:variant>
        <vt:lpwstr/>
      </vt:variant>
      <vt:variant>
        <vt:i4>5308497</vt:i4>
      </vt:variant>
      <vt:variant>
        <vt:i4>288</vt:i4>
      </vt:variant>
      <vt:variant>
        <vt:i4>0</vt:i4>
      </vt:variant>
      <vt:variant>
        <vt:i4>5</vt:i4>
      </vt:variant>
      <vt:variant>
        <vt:lpwstr>https://www.scu.edu.au/engage/news/latest-news/2023/seeds-of-hope-sprout-one-year-on-from-2022-floods.php</vt:lpwstr>
      </vt:variant>
      <vt:variant>
        <vt:lpwstr/>
      </vt:variant>
      <vt:variant>
        <vt:i4>2097196</vt:i4>
      </vt:variant>
      <vt:variant>
        <vt:i4>279</vt:i4>
      </vt:variant>
      <vt:variant>
        <vt:i4>0</vt:i4>
      </vt:variant>
      <vt:variant>
        <vt:i4>5</vt:i4>
      </vt:variant>
      <vt:variant>
        <vt:lpwstr>https://www.batchelor.edu.au/biite/wp-content/uploads/BITTE_2020_AReport_FA_Web.pdf</vt:lpwstr>
      </vt:variant>
      <vt:variant>
        <vt:lpwstr/>
      </vt:variant>
      <vt:variant>
        <vt:i4>3342372</vt:i4>
      </vt:variant>
      <vt:variant>
        <vt:i4>276</vt:i4>
      </vt:variant>
      <vt:variant>
        <vt:i4>0</vt:i4>
      </vt:variant>
      <vt:variant>
        <vt:i4>5</vt:i4>
      </vt:variant>
      <vt:variant>
        <vt:lpwstr>https://rfnc.com.au/munarra-centre-for-regional-excellence/</vt:lpwstr>
      </vt:variant>
      <vt:variant>
        <vt:lpwstr/>
      </vt:variant>
      <vt:variant>
        <vt:i4>3342372</vt:i4>
      </vt:variant>
      <vt:variant>
        <vt:i4>273</vt:i4>
      </vt:variant>
      <vt:variant>
        <vt:i4>0</vt:i4>
      </vt:variant>
      <vt:variant>
        <vt:i4>5</vt:i4>
      </vt:variant>
      <vt:variant>
        <vt:lpwstr>https://rfnc.com.au/munarra-centre-for-regional-excellence/</vt:lpwstr>
      </vt:variant>
      <vt:variant>
        <vt:lpwstr/>
      </vt:variant>
      <vt:variant>
        <vt:i4>1704022</vt:i4>
      </vt:variant>
      <vt:variant>
        <vt:i4>270</vt:i4>
      </vt:variant>
      <vt:variant>
        <vt:i4>0</vt:i4>
      </vt:variant>
      <vt:variant>
        <vt:i4>5</vt:i4>
      </vt:variant>
      <vt:variant>
        <vt:lpwstr>https://alga.com.au/2022-local-government-workforce-skills-and-capability-survey/</vt:lpwstr>
      </vt:variant>
      <vt:variant>
        <vt:lpwstr/>
      </vt:variant>
      <vt:variant>
        <vt:i4>65557</vt:i4>
      </vt:variant>
      <vt:variant>
        <vt:i4>267</vt:i4>
      </vt:variant>
      <vt:variant>
        <vt:i4>0</vt:i4>
      </vt:variant>
      <vt:variant>
        <vt:i4>5</vt:i4>
      </vt:variant>
      <vt:variant>
        <vt:lpwstr>https://www.education.gov.au/international-education-engagement/resources/recognition-qualifications-australia-india</vt:lpwstr>
      </vt:variant>
      <vt:variant>
        <vt:lpwstr/>
      </vt:variant>
      <vt:variant>
        <vt:i4>983130</vt:i4>
      </vt:variant>
      <vt:variant>
        <vt:i4>264</vt:i4>
      </vt:variant>
      <vt:variant>
        <vt:i4>0</vt:i4>
      </vt:variant>
      <vt:variant>
        <vt:i4>5</vt:i4>
      </vt:variant>
      <vt:variant>
        <vt:lpwstr>https://www.education.gov.in/sites/upload_files/mhrd/files/NEP_Final_English_0.pdf</vt:lpwstr>
      </vt:variant>
      <vt:variant>
        <vt:lpwstr/>
      </vt:variant>
      <vt:variant>
        <vt:i4>1572886</vt:i4>
      </vt:variant>
      <vt:variant>
        <vt:i4>258</vt:i4>
      </vt:variant>
      <vt:variant>
        <vt:i4>0</vt:i4>
      </vt:variant>
      <vt:variant>
        <vt:i4>5</vt:i4>
      </vt:variant>
      <vt:variant>
        <vt:lpwstr>https://www.oecd.org/sti/msti.htm</vt:lpwstr>
      </vt:variant>
      <vt:variant>
        <vt:lpwstr/>
      </vt:variant>
      <vt:variant>
        <vt:i4>65611</vt:i4>
      </vt:variant>
      <vt:variant>
        <vt:i4>252</vt:i4>
      </vt:variant>
      <vt:variant>
        <vt:i4>0</vt:i4>
      </vt:variant>
      <vt:variant>
        <vt:i4>5</vt:i4>
      </vt:variant>
      <vt:variant>
        <vt:lpwstr>https://www.scival.com/collaboration/collabMetrics?uri=Country/36</vt:lpwstr>
      </vt:variant>
      <vt:variant>
        <vt:lpwstr/>
      </vt:variant>
      <vt:variant>
        <vt:i4>2621472</vt:i4>
      </vt:variant>
      <vt:variant>
        <vt:i4>249</vt:i4>
      </vt:variant>
      <vt:variant>
        <vt:i4>0</vt:i4>
      </vt:variant>
      <vt:variant>
        <vt:i4>5</vt:i4>
      </vt:variant>
      <vt:variant>
        <vt:lpwstr>http://data.uis.unesco.org/</vt:lpwstr>
      </vt:variant>
      <vt:variant>
        <vt:lpwstr/>
      </vt:variant>
      <vt:variant>
        <vt:i4>2752619</vt:i4>
      </vt:variant>
      <vt:variant>
        <vt:i4>246</vt:i4>
      </vt:variant>
      <vt:variant>
        <vt:i4>0</vt:i4>
      </vt:variant>
      <vt:variant>
        <vt:i4>5</vt:i4>
      </vt:variant>
      <vt:variant>
        <vt:lpwstr>https://www.education.gov.au/international-education-data-and-research/international-student-monthly-summary-and-data-tables</vt:lpwstr>
      </vt:variant>
      <vt:variant>
        <vt:lpwstr>toc-international-student-data-full-year-data-based-on-data-finalised-in-december-2022-</vt:lpwstr>
      </vt:variant>
      <vt:variant>
        <vt:i4>3866745</vt:i4>
      </vt:variant>
      <vt:variant>
        <vt:i4>240</vt:i4>
      </vt:variant>
      <vt:variant>
        <vt:i4>0</vt:i4>
      </vt:variant>
      <vt:variant>
        <vt:i4>5</vt:i4>
      </vt:variant>
      <vt:variant>
        <vt:lpwstr>https://www.core-econ.org/</vt:lpwstr>
      </vt:variant>
      <vt:variant>
        <vt:lpwstr/>
      </vt:variant>
      <vt:variant>
        <vt:i4>2162751</vt:i4>
      </vt:variant>
      <vt:variant>
        <vt:i4>237</vt:i4>
      </vt:variant>
      <vt:variant>
        <vt:i4>0</vt:i4>
      </vt:variant>
      <vt:variant>
        <vt:i4>5</vt:i4>
      </vt:variant>
      <vt:variant>
        <vt:lpwstr>https://www.wpca.sydney/delivery/netm/</vt:lpwstr>
      </vt:variant>
      <vt:variant>
        <vt:lpwstr/>
      </vt:variant>
      <vt:variant>
        <vt:i4>1900617</vt:i4>
      </vt:variant>
      <vt:variant>
        <vt:i4>234</vt:i4>
      </vt:variant>
      <vt:variant>
        <vt:i4>0</vt:i4>
      </vt:variant>
      <vt:variant>
        <vt:i4>5</vt:i4>
      </vt:variant>
      <vt:variant>
        <vt:lpwstr>https://www.education.gov.au/australian-universities-accord/consultations/australian-universities-accord-panel-discussion-paper-consultation/submission/15957</vt:lpwstr>
      </vt:variant>
      <vt:variant>
        <vt:lpwstr/>
      </vt:variant>
      <vt:variant>
        <vt:i4>5898314</vt:i4>
      </vt:variant>
      <vt:variant>
        <vt:i4>231</vt:i4>
      </vt:variant>
      <vt:variant>
        <vt:i4>0</vt:i4>
      </vt:variant>
      <vt:variant>
        <vt:i4>5</vt:i4>
      </vt:variant>
      <vt:variant>
        <vt:lpwstr>https://www.csu.edu.au/division/student-success/units/academic-skills-student-retention/student-retention</vt:lpwstr>
      </vt:variant>
      <vt:variant>
        <vt:lpwstr/>
      </vt:variant>
      <vt:variant>
        <vt:i4>8060987</vt:i4>
      </vt:variant>
      <vt:variant>
        <vt:i4>228</vt:i4>
      </vt:variant>
      <vt:variant>
        <vt:i4>0</vt:i4>
      </vt:variant>
      <vt:variant>
        <vt:i4>5</vt:i4>
      </vt:variant>
      <vt:variant>
        <vt:lpwstr>https://www.vu.edu.au/study-at-vu/why-choose-vu/vu-block-model</vt:lpwstr>
      </vt:variant>
      <vt:variant>
        <vt:lpwstr/>
      </vt:variant>
      <vt:variant>
        <vt:i4>3997802</vt:i4>
      </vt:variant>
      <vt:variant>
        <vt:i4>222</vt:i4>
      </vt:variant>
      <vt:variant>
        <vt:i4>0</vt:i4>
      </vt:variant>
      <vt:variant>
        <vt:i4>5</vt:i4>
      </vt:variant>
      <vt:variant>
        <vt:lpwstr>https://udlguidelines.cast.org/?utm_source=castsite&amp;lutm_medium=web&amp;utm_campaign=none&amp;utm_content=aboutudl&amp;_gl=1*573r9r*_ga*MTcwMjU2NTk2My4xNjg3NzU2MjAx*_ga_C7LXP5M74W*MTY4Nzc1NjIwMC4xLjEuMTY4Nzc1NjIwNy4wLjAuMA..</vt:lpwstr>
      </vt:variant>
      <vt:variant>
        <vt:lpwstr/>
      </vt:variant>
      <vt:variant>
        <vt:i4>7143520</vt:i4>
      </vt:variant>
      <vt:variant>
        <vt:i4>216</vt:i4>
      </vt:variant>
      <vt:variant>
        <vt:i4>0</vt:i4>
      </vt:variant>
      <vt:variant>
        <vt:i4>5</vt:i4>
      </vt:variant>
      <vt:variant>
        <vt:lpwstr>https://www.aph.gov.au/Parliamentary_Business/Committees/Senate/Education_Employment_and_Workplace_Relations/Completed_inquiries/2004-07/studentincome04/report/index</vt:lpwstr>
      </vt:variant>
      <vt:variant>
        <vt:lpwstr/>
      </vt:variant>
      <vt:variant>
        <vt:i4>1638473</vt:i4>
      </vt:variant>
      <vt:variant>
        <vt:i4>213</vt:i4>
      </vt:variant>
      <vt:variant>
        <vt:i4>0</vt:i4>
      </vt:variant>
      <vt:variant>
        <vt:i4>5</vt:i4>
      </vt:variant>
      <vt:variant>
        <vt:lpwstr>https://www.education.gov.au/australian-universities-accord/consultations/australian-universities-accord-panel-discussion-paper-consultation/submission/15910</vt:lpwstr>
      </vt:variant>
      <vt:variant>
        <vt:lpwstr/>
      </vt:variant>
      <vt:variant>
        <vt:i4>2031692</vt:i4>
      </vt:variant>
      <vt:variant>
        <vt:i4>210</vt:i4>
      </vt:variant>
      <vt:variant>
        <vt:i4>0</vt:i4>
      </vt:variant>
      <vt:variant>
        <vt:i4>5</vt:i4>
      </vt:variant>
      <vt:variant>
        <vt:lpwstr>https://www.education.gov.au/download/5046/work-and-study/18988/document/pdf</vt:lpwstr>
      </vt:variant>
      <vt:variant>
        <vt:lpwstr/>
      </vt:variant>
      <vt:variant>
        <vt:i4>851998</vt:i4>
      </vt:variant>
      <vt:variant>
        <vt:i4>207</vt:i4>
      </vt:variant>
      <vt:variant>
        <vt:i4>0</vt:i4>
      </vt:variant>
      <vt:variant>
        <vt:i4>5</vt:i4>
      </vt:variant>
      <vt:variant>
        <vt:lpwstr>https://www.abs.gov.au/statistics/people/education/work-related-training-and-adult-learning-australia/latest-release</vt:lpwstr>
      </vt:variant>
      <vt:variant>
        <vt:lpwstr/>
      </vt:variant>
      <vt:variant>
        <vt:i4>5046274</vt:i4>
      </vt:variant>
      <vt:variant>
        <vt:i4>204</vt:i4>
      </vt:variant>
      <vt:variant>
        <vt:i4>0</vt:i4>
      </vt:variant>
      <vt:variant>
        <vt:i4>5</vt:i4>
      </vt:variant>
      <vt:variant>
        <vt:lpwstr>https://www.universitiesaustralia.edu.au/wp-content/uploads/2019/06/180713-2017-UA-Student-Finance-Survey-Report.pdf</vt:lpwstr>
      </vt:variant>
      <vt:variant>
        <vt:lpwstr/>
      </vt:variant>
      <vt:variant>
        <vt:i4>6488114</vt:i4>
      </vt:variant>
      <vt:variant>
        <vt:i4>201</vt:i4>
      </vt:variant>
      <vt:variant>
        <vt:i4>0</vt:i4>
      </vt:variant>
      <vt:variant>
        <vt:i4>5</vt:i4>
      </vt:variant>
      <vt:variant>
        <vt:lpwstr>https://www.education.gov.au/australian-universities-accord/consultations/consultation-accord-terms-reference/submission/15129</vt:lpwstr>
      </vt:variant>
      <vt:variant>
        <vt:lpwstr/>
      </vt:variant>
      <vt:variant>
        <vt:i4>2818174</vt:i4>
      </vt:variant>
      <vt:variant>
        <vt:i4>198</vt:i4>
      </vt:variant>
      <vt:variant>
        <vt:i4>0</vt:i4>
      </vt:variant>
      <vt:variant>
        <vt:i4>5</vt:i4>
      </vt:variant>
      <vt:variant>
        <vt:lpwstr>https://www.ncsehe.edu.au/publications/pathways-to-higher-education-the-efficacy-of-enabling-and-sub-bachelor-pathways-for-disadvantaged-students/</vt:lpwstr>
      </vt:variant>
      <vt:variant>
        <vt:lpwstr/>
      </vt:variant>
      <vt:variant>
        <vt:i4>6094972</vt:i4>
      </vt:variant>
      <vt:variant>
        <vt:i4>195</vt:i4>
      </vt:variant>
      <vt:variant>
        <vt:i4>0</vt:i4>
      </vt:variant>
      <vt:variant>
        <vt:i4>5</vt:i4>
      </vt:variant>
      <vt:variant>
        <vt:lpwstr>https://www.cdu.edu.au/files/2022-04/Bidjipidji School Camp Report A5_FINAL.pdf</vt:lpwstr>
      </vt:variant>
      <vt:variant>
        <vt:lpwstr/>
      </vt:variant>
      <vt:variant>
        <vt:i4>6553710</vt:i4>
      </vt:variant>
      <vt:variant>
        <vt:i4>189</vt:i4>
      </vt:variant>
      <vt:variant>
        <vt:i4>0</vt:i4>
      </vt:variant>
      <vt:variant>
        <vt:i4>5</vt:i4>
      </vt:variant>
      <vt:variant>
        <vt:lpwstr>https://www.education.gov.au/access-and-participation/resources/national-regional-rural-and-remote-tertiary-education-strategy-final-report</vt:lpwstr>
      </vt:variant>
      <vt:variant>
        <vt:lpwstr/>
      </vt:variant>
      <vt:variant>
        <vt:i4>1704009</vt:i4>
      </vt:variant>
      <vt:variant>
        <vt:i4>186</vt:i4>
      </vt:variant>
      <vt:variant>
        <vt:i4>0</vt:i4>
      </vt:variant>
      <vt:variant>
        <vt:i4>5</vt:i4>
      </vt:variant>
      <vt:variant>
        <vt:lpwstr>https://www.education.gov.au/australian-universities-accord/consultations/australian-universities-accord-panel-discussion-paper-consultation/submission/15924</vt:lpwstr>
      </vt:variant>
      <vt:variant>
        <vt:lpwstr/>
      </vt:variant>
      <vt:variant>
        <vt:i4>4718619</vt:i4>
      </vt:variant>
      <vt:variant>
        <vt:i4>183</vt:i4>
      </vt:variant>
      <vt:variant>
        <vt:i4>0</vt:i4>
      </vt:variant>
      <vt:variant>
        <vt:i4>5</vt:i4>
      </vt:variant>
      <vt:variant>
        <vt:lpwstr>https://www.abs.gov.au/census</vt:lpwstr>
      </vt:variant>
      <vt:variant>
        <vt:lpwstr/>
      </vt:variant>
      <vt:variant>
        <vt:i4>4980765</vt:i4>
      </vt:variant>
      <vt:variant>
        <vt:i4>177</vt:i4>
      </vt:variant>
      <vt:variant>
        <vt:i4>0</vt:i4>
      </vt:variant>
      <vt:variant>
        <vt:i4>5</vt:i4>
      </vt:variant>
      <vt:variant>
        <vt:lpwstr>https://www.homeaffairs.gov.au/reports-and-publications/reviews-and-inquiries/departmental-reviews/migration-system-for-australias-future</vt:lpwstr>
      </vt:variant>
      <vt:variant>
        <vt:lpwstr/>
      </vt:variant>
      <vt:variant>
        <vt:i4>7209081</vt:i4>
      </vt:variant>
      <vt:variant>
        <vt:i4>171</vt:i4>
      </vt:variant>
      <vt:variant>
        <vt:i4>0</vt:i4>
      </vt:variant>
      <vt:variant>
        <vt:i4>5</vt:i4>
      </vt:variant>
      <vt:variant>
        <vt:lpwstr>https://www.teqsa.gov.au/course-accreditation/course-accreditation-applications/applications-accreditation-undergraduate-and-graduate-certificate-courses-short-courses</vt:lpwstr>
      </vt:variant>
      <vt:variant>
        <vt:lpwstr/>
      </vt:variant>
      <vt:variant>
        <vt:i4>1769482</vt:i4>
      </vt:variant>
      <vt:variant>
        <vt:i4>168</vt:i4>
      </vt:variant>
      <vt:variant>
        <vt:i4>0</vt:i4>
      </vt:variant>
      <vt:variant>
        <vt:i4>5</vt:i4>
      </vt:variant>
      <vt:variant>
        <vt:lpwstr>https://www.pc.gov.au/inquiries/completed/productivity/report</vt:lpwstr>
      </vt:variant>
      <vt:variant>
        <vt:lpwstr/>
      </vt:variant>
      <vt:variant>
        <vt:i4>1769539</vt:i4>
      </vt:variant>
      <vt:variant>
        <vt:i4>165</vt:i4>
      </vt:variant>
      <vt:variant>
        <vt:i4>0</vt:i4>
      </vt:variant>
      <vt:variant>
        <vt:i4>5</vt:i4>
      </vt:variant>
      <vt:variant>
        <vt:lpwstr>https://www.education.gov.au/australian-universities-accord/consultations/australian-universities-accord-panel-discussion-paper-consultation/submission/16303</vt:lpwstr>
      </vt:variant>
      <vt:variant>
        <vt:lpwstr/>
      </vt:variant>
      <vt:variant>
        <vt:i4>8323184</vt:i4>
      </vt:variant>
      <vt:variant>
        <vt:i4>159</vt:i4>
      </vt:variant>
      <vt:variant>
        <vt:i4>0</vt:i4>
      </vt:variant>
      <vt:variant>
        <vt:i4>5</vt:i4>
      </vt:variant>
      <vt:variant>
        <vt:lpwstr>https://education.nsw.gov.au/about-us/strategies-and-reports/our-reports-and-reviews/review-on-the-nsw-vocational-education-and-training-sector</vt:lpwstr>
      </vt:variant>
      <vt:variant>
        <vt:lpwstr/>
      </vt:variant>
      <vt:variant>
        <vt:i4>7995454</vt:i4>
      </vt:variant>
      <vt:variant>
        <vt:i4>153</vt:i4>
      </vt:variant>
      <vt:variant>
        <vt:i4>0</vt:i4>
      </vt:variant>
      <vt:variant>
        <vt:i4>5</vt:i4>
      </vt:variant>
      <vt:variant>
        <vt:lpwstr>https://www.officeforstudents.org.uk/advice-and-guidance/skills-and-employment/higher-education-short-course-trial/</vt:lpwstr>
      </vt:variant>
      <vt:variant>
        <vt:lpwstr/>
      </vt:variant>
      <vt:variant>
        <vt:i4>7733291</vt:i4>
      </vt:variant>
      <vt:variant>
        <vt:i4>150</vt:i4>
      </vt:variant>
      <vt:variant>
        <vt:i4>0</vt:i4>
      </vt:variant>
      <vt:variant>
        <vt:i4>5</vt:i4>
      </vt:variant>
      <vt:variant>
        <vt:lpwstr>https://www.nzqa.govt.nz/providers-partners/approval-accreditation-and-registration/micro-credentials/</vt:lpwstr>
      </vt:variant>
      <vt:variant>
        <vt:lpwstr/>
      </vt:variant>
      <vt:variant>
        <vt:i4>1441792</vt:i4>
      </vt:variant>
      <vt:variant>
        <vt:i4>144</vt:i4>
      </vt:variant>
      <vt:variant>
        <vt:i4>0</vt:i4>
      </vt:variant>
      <vt:variant>
        <vt:i4>5</vt:i4>
      </vt:variant>
      <vt:variant>
        <vt:lpwstr>https://www.aigroup.com.au/news/reports/2023/cet-pathways-report/</vt:lpwstr>
      </vt:variant>
      <vt:variant>
        <vt:lpwstr/>
      </vt:variant>
      <vt:variant>
        <vt:i4>7405601</vt:i4>
      </vt:variant>
      <vt:variant>
        <vt:i4>141</vt:i4>
      </vt:variant>
      <vt:variant>
        <vt:i4>0</vt:i4>
      </vt:variant>
      <vt:variant>
        <vt:i4>5</vt:i4>
      </vt:variant>
      <vt:variant>
        <vt:lpwstr>https://www.universitiesaustralia.edu.au/wp-content/uploads/2022/03/WIL-in-universities-final-report-April-2019.pdf</vt:lpwstr>
      </vt:variant>
      <vt:variant>
        <vt:lpwstr/>
      </vt:variant>
      <vt:variant>
        <vt:i4>2883603</vt:i4>
      </vt:variant>
      <vt:variant>
        <vt:i4>138</vt:i4>
      </vt:variant>
      <vt:variant>
        <vt:i4>0</vt:i4>
      </vt:variant>
      <vt:variant>
        <vt:i4>5</vt:i4>
      </vt:variant>
      <vt:variant>
        <vt:lpwstr>https://research.acer.edu.au/higher_education/44/</vt:lpwstr>
      </vt:variant>
      <vt:variant>
        <vt:lpwstr/>
      </vt:variant>
      <vt:variant>
        <vt:i4>7471223</vt:i4>
      </vt:variant>
      <vt:variant>
        <vt:i4>135</vt:i4>
      </vt:variant>
      <vt:variant>
        <vt:i4>0</vt:i4>
      </vt:variant>
      <vt:variant>
        <vt:i4>5</vt:i4>
      </vt:variant>
      <vt:variant>
        <vt:lpwstr>https://espace.curtin.edu.au/bitstream/handle/20.500.11937/55398/255434.pdf?sequence=2&amp;isAllowed=y</vt:lpwstr>
      </vt:variant>
      <vt:variant>
        <vt:lpwstr/>
      </vt:variant>
      <vt:variant>
        <vt:i4>7405687</vt:i4>
      </vt:variant>
      <vt:variant>
        <vt:i4>132</vt:i4>
      </vt:variant>
      <vt:variant>
        <vt:i4>0</vt:i4>
      </vt:variant>
      <vt:variant>
        <vt:i4>5</vt:i4>
      </vt:variant>
      <vt:variant>
        <vt:lpwstr>https://acen.edu.au/resources/national-wil-strategy-2/</vt:lpwstr>
      </vt:variant>
      <vt:variant>
        <vt:lpwstr/>
      </vt:variant>
      <vt:variant>
        <vt:i4>2621472</vt:i4>
      </vt:variant>
      <vt:variant>
        <vt:i4>129</vt:i4>
      </vt:variant>
      <vt:variant>
        <vt:i4>0</vt:i4>
      </vt:variant>
      <vt:variant>
        <vt:i4>5</vt:i4>
      </vt:variant>
      <vt:variant>
        <vt:lpwstr>https://www.education.gov.au/higher-education-reviews-and-consultations/resources/universityindustry-collaboration-teaching-and-learning-review</vt:lpwstr>
      </vt:variant>
      <vt:variant>
        <vt:lpwstr/>
      </vt:variant>
      <vt:variant>
        <vt:i4>5177439</vt:i4>
      </vt:variant>
      <vt:variant>
        <vt:i4>126</vt:i4>
      </vt:variant>
      <vt:variant>
        <vt:i4>0</vt:i4>
      </vt:variant>
      <vt:variant>
        <vt:i4>5</vt:i4>
      </vt:variant>
      <vt:variant>
        <vt:lpwstr>https://www.infrastructureaustralia.gov.au/infrastructure-workforce-skills-supply</vt:lpwstr>
      </vt:variant>
      <vt:variant>
        <vt:lpwstr/>
      </vt:variant>
      <vt:variant>
        <vt:i4>983114</vt:i4>
      </vt:variant>
      <vt:variant>
        <vt:i4>123</vt:i4>
      </vt:variant>
      <vt:variant>
        <vt:i4>0</vt:i4>
      </vt:variant>
      <vt:variant>
        <vt:i4>5</vt:i4>
      </vt:variant>
      <vt:variant>
        <vt:lpwstr>https://www.engineersaustralia.org.au/publications/strengthening-engineering-workforce-australia</vt:lpwstr>
      </vt:variant>
      <vt:variant>
        <vt:lpwstr/>
      </vt:variant>
      <vt:variant>
        <vt:i4>1114134</vt:i4>
      </vt:variant>
      <vt:variant>
        <vt:i4>117</vt:i4>
      </vt:variant>
      <vt:variant>
        <vt:i4>0</vt:i4>
      </vt:variant>
      <vt:variant>
        <vt:i4>5</vt:i4>
      </vt:variant>
      <vt:variant>
        <vt:lpwstr>https://www.ncver.edu.au/research-and-statistics/publications/all-publications/vet-student-outcomes-2022</vt:lpwstr>
      </vt:variant>
      <vt:variant>
        <vt:lpwstr/>
      </vt:variant>
      <vt:variant>
        <vt:i4>4587523</vt:i4>
      </vt:variant>
      <vt:variant>
        <vt:i4>114</vt:i4>
      </vt:variant>
      <vt:variant>
        <vt:i4>0</vt:i4>
      </vt:variant>
      <vt:variant>
        <vt:i4>5</vt:i4>
      </vt:variant>
      <vt:variant>
        <vt:lpwstr>https://atn.edu.au/publications/</vt:lpwstr>
      </vt:variant>
      <vt:variant>
        <vt:lpwstr/>
      </vt:variant>
      <vt:variant>
        <vt:i4>1572886</vt:i4>
      </vt:variant>
      <vt:variant>
        <vt:i4>111</vt:i4>
      </vt:variant>
      <vt:variant>
        <vt:i4>0</vt:i4>
      </vt:variant>
      <vt:variant>
        <vt:i4>5</vt:i4>
      </vt:variant>
      <vt:variant>
        <vt:lpwstr>https://www.unsw.edu.au/news/2023/03/three-tiers-and-more-than-8000-new-engineers--what-it-will-take-</vt:lpwstr>
      </vt:variant>
      <vt:variant>
        <vt:lpwstr/>
      </vt:variant>
      <vt:variant>
        <vt:i4>6357109</vt:i4>
      </vt:variant>
      <vt:variant>
        <vt:i4>108</vt:i4>
      </vt:variant>
      <vt:variant>
        <vt:i4>0</vt:i4>
      </vt:variant>
      <vt:variant>
        <vt:i4>5</vt:i4>
      </vt:variant>
      <vt:variant>
        <vt:lpwstr>https://www.theaustralian.com.au/nation/defence/submarines-need-108-phdlevel-nuclear-scientists-a-year/news-story/dd90b2754969d5170f18017386b05686</vt:lpwstr>
      </vt:variant>
      <vt:variant>
        <vt:lpwstr/>
      </vt:variant>
      <vt:variant>
        <vt:i4>262166</vt:i4>
      </vt:variant>
      <vt:variant>
        <vt:i4>105</vt:i4>
      </vt:variant>
      <vt:variant>
        <vt:i4>0</vt:i4>
      </vt:variant>
      <vt:variant>
        <vt:i4>5</vt:i4>
      </vt:variant>
      <vt:variant>
        <vt:lpwstr>https://www.industry.gov.au/publications/list-critical-technologies-national-interest</vt:lpwstr>
      </vt:variant>
      <vt:variant>
        <vt:lpwstr/>
      </vt:variant>
      <vt:variant>
        <vt:i4>1769482</vt:i4>
      </vt:variant>
      <vt:variant>
        <vt:i4>99</vt:i4>
      </vt:variant>
      <vt:variant>
        <vt:i4>0</vt:i4>
      </vt:variant>
      <vt:variant>
        <vt:i4>5</vt:i4>
      </vt:variant>
      <vt:variant>
        <vt:lpwstr>https://www.pc.gov.au/inquiries/completed/productivity/report</vt:lpwstr>
      </vt:variant>
      <vt:variant>
        <vt:lpwstr/>
      </vt:variant>
      <vt:variant>
        <vt:i4>4325379</vt:i4>
      </vt:variant>
      <vt:variant>
        <vt:i4>93</vt:i4>
      </vt:variant>
      <vt:variant>
        <vt:i4>0</vt:i4>
      </vt:variant>
      <vt:variant>
        <vt:i4>5</vt:i4>
      </vt:variant>
      <vt:variant>
        <vt:lpwstr>https://www.nationalskillscommission.gov.au/topics/employment-projections</vt:lpwstr>
      </vt:variant>
      <vt:variant>
        <vt:lpwstr/>
      </vt:variant>
      <vt:variant>
        <vt:i4>2293796</vt:i4>
      </vt:variant>
      <vt:variant>
        <vt:i4>90</vt:i4>
      </vt:variant>
      <vt:variant>
        <vt:i4>0</vt:i4>
      </vt:variant>
      <vt:variant>
        <vt:i4>5</vt:i4>
      </vt:variant>
      <vt:variant>
        <vt:lpwstr>https://www.nationalskillscommission.gov.au/topics/skills-priority-list</vt:lpwstr>
      </vt:variant>
      <vt:variant>
        <vt:lpwstr/>
      </vt:variant>
      <vt:variant>
        <vt:i4>1048654</vt:i4>
      </vt:variant>
      <vt:variant>
        <vt:i4>87</vt:i4>
      </vt:variant>
      <vt:variant>
        <vt:i4>0</vt:i4>
      </vt:variant>
      <vt:variant>
        <vt:i4>5</vt:i4>
      </vt:variant>
      <vt:variant>
        <vt:lpwstr>https://www.pc.gov.au/inquiries/completed/school-agreement/report</vt:lpwstr>
      </vt:variant>
      <vt:variant>
        <vt:lpwstr/>
      </vt:variant>
      <vt:variant>
        <vt:i4>2687027</vt:i4>
      </vt:variant>
      <vt:variant>
        <vt:i4>84</vt:i4>
      </vt:variant>
      <vt:variant>
        <vt:i4>0</vt:i4>
      </vt:variant>
      <vt:variant>
        <vt:i4>5</vt:i4>
      </vt:variant>
      <vt:variant>
        <vt:lpwstr>https://www.education.gov.au/quality-schools-package/resources/national-school-reform-agreement</vt:lpwstr>
      </vt:variant>
      <vt:variant>
        <vt:lpwstr/>
      </vt:variant>
      <vt:variant>
        <vt:i4>1638473</vt:i4>
      </vt:variant>
      <vt:variant>
        <vt:i4>81</vt:i4>
      </vt:variant>
      <vt:variant>
        <vt:i4>0</vt:i4>
      </vt:variant>
      <vt:variant>
        <vt:i4>5</vt:i4>
      </vt:variant>
      <vt:variant>
        <vt:lpwstr>https://www.education.gov.au/australian-universities-accord/consultations/australian-universities-accord-panel-discussion-paper-consultation/submission/15912</vt:lpwstr>
      </vt:variant>
      <vt:variant>
        <vt:lpwstr/>
      </vt:variant>
      <vt:variant>
        <vt:i4>1638466</vt:i4>
      </vt:variant>
      <vt:variant>
        <vt:i4>75</vt:i4>
      </vt:variant>
      <vt:variant>
        <vt:i4>0</vt:i4>
      </vt:variant>
      <vt:variant>
        <vt:i4>5</vt:i4>
      </vt:variant>
      <vt:variant>
        <vt:lpwstr>https://www.education.gov.au/australian-universities-accord/consultations/australian-universities-accord-panel-discussion-paper-consultation/submission/16226</vt:lpwstr>
      </vt:variant>
      <vt:variant>
        <vt:lpwstr/>
      </vt:variant>
      <vt:variant>
        <vt:i4>1572928</vt:i4>
      </vt:variant>
      <vt:variant>
        <vt:i4>66</vt:i4>
      </vt:variant>
      <vt:variant>
        <vt:i4>0</vt:i4>
      </vt:variant>
      <vt:variant>
        <vt:i4>5</vt:i4>
      </vt:variant>
      <vt:variant>
        <vt:lpwstr>https://www.education.gov.au/australian-universities-accord/consultations/australian-universities-accord-panel-discussion-paper-consultation/submission/16039</vt:lpwstr>
      </vt:variant>
      <vt:variant>
        <vt:lpwstr/>
      </vt:variant>
      <vt:variant>
        <vt:i4>1704009</vt:i4>
      </vt:variant>
      <vt:variant>
        <vt:i4>63</vt:i4>
      </vt:variant>
      <vt:variant>
        <vt:i4>0</vt:i4>
      </vt:variant>
      <vt:variant>
        <vt:i4>5</vt:i4>
      </vt:variant>
      <vt:variant>
        <vt:lpwstr>https://www.education.gov.au/australian-universities-accord/consultations/australian-universities-accord-panel-discussion-paper-consultation/submission/15927</vt:lpwstr>
      </vt:variant>
      <vt:variant>
        <vt:lpwstr/>
      </vt:variant>
      <vt:variant>
        <vt:i4>3932210</vt:i4>
      </vt:variant>
      <vt:variant>
        <vt:i4>60</vt:i4>
      </vt:variant>
      <vt:variant>
        <vt:i4>0</vt:i4>
      </vt:variant>
      <vt:variant>
        <vt:i4>5</vt:i4>
      </vt:variant>
      <vt:variant>
        <vt:lpwstr>https://canapprove.ae/canada-immigration-news/g7s-most-educated-country</vt:lpwstr>
      </vt:variant>
      <vt:variant>
        <vt:lpwstr/>
      </vt:variant>
      <vt:variant>
        <vt:i4>3276921</vt:i4>
      </vt:variant>
      <vt:variant>
        <vt:i4>57</vt:i4>
      </vt:variant>
      <vt:variant>
        <vt:i4>0</vt:i4>
      </vt:variant>
      <vt:variant>
        <vt:i4>5</vt:i4>
      </vt:variant>
      <vt:variant>
        <vt:lpwstr>https://data.oecd.org/eduatt/population-with-tertiary-education.htm</vt:lpwstr>
      </vt:variant>
      <vt:variant>
        <vt:lpwstr/>
      </vt:variant>
      <vt:variant>
        <vt:i4>6422565</vt:i4>
      </vt:variant>
      <vt:variant>
        <vt:i4>54</vt:i4>
      </vt:variant>
      <vt:variant>
        <vt:i4>0</vt:i4>
      </vt:variant>
      <vt:variant>
        <vt:i4>5</vt:i4>
      </vt:variant>
      <vt:variant>
        <vt:lpwstr>https://www.abs.gov.au/statistics/people/education/education-and-work-australia/latest-release</vt:lpwstr>
      </vt:variant>
      <vt:variant>
        <vt:lpwstr/>
      </vt:variant>
      <vt:variant>
        <vt:i4>524298</vt:i4>
      </vt:variant>
      <vt:variant>
        <vt:i4>51</vt:i4>
      </vt:variant>
      <vt:variant>
        <vt:i4>0</vt:i4>
      </vt:variant>
      <vt:variant>
        <vt:i4>5</vt:i4>
      </vt:variant>
      <vt:variant>
        <vt:lpwstr>https://www.education.gov.au/higher-education-statistics/student-data/selected-higher-education-statistics-2021-student-data</vt:lpwstr>
      </vt:variant>
      <vt:variant>
        <vt:lpwstr/>
      </vt:variant>
      <vt:variant>
        <vt:i4>2162750</vt:i4>
      </vt:variant>
      <vt:variant>
        <vt:i4>48</vt:i4>
      </vt:variant>
      <vt:variant>
        <vt:i4>0</vt:i4>
      </vt:variant>
      <vt:variant>
        <vt:i4>5</vt:i4>
      </vt:variant>
      <vt:variant>
        <vt:lpwstr>https://www.pc.gov.au/closing-the-gap-data</vt:lpwstr>
      </vt:variant>
      <vt:variant>
        <vt:lpwstr/>
      </vt:variant>
      <vt:variant>
        <vt:i4>4259909</vt:i4>
      </vt:variant>
      <vt:variant>
        <vt:i4>45</vt:i4>
      </vt:variant>
      <vt:variant>
        <vt:i4>0</vt:i4>
      </vt:variant>
      <vt:variant>
        <vt:i4>5</vt:i4>
      </vt:variant>
      <vt:variant>
        <vt:lpwstr>https://ulurustatement.org/the-statement/view-the-statement/</vt:lpwstr>
      </vt:variant>
      <vt:variant>
        <vt:lpwstr/>
      </vt:variant>
      <vt:variant>
        <vt:i4>1376267</vt:i4>
      </vt:variant>
      <vt:variant>
        <vt:i4>42</vt:i4>
      </vt:variant>
      <vt:variant>
        <vt:i4>0</vt:i4>
      </vt:variant>
      <vt:variant>
        <vt:i4>5</vt:i4>
      </vt:variant>
      <vt:variant>
        <vt:lpwstr>https://www.theguardian.com/commentisfree/2021/may/26/to-stop-from-losing-hope-i-focus-on-the-positive-stories-of-change-in-my-own-family</vt:lpwstr>
      </vt:variant>
      <vt:variant>
        <vt:lpwstr/>
      </vt:variant>
      <vt:variant>
        <vt:i4>1376267</vt:i4>
      </vt:variant>
      <vt:variant>
        <vt:i4>39</vt:i4>
      </vt:variant>
      <vt:variant>
        <vt:i4>0</vt:i4>
      </vt:variant>
      <vt:variant>
        <vt:i4>5</vt:i4>
      </vt:variant>
      <vt:variant>
        <vt:lpwstr>https://www.theguardian.com/commentisfree/2021/may/26/to-stop-from-losing-hope-i-focus-on-the-positive-stories-of-change-in-my-own-family</vt:lpwstr>
      </vt:variant>
      <vt:variant>
        <vt:lpwstr/>
      </vt:variant>
      <vt:variant>
        <vt:i4>5832729</vt:i4>
      </vt:variant>
      <vt:variant>
        <vt:i4>36</vt:i4>
      </vt:variant>
      <vt:variant>
        <vt:i4>0</vt:i4>
      </vt:variant>
      <vt:variant>
        <vt:i4>5</vt:i4>
      </vt:variant>
      <vt:variant>
        <vt:lpwstr>https://www.education.gov.au/higher-education-statistics/resources/2021-staff-indigenous</vt:lpwstr>
      </vt:variant>
      <vt:variant>
        <vt:lpwstr/>
      </vt:variant>
      <vt:variant>
        <vt:i4>983071</vt:i4>
      </vt:variant>
      <vt:variant>
        <vt:i4>33</vt:i4>
      </vt:variant>
      <vt:variant>
        <vt:i4>0</vt:i4>
      </vt:variant>
      <vt:variant>
        <vt:i4>5</vt:i4>
      </vt:variant>
      <vt:variant>
        <vt:lpwstr>https://www.education.gov.au/higher-education-statistics/resources/2021-section-6-indigenous-students</vt:lpwstr>
      </vt:variant>
      <vt:variant>
        <vt:lpwstr/>
      </vt:variant>
      <vt:variant>
        <vt:i4>2359334</vt:i4>
      </vt:variant>
      <vt:variant>
        <vt:i4>30</vt:i4>
      </vt:variant>
      <vt:variant>
        <vt:i4>0</vt:i4>
      </vt:variant>
      <vt:variant>
        <vt:i4>5</vt:i4>
      </vt:variant>
      <vt:variant>
        <vt:lpwstr>https://www.aph.gov.au/Parliamentary_Business/Senate_estimates/ee/2023-24_budget_estimates/Education</vt:lpwstr>
      </vt:variant>
      <vt:variant>
        <vt:lpwstr/>
      </vt:variant>
      <vt:variant>
        <vt:i4>4653070</vt:i4>
      </vt:variant>
      <vt:variant>
        <vt:i4>27</vt:i4>
      </vt:variant>
      <vt:variant>
        <vt:i4>0</vt:i4>
      </vt:variant>
      <vt:variant>
        <vt:i4>5</vt:i4>
      </vt:variant>
      <vt:variant>
        <vt:lpwstr>https://www.education.gov.au/higher-education-statistics/resources/2021-section-11-equity-groups</vt:lpwstr>
      </vt:variant>
      <vt:variant>
        <vt:lpwstr/>
      </vt:variant>
      <vt:variant>
        <vt:i4>7667834</vt:i4>
      </vt:variant>
      <vt:variant>
        <vt:i4>21</vt:i4>
      </vt:variant>
      <vt:variant>
        <vt:i4>0</vt:i4>
      </vt:variant>
      <vt:variant>
        <vt:i4>5</vt:i4>
      </vt:variant>
      <vt:variant>
        <vt:lpwstr>https://apo.org.au/sites/default/files/resource-files/2008-12/apo-nid15776.pdf</vt:lpwstr>
      </vt:variant>
      <vt:variant>
        <vt:lpwstr/>
      </vt:variant>
      <vt:variant>
        <vt:i4>7340072</vt:i4>
      </vt:variant>
      <vt:variant>
        <vt:i4>15</vt:i4>
      </vt:variant>
      <vt:variant>
        <vt:i4>0</vt:i4>
      </vt:variant>
      <vt:variant>
        <vt:i4>5</vt:i4>
      </vt:variant>
      <vt:variant>
        <vt:lpwstr>https://newsroom.unsw.edu.au/news/social-affairs/new-report-wealth-inequality-australia-and-rapid-rise-house-prices</vt:lpwstr>
      </vt:variant>
      <vt:variant>
        <vt:lpwstr/>
      </vt:variant>
      <vt:variant>
        <vt:i4>7995516</vt:i4>
      </vt:variant>
      <vt:variant>
        <vt:i4>12</vt:i4>
      </vt:variant>
      <vt:variant>
        <vt:i4>0</vt:i4>
      </vt:variant>
      <vt:variant>
        <vt:i4>5</vt:i4>
      </vt:variant>
      <vt:variant>
        <vt:lpwstr>https://www.jobsandskills.gov.au/reports/labour-market-update-may-2023</vt:lpwstr>
      </vt:variant>
      <vt:variant>
        <vt:lpwstr/>
      </vt:variant>
      <vt:variant>
        <vt:i4>6619181</vt:i4>
      </vt:variant>
      <vt:variant>
        <vt:i4>6</vt:i4>
      </vt:variant>
      <vt:variant>
        <vt:i4>0</vt:i4>
      </vt:variant>
      <vt:variant>
        <vt:i4>5</vt:i4>
      </vt:variant>
      <vt:variant>
        <vt:lpwstr>https://www.abs.gov.au/statistics/people/education</vt:lpwstr>
      </vt:variant>
      <vt:variant>
        <vt:lpwstr>:~:text=Over%2011%20million%20(11%2C511%2C655)%20people,per%20cent%20increase%20since%202016.</vt:lpwstr>
      </vt:variant>
      <vt:variant>
        <vt:i4>1376280</vt:i4>
      </vt:variant>
      <vt:variant>
        <vt:i4>0</vt:i4>
      </vt:variant>
      <vt:variant>
        <vt:i4>0</vt:i4>
      </vt:variant>
      <vt:variant>
        <vt:i4>5</vt:i4>
      </vt:variant>
      <vt:variant>
        <vt:lpwstr>https://labourmarketinsights.gov.au/our-research/employment-projections/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Universities Accord – Interim Report</dc:title>
  <dc:subject/>
  <dc:creator>CHIPPERFIELD,Kate</dc:creator>
  <cp:keywords/>
  <dc:description/>
  <cp:lastModifiedBy>GILLIS,Kerstie</cp:lastModifiedBy>
  <cp:revision>4</cp:revision>
  <cp:lastPrinted>2023-07-30T23:56:00Z</cp:lastPrinted>
  <dcterms:created xsi:type="dcterms:W3CDTF">2023-07-28T07:31:00Z</dcterms:created>
  <dcterms:modified xsi:type="dcterms:W3CDTF">2023-12-11T00:13:00Z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0x010100E098083483EAF54BBE19C56BE4F7D597</vt:lpwstr>
  </property>
  <property fmtid="{D5CDD505-2E9C-101B-9397-08002B2CF9AE}" pid="10" name="ItemKeywords">
    <vt:lpwstr>1996;#template|9706ad1b-dfa6-4d44-b515-12d7e5bc9d3f;#4815;#Visual Identity|e356a4d3-ae31-4b16-8b18-d31fd86ccf3d</vt:lpwstr>
  </property>
  <property fmtid="{D5CDD505-2E9C-101B-9397-08002B2CF9AE}" pid="11" name="ItemFunction">
    <vt:lpwstr>1976;#communication|9d5354d3-d1c2-4163-a4db-c06e4aa61e3a</vt:lpwstr>
  </property>
  <property fmtid="{D5CDD505-2E9C-101B-9397-08002B2CF9AE}" pid="12" name="ItemType">
    <vt:lpwstr>1997;#factsheet|9d48c734-296f-4c38-a097-1a4a0c51f0a4</vt:lpwstr>
  </property>
  <property fmtid="{D5CDD505-2E9C-101B-9397-08002B2CF9AE}" pid="13" name="MediaServiceImageTags">
    <vt:lpwstr/>
  </property>
  <property fmtid="{D5CDD505-2E9C-101B-9397-08002B2CF9AE}" pid="14" name="MSIP_Label_8c3d088b-6243-4963-a2e2-8b321ab7f8fc_Enabled">
    <vt:lpwstr>true</vt:lpwstr>
  </property>
  <property fmtid="{D5CDD505-2E9C-101B-9397-08002B2CF9AE}" pid="15" name="MSIP_Label_8c3d088b-6243-4963-a2e2-8b321ab7f8fc_SetDate">
    <vt:lpwstr>2023-05-13T00:12:23Z</vt:lpwstr>
  </property>
  <property fmtid="{D5CDD505-2E9C-101B-9397-08002B2CF9AE}" pid="16" name="MSIP_Label_8c3d088b-6243-4963-a2e2-8b321ab7f8fc_Method">
    <vt:lpwstr>Standard</vt:lpwstr>
  </property>
  <property fmtid="{D5CDD505-2E9C-101B-9397-08002B2CF9AE}" pid="17" name="MSIP_Label_8c3d088b-6243-4963-a2e2-8b321ab7f8fc_Name">
    <vt:lpwstr>Trusted</vt:lpwstr>
  </property>
  <property fmtid="{D5CDD505-2E9C-101B-9397-08002B2CF9AE}" pid="18" name="MSIP_Label_8c3d088b-6243-4963-a2e2-8b321ab7f8fc_SiteId">
    <vt:lpwstr>d1323671-cdbe-4417-b4d4-bdb24b51316b</vt:lpwstr>
  </property>
  <property fmtid="{D5CDD505-2E9C-101B-9397-08002B2CF9AE}" pid="19" name="MSIP_Label_8c3d088b-6243-4963-a2e2-8b321ab7f8fc_ActionId">
    <vt:lpwstr>72c2341d-e11e-4379-b86a-06b3a4cbd167</vt:lpwstr>
  </property>
  <property fmtid="{D5CDD505-2E9C-101B-9397-08002B2CF9AE}" pid="20" name="MSIP_Label_8c3d088b-6243-4963-a2e2-8b321ab7f8fc_ContentBits">
    <vt:lpwstr>1</vt:lpwstr>
  </property>
</Properties>
</file>