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4.xml" ContentType="application/vnd.openxmlformats-officedocument.wordprocessingml.header+xml"/>
  <Override PartName="/word/header15.xml" ContentType="application/vnd.openxmlformats-officedocument.wordprocessingml.header+xml"/>
  <Override PartName="/word/footer14.xml" ContentType="application/vnd.openxmlformats-officedocument.wordprocessingml.footer+xml"/>
  <Override PartName="/word/header16.xml" ContentType="application/vnd.openxmlformats-officedocument.wordprocessingml.header+xml"/>
  <Override PartName="/word/footer15.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oter1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4784EA" w14:textId="38080C68" w:rsidR="00564AF1" w:rsidRPr="007E5027" w:rsidRDefault="00BB5FD4" w:rsidP="00E006EC">
      <w:pPr>
        <w:pStyle w:val="CoverOutcomeHeadline"/>
        <w:rPr>
          <w:color w:val="auto"/>
          <w:lang w:val="en-AU"/>
        </w:rPr>
      </w:pPr>
      <w:r w:rsidRPr="007E5027">
        <w:rPr>
          <w:color w:val="auto"/>
          <w:lang w:val="en-AU"/>
        </w:rPr>
        <w:t>VET Delivered to Secondary Students</w:t>
      </w:r>
    </w:p>
    <w:p w14:paraId="41C2CD50" w14:textId="71A99C39" w:rsidR="00564AF1" w:rsidRPr="007E5027" w:rsidRDefault="00BB5FD4" w:rsidP="00E006EC">
      <w:pPr>
        <w:pStyle w:val="CoverOutcomeSubtitle"/>
        <w:rPr>
          <w:color w:val="auto"/>
          <w:lang w:val="en-AU"/>
        </w:rPr>
      </w:pPr>
      <w:r w:rsidRPr="007E5027">
        <w:rPr>
          <w:color w:val="auto"/>
          <w:lang w:val="en-AU"/>
        </w:rPr>
        <w:t xml:space="preserve">Investigating </w:t>
      </w:r>
      <w:r w:rsidR="00876C59" w:rsidRPr="007E5027">
        <w:rPr>
          <w:color w:val="auto"/>
          <w:lang w:val="en-AU"/>
        </w:rPr>
        <w:t>the provision of VET to secondary students in r</w:t>
      </w:r>
      <w:r w:rsidRPr="007E5027">
        <w:rPr>
          <w:color w:val="auto"/>
          <w:lang w:val="en-AU"/>
        </w:rPr>
        <w:t xml:space="preserve">egional, </w:t>
      </w:r>
      <w:r w:rsidR="00876C59" w:rsidRPr="007E5027">
        <w:rPr>
          <w:color w:val="auto"/>
          <w:lang w:val="en-AU"/>
        </w:rPr>
        <w:t>r</w:t>
      </w:r>
      <w:r w:rsidRPr="007E5027">
        <w:rPr>
          <w:color w:val="auto"/>
          <w:lang w:val="en-AU"/>
        </w:rPr>
        <w:t>ural</w:t>
      </w:r>
      <w:r w:rsidR="002F7E09">
        <w:rPr>
          <w:color w:val="auto"/>
          <w:lang w:val="en-AU"/>
        </w:rPr>
        <w:t>,</w:t>
      </w:r>
      <w:r w:rsidRPr="007E5027">
        <w:rPr>
          <w:color w:val="auto"/>
          <w:lang w:val="en-AU"/>
        </w:rPr>
        <w:t xml:space="preserve"> and </w:t>
      </w:r>
      <w:r w:rsidR="00876C59" w:rsidRPr="007E5027">
        <w:rPr>
          <w:color w:val="auto"/>
          <w:lang w:val="en-AU"/>
        </w:rPr>
        <w:t>r</w:t>
      </w:r>
      <w:r w:rsidRPr="007E5027">
        <w:rPr>
          <w:color w:val="auto"/>
          <w:lang w:val="en-AU"/>
        </w:rPr>
        <w:t>emote areas</w:t>
      </w:r>
    </w:p>
    <w:p w14:paraId="694B5AC4" w14:textId="77777777" w:rsidR="00BD271E" w:rsidRPr="007E5027" w:rsidRDefault="004259D5" w:rsidP="00A7605F">
      <w:pPr>
        <w:pStyle w:val="CoverDate"/>
        <w:rPr>
          <w:color w:val="auto"/>
          <w:lang w:val="en-AU"/>
        </w:rPr>
      </w:pPr>
      <w:r w:rsidRPr="007E5027">
        <w:rPr>
          <w:color w:val="auto"/>
          <w:lang w:val="en-AU"/>
        </w:rPr>
        <w:t>2023</w:t>
      </w:r>
    </w:p>
    <w:p w14:paraId="0AE5EFD7" w14:textId="510D34EC" w:rsidR="00BD271E" w:rsidRPr="007E5027" w:rsidRDefault="00BD271E">
      <w:pPr>
        <w:kinsoku/>
        <w:overflowPunct/>
        <w:autoSpaceDE/>
        <w:autoSpaceDN/>
        <w:adjustRightInd/>
        <w:snapToGrid/>
        <w:spacing w:line="240" w:lineRule="auto"/>
      </w:pPr>
    </w:p>
    <w:p w14:paraId="322ECE64" w14:textId="46F1FFC7" w:rsidR="00BD271E" w:rsidRPr="007E5027" w:rsidRDefault="000F1586" w:rsidP="00E006EC">
      <w:pPr>
        <w:pStyle w:val="PwCNormal"/>
        <w:rPr>
          <w:color w:val="auto"/>
        </w:rPr>
      </w:pPr>
      <w:bookmarkStart w:id="0" w:name="ConsultDisclaimer"/>
      <w:r>
        <w:rPr>
          <w:noProof/>
          <w:snapToGrid/>
        </w:rPr>
        <w:drawing>
          <wp:anchor distT="0" distB="0" distL="114300" distR="114300" simplePos="0" relativeHeight="251659264" behindDoc="1" locked="0" layoutInCell="1" allowOverlap="1" wp14:anchorId="0957E7A8" wp14:editId="3C16A8C2">
            <wp:simplePos x="0" y="0"/>
            <wp:positionH relativeFrom="column">
              <wp:posOffset>-530035</wp:posOffset>
            </wp:positionH>
            <wp:positionV relativeFrom="page">
              <wp:posOffset>9128760</wp:posOffset>
            </wp:positionV>
            <wp:extent cx="1637665" cy="1349375"/>
            <wp:effectExtent l="0" t="0" r="0" b="0"/>
            <wp:wrapThrough wrapText="bothSides">
              <wp:wrapPolygon edited="0">
                <wp:start x="12312" y="2744"/>
                <wp:lineTo x="12312" y="8233"/>
                <wp:lineTo x="2261" y="12808"/>
                <wp:lineTo x="2261" y="18601"/>
                <wp:lineTo x="5276" y="18601"/>
                <wp:lineTo x="11558" y="17992"/>
                <wp:lineTo x="15327" y="16162"/>
                <wp:lineTo x="15076" y="13112"/>
                <wp:lineTo x="16081" y="13112"/>
                <wp:lineTo x="19096" y="9453"/>
                <wp:lineTo x="19347" y="7624"/>
                <wp:lineTo x="17839" y="4879"/>
                <wp:lineTo x="16332" y="2744"/>
                <wp:lineTo x="12312" y="2744"/>
              </wp:wrapPolygon>
            </wp:wrapThrough>
            <wp:docPr id="231" name="Picture">
              <a:extLst xmlns:a="http://schemas.openxmlformats.org/drawingml/2006/main">
                <a:ext uri="{FF2B5EF4-FFF2-40B4-BE49-F238E27FC236}">
                  <a16:creationId xmlns:a16="http://schemas.microsoft.com/office/drawing/2014/main" id="{9C024489-97EC-1D48-A1FA-019C1228618C}"/>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Picture">
                      <a:extLst>
                        <a:ext uri="{FF2B5EF4-FFF2-40B4-BE49-F238E27FC236}">
                          <a16:creationId xmlns:a16="http://schemas.microsoft.com/office/drawing/2014/main" id="{9C024489-97EC-1D48-A1FA-019C1228618C}"/>
                        </a:ext>
                        <a:ext uri="{C183D7F6-B498-43B3-948B-1728B52AA6E4}">
                          <adec:decorative xmlns:adec="http://schemas.microsoft.com/office/drawing/2017/decorative" val="1"/>
                        </a:ext>
                      </a:extLst>
                    </pic:cNvPr>
                    <pic:cNvPicPr>
                      <a:picLocks noChangeAspect="1"/>
                    </pic:cNvPicPr>
                  </pic:nvPicPr>
                  <pic:blipFill>
                    <a:blip r:embed="rId8"/>
                    <a:stretch>
                      <a:fillRect/>
                    </a:stretch>
                  </pic:blipFill>
                  <pic:spPr bwMode="gray">
                    <a:xfrm>
                      <a:off x="0" y="0"/>
                      <a:ext cx="1637665" cy="134937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51C90162" wp14:editId="4CEE5A25">
            <wp:simplePos x="0" y="0"/>
            <wp:positionH relativeFrom="column">
              <wp:posOffset>3151315</wp:posOffset>
            </wp:positionH>
            <wp:positionV relativeFrom="page">
              <wp:posOffset>9393373</wp:posOffset>
            </wp:positionV>
            <wp:extent cx="3383915" cy="87884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83915" cy="878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D271E" w:rsidRPr="007E5027">
        <w:rPr>
          <w:color w:val="auto"/>
        </w:rPr>
        <w:br w:type="page"/>
      </w:r>
    </w:p>
    <w:p w14:paraId="48B0B083" w14:textId="77777777" w:rsidR="00BD271E" w:rsidRPr="006842FF" w:rsidRDefault="0028199C" w:rsidP="00957317">
      <w:pPr>
        <w:pStyle w:val="Headings1"/>
        <w:numPr>
          <w:ilvl w:val="0"/>
          <w:numId w:val="0"/>
        </w:numPr>
        <w:ind w:left="850" w:hanging="850"/>
      </w:pPr>
      <w:bookmarkStart w:id="1" w:name="_Toc135665560"/>
      <w:r>
        <w:lastRenderedPageBreak/>
        <w:t>Disclaimer</w:t>
      </w:r>
      <w:bookmarkEnd w:id="1"/>
    </w:p>
    <w:p w14:paraId="2907945E" w14:textId="16608D08" w:rsidR="000E7E78" w:rsidRPr="000E7E78" w:rsidRDefault="000E7E78" w:rsidP="000E7E78">
      <w:pPr>
        <w:kinsoku/>
        <w:overflowPunct/>
        <w:autoSpaceDE/>
        <w:autoSpaceDN/>
        <w:adjustRightInd/>
        <w:snapToGrid/>
        <w:spacing w:after="200" w:line="240" w:lineRule="auto"/>
        <w:textAlignment w:val="baseline"/>
        <w:rPr>
          <w:rFonts w:ascii="Arial" w:hAnsi="Arial"/>
          <w:snapToGrid/>
          <w:color w:val="000000"/>
          <w:sz w:val="20"/>
          <w:lang w:eastAsia="en-AU"/>
        </w:rPr>
      </w:pPr>
      <w:r w:rsidRPr="000E7E78">
        <w:rPr>
          <w:rFonts w:ascii="Arial" w:hAnsi="Arial"/>
          <w:snapToGrid/>
          <w:color w:val="000000"/>
          <w:sz w:val="20"/>
          <w:lang w:eastAsia="en-AU"/>
        </w:rPr>
        <w:t xml:space="preserve">This report is not intended to be read or used by anyone other than the Department of </w:t>
      </w:r>
      <w:r w:rsidR="00780C5B">
        <w:rPr>
          <w:rFonts w:ascii="Arial" w:hAnsi="Arial"/>
          <w:snapToGrid/>
          <w:color w:val="000000"/>
          <w:sz w:val="20"/>
          <w:lang w:eastAsia="en-AU"/>
        </w:rPr>
        <w:t xml:space="preserve">Education (formerly Department of Education, </w:t>
      </w:r>
      <w:proofErr w:type="gramStart"/>
      <w:r w:rsidR="00780C5B">
        <w:rPr>
          <w:rFonts w:ascii="Arial" w:hAnsi="Arial"/>
          <w:snapToGrid/>
          <w:color w:val="000000"/>
          <w:sz w:val="20"/>
          <w:lang w:eastAsia="en-AU"/>
        </w:rPr>
        <w:t>Skills</w:t>
      </w:r>
      <w:proofErr w:type="gramEnd"/>
      <w:r w:rsidR="00780C5B">
        <w:rPr>
          <w:rFonts w:ascii="Arial" w:hAnsi="Arial"/>
          <w:snapToGrid/>
          <w:color w:val="000000"/>
          <w:sz w:val="20"/>
          <w:lang w:eastAsia="en-AU"/>
        </w:rPr>
        <w:t xml:space="preserve"> and Employment)</w:t>
      </w:r>
      <w:r w:rsidRPr="000E7E78">
        <w:rPr>
          <w:rFonts w:ascii="Arial" w:hAnsi="Arial"/>
          <w:snapToGrid/>
          <w:color w:val="000000"/>
          <w:sz w:val="20"/>
          <w:lang w:eastAsia="en-AU"/>
        </w:rPr>
        <w:t>.</w:t>
      </w:r>
    </w:p>
    <w:p w14:paraId="22D3A827" w14:textId="2653674C" w:rsidR="000E7E78" w:rsidRPr="000E7E78" w:rsidRDefault="000E7E78" w:rsidP="000E7E78">
      <w:pPr>
        <w:kinsoku/>
        <w:overflowPunct/>
        <w:autoSpaceDE/>
        <w:autoSpaceDN/>
        <w:adjustRightInd/>
        <w:snapToGrid/>
        <w:spacing w:after="200" w:line="240" w:lineRule="auto"/>
        <w:textAlignment w:val="baseline"/>
        <w:rPr>
          <w:rFonts w:ascii="Arial" w:hAnsi="Arial"/>
          <w:snapToGrid/>
          <w:color w:val="000000"/>
          <w:sz w:val="20"/>
          <w:lang w:eastAsia="en-AU"/>
        </w:rPr>
      </w:pPr>
      <w:r w:rsidRPr="000E7E78">
        <w:rPr>
          <w:rFonts w:ascii="Arial" w:hAnsi="Arial"/>
          <w:snapToGrid/>
          <w:color w:val="000000"/>
          <w:sz w:val="20"/>
          <w:lang w:eastAsia="en-AU"/>
        </w:rPr>
        <w:t xml:space="preserve">We prepared this report solely for the </w:t>
      </w:r>
      <w:r w:rsidR="00780C5B" w:rsidRPr="000E7E78">
        <w:rPr>
          <w:rFonts w:ascii="Arial" w:hAnsi="Arial"/>
          <w:snapToGrid/>
          <w:color w:val="000000"/>
          <w:sz w:val="20"/>
          <w:lang w:eastAsia="en-AU"/>
        </w:rPr>
        <w:t xml:space="preserve">Department of </w:t>
      </w:r>
      <w:r w:rsidR="00780C5B">
        <w:rPr>
          <w:rFonts w:ascii="Arial" w:hAnsi="Arial"/>
          <w:snapToGrid/>
          <w:color w:val="000000"/>
          <w:sz w:val="20"/>
          <w:lang w:eastAsia="en-AU"/>
        </w:rPr>
        <w:t>Education’s</w:t>
      </w:r>
      <w:r w:rsidR="00780C5B" w:rsidRPr="000E7E78">
        <w:rPr>
          <w:rFonts w:ascii="Arial" w:hAnsi="Arial"/>
          <w:snapToGrid/>
          <w:color w:val="000000"/>
          <w:sz w:val="20"/>
          <w:lang w:eastAsia="en-AU"/>
        </w:rPr>
        <w:t xml:space="preserve"> </w:t>
      </w:r>
      <w:r w:rsidRPr="000E7E78">
        <w:rPr>
          <w:rFonts w:ascii="Arial" w:hAnsi="Arial"/>
          <w:snapToGrid/>
          <w:color w:val="000000"/>
          <w:sz w:val="20"/>
          <w:lang w:eastAsia="en-AU"/>
        </w:rPr>
        <w:t xml:space="preserve">use and benefit in accordance with and for the purpose set out in our engagement letter with the Department of </w:t>
      </w:r>
      <w:r w:rsidR="00780C5B">
        <w:rPr>
          <w:rFonts w:ascii="Arial" w:hAnsi="Arial"/>
          <w:snapToGrid/>
          <w:color w:val="000000"/>
          <w:sz w:val="20"/>
          <w:lang w:eastAsia="en-AU"/>
        </w:rPr>
        <w:t xml:space="preserve">Education (formerly Department of Education, </w:t>
      </w:r>
      <w:proofErr w:type="gramStart"/>
      <w:r w:rsidR="00780C5B">
        <w:rPr>
          <w:rFonts w:ascii="Arial" w:hAnsi="Arial"/>
          <w:snapToGrid/>
          <w:color w:val="000000"/>
          <w:sz w:val="20"/>
          <w:lang w:eastAsia="en-AU"/>
        </w:rPr>
        <w:t>Skills</w:t>
      </w:r>
      <w:proofErr w:type="gramEnd"/>
      <w:r w:rsidR="00780C5B">
        <w:rPr>
          <w:rFonts w:ascii="Arial" w:hAnsi="Arial"/>
          <w:snapToGrid/>
          <w:color w:val="000000"/>
          <w:sz w:val="20"/>
          <w:lang w:eastAsia="en-AU"/>
        </w:rPr>
        <w:t xml:space="preserve"> and Employment)</w:t>
      </w:r>
      <w:r w:rsidR="00D35DD2">
        <w:rPr>
          <w:rFonts w:ascii="Arial" w:hAnsi="Arial"/>
          <w:snapToGrid/>
          <w:color w:val="000000"/>
          <w:sz w:val="20"/>
          <w:lang w:eastAsia="en-AU"/>
        </w:rPr>
        <w:t xml:space="preserve"> </w:t>
      </w:r>
      <w:r w:rsidRPr="000E7E78">
        <w:rPr>
          <w:rFonts w:ascii="Arial" w:hAnsi="Arial"/>
          <w:snapToGrid/>
          <w:color w:val="000000"/>
          <w:sz w:val="20"/>
          <w:lang w:eastAsia="en-AU"/>
        </w:rPr>
        <w:t xml:space="preserve">dated 4 May 2021, and the contract variation dated 19 November 2021. In doing so, we acted exclusively for the Department of </w:t>
      </w:r>
      <w:r w:rsidR="00780C5B">
        <w:rPr>
          <w:rFonts w:ascii="Arial" w:hAnsi="Arial"/>
          <w:snapToGrid/>
          <w:color w:val="000000"/>
          <w:sz w:val="20"/>
          <w:lang w:eastAsia="en-AU"/>
        </w:rPr>
        <w:t>Education</w:t>
      </w:r>
      <w:r w:rsidR="00D35DD2">
        <w:rPr>
          <w:rFonts w:ascii="Arial" w:hAnsi="Arial"/>
          <w:snapToGrid/>
          <w:color w:val="000000"/>
          <w:sz w:val="20"/>
          <w:lang w:eastAsia="en-AU"/>
        </w:rPr>
        <w:t xml:space="preserve"> </w:t>
      </w:r>
      <w:r w:rsidRPr="000E7E78">
        <w:rPr>
          <w:rFonts w:ascii="Arial" w:hAnsi="Arial"/>
          <w:snapToGrid/>
          <w:color w:val="000000"/>
          <w:sz w:val="20"/>
          <w:lang w:eastAsia="en-AU"/>
        </w:rPr>
        <w:t>and considered no-one else’s interests.</w:t>
      </w:r>
    </w:p>
    <w:p w14:paraId="2CE69704" w14:textId="77777777" w:rsidR="000E7E78" w:rsidRPr="000E7E78" w:rsidRDefault="000E7E78" w:rsidP="000E7E78">
      <w:pPr>
        <w:kinsoku/>
        <w:overflowPunct/>
        <w:autoSpaceDE/>
        <w:autoSpaceDN/>
        <w:adjustRightInd/>
        <w:snapToGrid/>
        <w:spacing w:after="200" w:line="240" w:lineRule="auto"/>
        <w:textAlignment w:val="baseline"/>
        <w:rPr>
          <w:rFonts w:ascii="Arial" w:hAnsi="Arial"/>
          <w:snapToGrid/>
          <w:color w:val="000000"/>
          <w:sz w:val="20"/>
          <w:lang w:eastAsia="en-AU"/>
        </w:rPr>
      </w:pPr>
      <w:r w:rsidRPr="000E7E78">
        <w:rPr>
          <w:rFonts w:ascii="Arial" w:hAnsi="Arial"/>
          <w:snapToGrid/>
          <w:color w:val="000000"/>
          <w:sz w:val="20"/>
          <w:lang w:eastAsia="en-AU"/>
        </w:rPr>
        <w:t xml:space="preserve">We accept no responsibility, </w:t>
      </w:r>
      <w:proofErr w:type="gramStart"/>
      <w:r w:rsidRPr="000E7E78">
        <w:rPr>
          <w:rFonts w:ascii="Arial" w:hAnsi="Arial"/>
          <w:snapToGrid/>
          <w:color w:val="000000"/>
          <w:sz w:val="20"/>
          <w:lang w:eastAsia="en-AU"/>
        </w:rPr>
        <w:t>duty</w:t>
      </w:r>
      <w:proofErr w:type="gramEnd"/>
      <w:r w:rsidRPr="000E7E78">
        <w:rPr>
          <w:rFonts w:ascii="Arial" w:hAnsi="Arial"/>
          <w:snapToGrid/>
          <w:color w:val="000000"/>
          <w:sz w:val="20"/>
          <w:lang w:eastAsia="en-AU"/>
        </w:rPr>
        <w:t xml:space="preserve"> or liability:</w:t>
      </w:r>
    </w:p>
    <w:p w14:paraId="253C4CCC" w14:textId="542CC373" w:rsidR="000E7E78" w:rsidRPr="000E7E78" w:rsidRDefault="000E7E78" w:rsidP="00E006EC">
      <w:pPr>
        <w:pStyle w:val="ListParagraph"/>
        <w:numPr>
          <w:ilvl w:val="0"/>
          <w:numId w:val="30"/>
        </w:numPr>
        <w:kinsoku/>
        <w:overflowPunct/>
        <w:autoSpaceDE/>
        <w:autoSpaceDN/>
        <w:adjustRightInd/>
        <w:snapToGrid/>
        <w:spacing w:after="200" w:line="240" w:lineRule="auto"/>
        <w:textAlignment w:val="baseline"/>
        <w:rPr>
          <w:rFonts w:ascii="Noto Sans Symbols" w:hAnsi="Noto Sans Symbols" w:cs="Times New Roman"/>
          <w:snapToGrid/>
          <w:color w:val="000000"/>
          <w:sz w:val="20"/>
          <w:lang w:eastAsia="en-AU"/>
        </w:rPr>
      </w:pPr>
      <w:r w:rsidRPr="000E7E78">
        <w:rPr>
          <w:rFonts w:ascii="Arial" w:hAnsi="Arial"/>
          <w:snapToGrid/>
          <w:color w:val="000000"/>
          <w:sz w:val="20"/>
          <w:lang w:eastAsia="en-AU"/>
        </w:rPr>
        <w:t xml:space="preserve">to anyone other than the Department </w:t>
      </w:r>
      <w:r w:rsidR="00780C5B">
        <w:rPr>
          <w:rFonts w:ascii="Arial" w:hAnsi="Arial"/>
          <w:snapToGrid/>
          <w:color w:val="000000"/>
          <w:sz w:val="20"/>
          <w:lang w:eastAsia="en-AU"/>
        </w:rPr>
        <w:t>of Education</w:t>
      </w:r>
      <w:r w:rsidR="00D35DD2">
        <w:rPr>
          <w:rFonts w:ascii="Arial" w:hAnsi="Arial"/>
          <w:snapToGrid/>
          <w:color w:val="000000"/>
          <w:sz w:val="20"/>
          <w:lang w:eastAsia="en-AU"/>
        </w:rPr>
        <w:t xml:space="preserve"> </w:t>
      </w:r>
      <w:r w:rsidRPr="000E7E78">
        <w:rPr>
          <w:rFonts w:ascii="Arial" w:hAnsi="Arial"/>
          <w:snapToGrid/>
          <w:color w:val="000000"/>
          <w:sz w:val="20"/>
          <w:lang w:eastAsia="en-AU"/>
        </w:rPr>
        <w:t>in connection with this report</w:t>
      </w:r>
    </w:p>
    <w:p w14:paraId="155AE782" w14:textId="3DD6A497" w:rsidR="000E7E78" w:rsidRPr="000E7E78" w:rsidRDefault="000E7E78" w:rsidP="00E006EC">
      <w:pPr>
        <w:pStyle w:val="ListParagraph"/>
        <w:numPr>
          <w:ilvl w:val="0"/>
          <w:numId w:val="30"/>
        </w:numPr>
        <w:kinsoku/>
        <w:overflowPunct/>
        <w:autoSpaceDE/>
        <w:autoSpaceDN/>
        <w:adjustRightInd/>
        <w:snapToGrid/>
        <w:spacing w:after="200" w:line="240" w:lineRule="auto"/>
        <w:textAlignment w:val="baseline"/>
        <w:rPr>
          <w:rFonts w:ascii="Noto Sans Symbols" w:hAnsi="Noto Sans Symbols" w:cs="Times New Roman"/>
          <w:snapToGrid/>
          <w:color w:val="000000"/>
          <w:sz w:val="20"/>
          <w:lang w:eastAsia="en-AU"/>
        </w:rPr>
      </w:pPr>
      <w:r w:rsidRPr="000E7E78">
        <w:rPr>
          <w:rFonts w:ascii="Arial" w:hAnsi="Arial"/>
          <w:snapToGrid/>
          <w:color w:val="000000"/>
          <w:sz w:val="20"/>
          <w:lang w:eastAsia="en-AU"/>
        </w:rPr>
        <w:t xml:space="preserve">to the Department of </w:t>
      </w:r>
      <w:r w:rsidR="00780C5B">
        <w:rPr>
          <w:rFonts w:ascii="Arial" w:hAnsi="Arial"/>
          <w:snapToGrid/>
          <w:color w:val="000000"/>
          <w:sz w:val="20"/>
          <w:lang w:eastAsia="en-AU"/>
        </w:rPr>
        <w:t>Education</w:t>
      </w:r>
      <w:r w:rsidR="00D35DD2">
        <w:rPr>
          <w:rFonts w:ascii="Arial" w:hAnsi="Arial"/>
          <w:snapToGrid/>
          <w:color w:val="000000"/>
          <w:sz w:val="20"/>
          <w:lang w:eastAsia="en-AU"/>
        </w:rPr>
        <w:t xml:space="preserve"> </w:t>
      </w:r>
      <w:r w:rsidRPr="000E7E78">
        <w:rPr>
          <w:rFonts w:ascii="Arial" w:hAnsi="Arial"/>
          <w:snapToGrid/>
          <w:color w:val="000000"/>
          <w:sz w:val="20"/>
          <w:lang w:eastAsia="en-AU"/>
        </w:rPr>
        <w:t>for the consequences of using or relying on it for a purpose other than that referred to above.</w:t>
      </w:r>
    </w:p>
    <w:p w14:paraId="5B701EF2" w14:textId="1F19CF49" w:rsidR="000E7E78" w:rsidRPr="000E7E78" w:rsidRDefault="000E7E78" w:rsidP="000E7E78">
      <w:pPr>
        <w:kinsoku/>
        <w:overflowPunct/>
        <w:autoSpaceDE/>
        <w:autoSpaceDN/>
        <w:adjustRightInd/>
        <w:snapToGrid/>
        <w:spacing w:after="200" w:line="240" w:lineRule="auto"/>
        <w:textAlignment w:val="baseline"/>
        <w:rPr>
          <w:rFonts w:ascii="Arial" w:hAnsi="Arial"/>
          <w:snapToGrid/>
          <w:color w:val="000000"/>
          <w:sz w:val="20"/>
          <w:lang w:eastAsia="en-AU"/>
        </w:rPr>
      </w:pPr>
      <w:r w:rsidRPr="000E7E78">
        <w:rPr>
          <w:rFonts w:ascii="Arial" w:hAnsi="Arial"/>
          <w:snapToGrid/>
          <w:color w:val="000000"/>
          <w:sz w:val="20"/>
          <w:lang w:eastAsia="en-AU"/>
        </w:rPr>
        <w:t xml:space="preserve">We make no representation concerning the appropriateness of this report for anyone other than the Department of </w:t>
      </w:r>
      <w:r w:rsidR="00780C5B">
        <w:rPr>
          <w:rFonts w:ascii="Arial" w:hAnsi="Arial"/>
          <w:snapToGrid/>
          <w:color w:val="000000"/>
          <w:sz w:val="20"/>
          <w:lang w:eastAsia="en-AU"/>
        </w:rPr>
        <w:t>Education</w:t>
      </w:r>
      <w:r w:rsidRPr="000E7E78">
        <w:rPr>
          <w:rFonts w:ascii="Arial" w:hAnsi="Arial"/>
          <w:snapToGrid/>
          <w:color w:val="000000"/>
          <w:sz w:val="20"/>
          <w:lang w:eastAsia="en-AU"/>
        </w:rPr>
        <w:t xml:space="preserve">. If anyone other than the Department </w:t>
      </w:r>
      <w:r w:rsidR="00780C5B">
        <w:rPr>
          <w:rFonts w:ascii="Arial" w:hAnsi="Arial"/>
          <w:snapToGrid/>
          <w:color w:val="000000"/>
          <w:sz w:val="20"/>
          <w:lang w:eastAsia="en-AU"/>
        </w:rPr>
        <w:t>Education</w:t>
      </w:r>
      <w:r w:rsidR="00D35DD2">
        <w:rPr>
          <w:rFonts w:ascii="Arial" w:hAnsi="Arial"/>
          <w:snapToGrid/>
          <w:color w:val="000000"/>
          <w:sz w:val="20"/>
          <w:lang w:eastAsia="en-AU"/>
        </w:rPr>
        <w:t xml:space="preserve"> </w:t>
      </w:r>
      <w:r w:rsidRPr="000E7E78">
        <w:rPr>
          <w:rFonts w:ascii="Arial" w:hAnsi="Arial"/>
          <w:snapToGrid/>
          <w:color w:val="000000"/>
          <w:sz w:val="20"/>
          <w:lang w:eastAsia="en-AU"/>
        </w:rPr>
        <w:t xml:space="preserve">chooses to use or rely on </w:t>
      </w:r>
      <w:proofErr w:type="gramStart"/>
      <w:r w:rsidRPr="000E7E78">
        <w:rPr>
          <w:rFonts w:ascii="Arial" w:hAnsi="Arial"/>
          <w:snapToGrid/>
          <w:color w:val="000000"/>
          <w:sz w:val="20"/>
          <w:lang w:eastAsia="en-AU"/>
        </w:rPr>
        <w:t>it</w:t>
      </w:r>
      <w:proofErr w:type="gramEnd"/>
      <w:r w:rsidRPr="000E7E78">
        <w:rPr>
          <w:rFonts w:ascii="Arial" w:hAnsi="Arial"/>
          <w:snapToGrid/>
          <w:color w:val="000000"/>
          <w:sz w:val="20"/>
          <w:lang w:eastAsia="en-AU"/>
        </w:rPr>
        <w:t xml:space="preserve"> they do so at their own risk.</w:t>
      </w:r>
    </w:p>
    <w:p w14:paraId="77601702" w14:textId="7445F243" w:rsidR="000E7E78" w:rsidRPr="000E7E78" w:rsidRDefault="000E7E78" w:rsidP="00BB5FD4">
      <w:pPr>
        <w:tabs>
          <w:tab w:val="left" w:pos="2794"/>
        </w:tabs>
        <w:kinsoku/>
        <w:overflowPunct/>
        <w:autoSpaceDE/>
        <w:autoSpaceDN/>
        <w:adjustRightInd/>
        <w:snapToGrid/>
        <w:spacing w:after="200" w:line="240" w:lineRule="auto"/>
        <w:textAlignment w:val="baseline"/>
        <w:rPr>
          <w:rFonts w:ascii="Arial" w:hAnsi="Arial"/>
          <w:snapToGrid/>
          <w:color w:val="000000"/>
          <w:sz w:val="20"/>
          <w:lang w:eastAsia="en-AU"/>
        </w:rPr>
      </w:pPr>
      <w:r w:rsidRPr="000E7E78">
        <w:rPr>
          <w:rFonts w:ascii="Arial" w:hAnsi="Arial"/>
          <w:snapToGrid/>
          <w:color w:val="000000"/>
          <w:sz w:val="20"/>
          <w:lang w:eastAsia="en-AU"/>
        </w:rPr>
        <w:t>This disclaimer applies:</w:t>
      </w:r>
      <w:r w:rsidR="00BB5FD4">
        <w:rPr>
          <w:rFonts w:ascii="Arial" w:hAnsi="Arial"/>
          <w:snapToGrid/>
          <w:color w:val="000000"/>
          <w:sz w:val="20"/>
          <w:lang w:eastAsia="en-AU"/>
        </w:rPr>
        <w:tab/>
      </w:r>
    </w:p>
    <w:p w14:paraId="3C5F938D" w14:textId="77777777" w:rsidR="000E7E78" w:rsidRPr="000E7E78" w:rsidRDefault="000E7E78" w:rsidP="00E006EC">
      <w:pPr>
        <w:pStyle w:val="ListParagraph"/>
        <w:numPr>
          <w:ilvl w:val="0"/>
          <w:numId w:val="31"/>
        </w:numPr>
        <w:kinsoku/>
        <w:overflowPunct/>
        <w:autoSpaceDE/>
        <w:autoSpaceDN/>
        <w:adjustRightInd/>
        <w:snapToGrid/>
        <w:spacing w:after="200" w:line="240" w:lineRule="auto"/>
        <w:textAlignment w:val="baseline"/>
        <w:rPr>
          <w:rFonts w:ascii="Noto Sans Symbols" w:hAnsi="Noto Sans Symbols" w:cs="Times New Roman"/>
          <w:snapToGrid/>
          <w:color w:val="000000"/>
          <w:sz w:val="20"/>
          <w:lang w:eastAsia="en-AU"/>
        </w:rPr>
      </w:pPr>
      <w:r w:rsidRPr="000E7E78">
        <w:rPr>
          <w:rFonts w:ascii="Arial" w:hAnsi="Arial"/>
          <w:snapToGrid/>
          <w:color w:val="000000"/>
          <w:sz w:val="20"/>
          <w:lang w:eastAsia="en-AU"/>
        </w:rPr>
        <w:t>to the maximum extent permitted by law and, without limitation, to liability arising in negligence or under statute; and</w:t>
      </w:r>
    </w:p>
    <w:p w14:paraId="39AC4A63" w14:textId="54FA55E9" w:rsidR="000E7E78" w:rsidRPr="000E7E78" w:rsidRDefault="000E7E78" w:rsidP="00E006EC">
      <w:pPr>
        <w:pStyle w:val="ListParagraph"/>
        <w:numPr>
          <w:ilvl w:val="0"/>
          <w:numId w:val="31"/>
        </w:numPr>
        <w:kinsoku/>
        <w:overflowPunct/>
        <w:autoSpaceDE/>
        <w:autoSpaceDN/>
        <w:adjustRightInd/>
        <w:snapToGrid/>
        <w:spacing w:after="200" w:line="240" w:lineRule="auto"/>
        <w:textAlignment w:val="baseline"/>
        <w:rPr>
          <w:rFonts w:ascii="Noto Sans Symbols" w:hAnsi="Noto Sans Symbols" w:cs="Times New Roman"/>
          <w:snapToGrid/>
          <w:color w:val="000000"/>
          <w:sz w:val="20"/>
          <w:lang w:eastAsia="en-AU"/>
        </w:rPr>
      </w:pPr>
      <w:r w:rsidRPr="000E7E78">
        <w:rPr>
          <w:rFonts w:ascii="Arial" w:hAnsi="Arial"/>
          <w:snapToGrid/>
          <w:color w:val="000000"/>
          <w:sz w:val="20"/>
          <w:lang w:eastAsia="en-AU"/>
        </w:rPr>
        <w:t xml:space="preserve">even if we consent to anyone other than the Department of </w:t>
      </w:r>
      <w:r w:rsidR="00780C5B">
        <w:rPr>
          <w:rFonts w:ascii="Arial" w:hAnsi="Arial"/>
          <w:snapToGrid/>
          <w:color w:val="000000"/>
          <w:sz w:val="20"/>
          <w:lang w:eastAsia="en-AU"/>
        </w:rPr>
        <w:t>Education</w:t>
      </w:r>
      <w:r w:rsidR="00D35DD2">
        <w:rPr>
          <w:rFonts w:ascii="Arial" w:hAnsi="Arial"/>
          <w:snapToGrid/>
          <w:color w:val="000000"/>
          <w:sz w:val="20"/>
          <w:lang w:eastAsia="en-AU"/>
        </w:rPr>
        <w:t xml:space="preserve"> </w:t>
      </w:r>
      <w:r w:rsidRPr="000E7E78">
        <w:rPr>
          <w:rFonts w:ascii="Arial" w:hAnsi="Arial"/>
          <w:snapToGrid/>
          <w:color w:val="000000"/>
          <w:sz w:val="20"/>
          <w:lang w:eastAsia="en-AU"/>
        </w:rPr>
        <w:t>receiving or using this report.</w:t>
      </w:r>
    </w:p>
    <w:p w14:paraId="21AE7A5A" w14:textId="3D812C5E" w:rsidR="000E7E78" w:rsidRPr="000E7E78" w:rsidRDefault="000E7E78" w:rsidP="000E7E78">
      <w:pPr>
        <w:kinsoku/>
        <w:overflowPunct/>
        <w:autoSpaceDE/>
        <w:autoSpaceDN/>
        <w:adjustRightInd/>
        <w:snapToGrid/>
        <w:spacing w:after="200" w:line="240" w:lineRule="auto"/>
        <w:rPr>
          <w:rFonts w:ascii="Times New Roman" w:hAnsi="Times New Roman" w:cs="Times New Roman"/>
          <w:snapToGrid/>
          <w:sz w:val="24"/>
          <w:szCs w:val="24"/>
          <w:lang w:eastAsia="en-AU"/>
        </w:rPr>
      </w:pPr>
      <w:r w:rsidRPr="000E7E78">
        <w:rPr>
          <w:rFonts w:ascii="Arial" w:hAnsi="Arial"/>
          <w:snapToGrid/>
          <w:color w:val="000000"/>
          <w:sz w:val="20"/>
          <w:lang w:eastAsia="en-AU"/>
        </w:rPr>
        <w:t>Liability limited by a scheme approved under Professional Standards legislation.</w:t>
      </w:r>
      <w:r w:rsidR="00780C5B">
        <w:rPr>
          <w:rFonts w:ascii="Arial" w:hAnsi="Arial"/>
          <w:snapToGrid/>
          <w:color w:val="000000"/>
          <w:sz w:val="20"/>
          <w:lang w:eastAsia="en-AU"/>
        </w:rPr>
        <w:t xml:space="preserve"> </w:t>
      </w:r>
    </w:p>
    <w:p w14:paraId="7035E31E" w14:textId="77777777" w:rsidR="00BD271E" w:rsidRPr="006842FF" w:rsidRDefault="00BD271E" w:rsidP="00E006EC">
      <w:pPr>
        <w:pStyle w:val="PwCNormal"/>
      </w:pPr>
    </w:p>
    <w:bookmarkEnd w:id="0"/>
    <w:p w14:paraId="5E56FA85" w14:textId="77777777" w:rsidR="006A61F5" w:rsidRPr="006842FF" w:rsidRDefault="006A61F5" w:rsidP="00EA4636">
      <w:pPr>
        <w:pStyle w:val="PwCNormal"/>
        <w:numPr>
          <w:ilvl w:val="0"/>
          <w:numId w:val="0"/>
        </w:numPr>
      </w:pPr>
    </w:p>
    <w:p w14:paraId="49D5B907" w14:textId="77777777" w:rsidR="00564AF1" w:rsidRPr="006842FF" w:rsidRDefault="00564AF1" w:rsidP="00564AF1">
      <w:pPr>
        <w:pStyle w:val="PwCNormal"/>
        <w:numPr>
          <w:ilvl w:val="0"/>
          <w:numId w:val="0"/>
        </w:numPr>
        <w:sectPr w:rsidR="00564AF1" w:rsidRPr="006842FF" w:rsidSect="004259D5">
          <w:headerReference w:type="even" r:id="rId10"/>
          <w:headerReference w:type="default" r:id="rId11"/>
          <w:footerReference w:type="even" r:id="rId12"/>
          <w:footerReference w:type="default" r:id="rId13"/>
          <w:headerReference w:type="first" r:id="rId14"/>
          <w:footerReference w:type="first" r:id="rId15"/>
          <w:type w:val="oddPage"/>
          <w:pgSz w:w="11907" w:h="16840" w:code="9"/>
          <w:pgMar w:top="2268" w:right="1418" w:bottom="1021" w:left="1021" w:header="397" w:footer="851" w:gutter="0"/>
          <w:pgNumType w:start="1"/>
          <w:cols w:space="708"/>
          <w:titlePg/>
          <w:docGrid w:linePitch="360"/>
        </w:sectPr>
      </w:pPr>
    </w:p>
    <w:p w14:paraId="1C97DD62" w14:textId="77777777" w:rsidR="004F0878" w:rsidRPr="006842FF" w:rsidRDefault="004F0878" w:rsidP="00957317">
      <w:pPr>
        <w:pStyle w:val="Headings1"/>
        <w:numPr>
          <w:ilvl w:val="0"/>
          <w:numId w:val="0"/>
        </w:numPr>
        <w:ind w:left="850" w:hanging="850"/>
      </w:pPr>
      <w:bookmarkStart w:id="2" w:name="_Toc135665561"/>
      <w:r w:rsidRPr="006842FF">
        <w:lastRenderedPageBreak/>
        <w:t>Conten</w:t>
      </w:r>
      <w:bookmarkStart w:id="3" w:name="TOC"/>
      <w:bookmarkEnd w:id="3"/>
      <w:r w:rsidRPr="006842FF">
        <w:t>ts</w:t>
      </w:r>
      <w:bookmarkStart w:id="4" w:name="SmallDoc"/>
      <w:bookmarkEnd w:id="4"/>
      <w:bookmarkEnd w:id="2"/>
    </w:p>
    <w:p w14:paraId="2A91747F" w14:textId="1D16B900" w:rsidR="007E5027" w:rsidRPr="00042C74" w:rsidRDefault="007A3339">
      <w:pPr>
        <w:pStyle w:val="TOC2"/>
        <w:rPr>
          <w:rFonts w:eastAsiaTheme="minorEastAsia" w:cstheme="minorBidi"/>
          <w:noProof/>
          <w:snapToGrid/>
          <w:sz w:val="22"/>
          <w:szCs w:val="22"/>
          <w:lang w:eastAsia="en-AU"/>
        </w:rPr>
      </w:pPr>
      <w:r w:rsidRPr="00042C74">
        <w:fldChar w:fldCharType="begin"/>
      </w:r>
      <w:r w:rsidRPr="00042C74">
        <w:instrText xml:space="preserve"> TOC \o "1-6" \h \z \u </w:instrText>
      </w:r>
      <w:r w:rsidRPr="00042C74">
        <w:fldChar w:fldCharType="separate"/>
      </w:r>
      <w:hyperlink w:anchor="_Toc135665562" w:history="1">
        <w:r w:rsidR="007E5027" w:rsidRPr="00042C74">
          <w:rPr>
            <w:rStyle w:val="Hyperlink"/>
            <w:noProof/>
            <w:color w:val="auto"/>
          </w:rPr>
          <w:t>1</w:t>
        </w:r>
        <w:r w:rsidR="007E5027" w:rsidRPr="00042C74">
          <w:rPr>
            <w:rFonts w:eastAsiaTheme="minorEastAsia" w:cstheme="minorBidi"/>
            <w:noProof/>
            <w:snapToGrid/>
            <w:sz w:val="22"/>
            <w:szCs w:val="22"/>
            <w:lang w:eastAsia="en-AU"/>
          </w:rPr>
          <w:tab/>
        </w:r>
        <w:r w:rsidR="007E5027" w:rsidRPr="00042C74">
          <w:rPr>
            <w:rStyle w:val="Hyperlink"/>
            <w:noProof/>
            <w:color w:val="auto"/>
          </w:rPr>
          <w:t>Executive summary</w:t>
        </w:r>
        <w:r w:rsidR="007E5027" w:rsidRPr="00042C74">
          <w:rPr>
            <w:noProof/>
            <w:webHidden/>
          </w:rPr>
          <w:tab/>
        </w:r>
        <w:r w:rsidR="007E5027" w:rsidRPr="00042C74">
          <w:rPr>
            <w:noProof/>
            <w:webHidden/>
          </w:rPr>
          <w:fldChar w:fldCharType="begin"/>
        </w:r>
        <w:r w:rsidR="007E5027" w:rsidRPr="00042C74">
          <w:rPr>
            <w:noProof/>
            <w:webHidden/>
          </w:rPr>
          <w:instrText xml:space="preserve"> PAGEREF _Toc135665562 \h </w:instrText>
        </w:r>
        <w:r w:rsidR="007E5027" w:rsidRPr="00042C74">
          <w:rPr>
            <w:noProof/>
            <w:webHidden/>
          </w:rPr>
        </w:r>
        <w:r w:rsidR="007E5027" w:rsidRPr="00042C74">
          <w:rPr>
            <w:noProof/>
            <w:webHidden/>
          </w:rPr>
          <w:fldChar w:fldCharType="separate"/>
        </w:r>
        <w:r w:rsidR="004F7112">
          <w:rPr>
            <w:noProof/>
            <w:webHidden/>
          </w:rPr>
          <w:t>1</w:t>
        </w:r>
        <w:r w:rsidR="007E5027" w:rsidRPr="00042C74">
          <w:rPr>
            <w:noProof/>
            <w:webHidden/>
          </w:rPr>
          <w:fldChar w:fldCharType="end"/>
        </w:r>
      </w:hyperlink>
    </w:p>
    <w:p w14:paraId="292F0335" w14:textId="6A2698B2" w:rsidR="007E5027" w:rsidRPr="00042C74" w:rsidRDefault="00747A2B">
      <w:pPr>
        <w:pStyle w:val="TOC2"/>
        <w:rPr>
          <w:rFonts w:eastAsiaTheme="minorEastAsia" w:cstheme="minorBidi"/>
          <w:noProof/>
          <w:snapToGrid/>
          <w:sz w:val="22"/>
          <w:szCs w:val="22"/>
          <w:lang w:eastAsia="en-AU"/>
        </w:rPr>
      </w:pPr>
      <w:hyperlink w:anchor="_Toc135665563" w:history="1">
        <w:r w:rsidR="007E5027" w:rsidRPr="00042C74">
          <w:rPr>
            <w:rStyle w:val="Hyperlink"/>
            <w:noProof/>
            <w:color w:val="auto"/>
          </w:rPr>
          <w:t>2</w:t>
        </w:r>
        <w:r w:rsidR="007E5027" w:rsidRPr="00042C74">
          <w:rPr>
            <w:rFonts w:eastAsiaTheme="minorEastAsia" w:cstheme="minorBidi"/>
            <w:noProof/>
            <w:snapToGrid/>
            <w:sz w:val="22"/>
            <w:szCs w:val="22"/>
            <w:lang w:eastAsia="en-AU"/>
          </w:rPr>
          <w:tab/>
        </w:r>
        <w:r w:rsidR="007E5027" w:rsidRPr="00042C74">
          <w:rPr>
            <w:rStyle w:val="Hyperlink"/>
            <w:noProof/>
            <w:color w:val="auto"/>
          </w:rPr>
          <w:t>Objectives and purpose</w:t>
        </w:r>
        <w:r w:rsidR="007E5027" w:rsidRPr="00042C74">
          <w:rPr>
            <w:noProof/>
            <w:webHidden/>
          </w:rPr>
          <w:tab/>
        </w:r>
        <w:r w:rsidR="007E5027" w:rsidRPr="00042C74">
          <w:rPr>
            <w:noProof/>
            <w:webHidden/>
          </w:rPr>
          <w:fldChar w:fldCharType="begin"/>
        </w:r>
        <w:r w:rsidR="007E5027" w:rsidRPr="00042C74">
          <w:rPr>
            <w:noProof/>
            <w:webHidden/>
          </w:rPr>
          <w:instrText xml:space="preserve"> PAGEREF _Toc135665563 \h </w:instrText>
        </w:r>
        <w:r w:rsidR="007E5027" w:rsidRPr="00042C74">
          <w:rPr>
            <w:noProof/>
            <w:webHidden/>
          </w:rPr>
        </w:r>
        <w:r w:rsidR="007E5027" w:rsidRPr="00042C74">
          <w:rPr>
            <w:noProof/>
            <w:webHidden/>
          </w:rPr>
          <w:fldChar w:fldCharType="separate"/>
        </w:r>
        <w:r w:rsidR="004F7112">
          <w:rPr>
            <w:noProof/>
            <w:webHidden/>
          </w:rPr>
          <w:t>3</w:t>
        </w:r>
        <w:r w:rsidR="007E5027" w:rsidRPr="00042C74">
          <w:rPr>
            <w:noProof/>
            <w:webHidden/>
          </w:rPr>
          <w:fldChar w:fldCharType="end"/>
        </w:r>
      </w:hyperlink>
    </w:p>
    <w:p w14:paraId="0B9ABE48" w14:textId="192F3B23" w:rsidR="007E5027" w:rsidRPr="00042C74" w:rsidRDefault="00747A2B">
      <w:pPr>
        <w:pStyle w:val="TOC2"/>
        <w:rPr>
          <w:rFonts w:eastAsiaTheme="minorEastAsia" w:cstheme="minorBidi"/>
          <w:noProof/>
          <w:snapToGrid/>
          <w:sz w:val="22"/>
          <w:szCs w:val="22"/>
          <w:lang w:eastAsia="en-AU"/>
        </w:rPr>
      </w:pPr>
      <w:hyperlink w:anchor="_Toc135665564" w:history="1">
        <w:r w:rsidR="007E5027" w:rsidRPr="00042C74">
          <w:rPr>
            <w:rStyle w:val="Hyperlink"/>
            <w:noProof/>
            <w:color w:val="auto"/>
          </w:rPr>
          <w:t>3</w:t>
        </w:r>
        <w:r w:rsidR="007E5027" w:rsidRPr="00042C74">
          <w:rPr>
            <w:rFonts w:eastAsiaTheme="minorEastAsia" w:cstheme="minorBidi"/>
            <w:noProof/>
            <w:snapToGrid/>
            <w:sz w:val="22"/>
            <w:szCs w:val="22"/>
            <w:lang w:eastAsia="en-AU"/>
          </w:rPr>
          <w:tab/>
        </w:r>
        <w:r w:rsidR="007E5027" w:rsidRPr="00042C74">
          <w:rPr>
            <w:rStyle w:val="Hyperlink"/>
            <w:noProof/>
            <w:color w:val="auto"/>
          </w:rPr>
          <w:t>Methodology</w:t>
        </w:r>
        <w:r w:rsidR="007E5027" w:rsidRPr="00042C74">
          <w:rPr>
            <w:noProof/>
            <w:webHidden/>
          </w:rPr>
          <w:tab/>
        </w:r>
        <w:r w:rsidR="007E5027" w:rsidRPr="00042C74">
          <w:rPr>
            <w:noProof/>
            <w:webHidden/>
          </w:rPr>
          <w:fldChar w:fldCharType="begin"/>
        </w:r>
        <w:r w:rsidR="007E5027" w:rsidRPr="00042C74">
          <w:rPr>
            <w:noProof/>
            <w:webHidden/>
          </w:rPr>
          <w:instrText xml:space="preserve"> PAGEREF _Toc135665564 \h </w:instrText>
        </w:r>
        <w:r w:rsidR="007E5027" w:rsidRPr="00042C74">
          <w:rPr>
            <w:noProof/>
            <w:webHidden/>
          </w:rPr>
        </w:r>
        <w:r w:rsidR="007E5027" w:rsidRPr="00042C74">
          <w:rPr>
            <w:noProof/>
            <w:webHidden/>
          </w:rPr>
          <w:fldChar w:fldCharType="separate"/>
        </w:r>
        <w:r w:rsidR="004F7112">
          <w:rPr>
            <w:noProof/>
            <w:webHidden/>
          </w:rPr>
          <w:t>5</w:t>
        </w:r>
        <w:r w:rsidR="007E5027" w:rsidRPr="00042C74">
          <w:rPr>
            <w:noProof/>
            <w:webHidden/>
          </w:rPr>
          <w:fldChar w:fldCharType="end"/>
        </w:r>
      </w:hyperlink>
    </w:p>
    <w:p w14:paraId="4A828235" w14:textId="43E46994" w:rsidR="007E5027" w:rsidRPr="00042C74" w:rsidRDefault="00747A2B">
      <w:pPr>
        <w:pStyle w:val="TOC2"/>
        <w:rPr>
          <w:rFonts w:eastAsiaTheme="minorEastAsia" w:cstheme="minorBidi"/>
          <w:noProof/>
          <w:snapToGrid/>
          <w:sz w:val="22"/>
          <w:szCs w:val="22"/>
          <w:lang w:eastAsia="en-AU"/>
        </w:rPr>
      </w:pPr>
      <w:hyperlink w:anchor="_Toc135665565" w:history="1">
        <w:r w:rsidR="007E5027" w:rsidRPr="00042C74">
          <w:rPr>
            <w:rStyle w:val="Hyperlink"/>
            <w:noProof/>
            <w:color w:val="auto"/>
          </w:rPr>
          <w:t>4</w:t>
        </w:r>
        <w:r w:rsidR="007E5027" w:rsidRPr="00042C74">
          <w:rPr>
            <w:rFonts w:eastAsiaTheme="minorEastAsia" w:cstheme="minorBidi"/>
            <w:noProof/>
            <w:snapToGrid/>
            <w:sz w:val="22"/>
            <w:szCs w:val="22"/>
            <w:lang w:eastAsia="en-AU"/>
          </w:rPr>
          <w:tab/>
        </w:r>
        <w:r w:rsidR="007E5027" w:rsidRPr="00042C74">
          <w:rPr>
            <w:rStyle w:val="Hyperlink"/>
            <w:noProof/>
            <w:color w:val="auto"/>
          </w:rPr>
          <w:t>Literature review</w:t>
        </w:r>
        <w:r w:rsidR="007E5027" w:rsidRPr="00042C74">
          <w:rPr>
            <w:noProof/>
            <w:webHidden/>
          </w:rPr>
          <w:tab/>
        </w:r>
        <w:r w:rsidR="007E5027" w:rsidRPr="00042C74">
          <w:rPr>
            <w:noProof/>
            <w:webHidden/>
          </w:rPr>
          <w:fldChar w:fldCharType="begin"/>
        </w:r>
        <w:r w:rsidR="007E5027" w:rsidRPr="00042C74">
          <w:rPr>
            <w:noProof/>
            <w:webHidden/>
          </w:rPr>
          <w:instrText xml:space="preserve"> PAGEREF _Toc135665565 \h </w:instrText>
        </w:r>
        <w:r w:rsidR="007E5027" w:rsidRPr="00042C74">
          <w:rPr>
            <w:noProof/>
            <w:webHidden/>
          </w:rPr>
        </w:r>
        <w:r w:rsidR="007E5027" w:rsidRPr="00042C74">
          <w:rPr>
            <w:noProof/>
            <w:webHidden/>
          </w:rPr>
          <w:fldChar w:fldCharType="separate"/>
        </w:r>
        <w:r w:rsidR="004F7112">
          <w:rPr>
            <w:noProof/>
            <w:webHidden/>
          </w:rPr>
          <w:t>8</w:t>
        </w:r>
        <w:r w:rsidR="007E5027" w:rsidRPr="00042C74">
          <w:rPr>
            <w:noProof/>
            <w:webHidden/>
          </w:rPr>
          <w:fldChar w:fldCharType="end"/>
        </w:r>
      </w:hyperlink>
    </w:p>
    <w:p w14:paraId="0BCA11FC" w14:textId="6E44E4B0" w:rsidR="007E5027" w:rsidRPr="00042C74" w:rsidRDefault="00747A2B">
      <w:pPr>
        <w:pStyle w:val="TOC2"/>
        <w:rPr>
          <w:rFonts w:eastAsiaTheme="minorEastAsia" w:cstheme="minorBidi"/>
          <w:noProof/>
          <w:snapToGrid/>
          <w:sz w:val="22"/>
          <w:szCs w:val="22"/>
          <w:lang w:eastAsia="en-AU"/>
        </w:rPr>
      </w:pPr>
      <w:hyperlink w:anchor="_Toc135665566" w:history="1">
        <w:r w:rsidR="007E5027" w:rsidRPr="00042C74">
          <w:rPr>
            <w:rStyle w:val="Hyperlink"/>
            <w:noProof/>
            <w:color w:val="auto"/>
          </w:rPr>
          <w:t>5</w:t>
        </w:r>
        <w:r w:rsidR="007E5027" w:rsidRPr="00042C74">
          <w:rPr>
            <w:rFonts w:eastAsiaTheme="minorEastAsia" w:cstheme="minorBidi"/>
            <w:noProof/>
            <w:snapToGrid/>
            <w:sz w:val="22"/>
            <w:szCs w:val="22"/>
            <w:lang w:eastAsia="en-AU"/>
          </w:rPr>
          <w:tab/>
        </w:r>
        <w:r w:rsidR="007E5027" w:rsidRPr="00042C74">
          <w:rPr>
            <w:rStyle w:val="Hyperlink"/>
            <w:noProof/>
            <w:color w:val="auto"/>
          </w:rPr>
          <w:t>Findings and analysis</w:t>
        </w:r>
        <w:r w:rsidR="007E5027" w:rsidRPr="00042C74">
          <w:rPr>
            <w:noProof/>
            <w:webHidden/>
          </w:rPr>
          <w:tab/>
        </w:r>
        <w:r w:rsidR="007E5027" w:rsidRPr="00042C74">
          <w:rPr>
            <w:noProof/>
            <w:webHidden/>
          </w:rPr>
          <w:fldChar w:fldCharType="begin"/>
        </w:r>
        <w:r w:rsidR="007E5027" w:rsidRPr="00042C74">
          <w:rPr>
            <w:noProof/>
            <w:webHidden/>
          </w:rPr>
          <w:instrText xml:space="preserve"> PAGEREF _Toc135665566 \h </w:instrText>
        </w:r>
        <w:r w:rsidR="007E5027" w:rsidRPr="00042C74">
          <w:rPr>
            <w:noProof/>
            <w:webHidden/>
          </w:rPr>
        </w:r>
        <w:r w:rsidR="007E5027" w:rsidRPr="00042C74">
          <w:rPr>
            <w:noProof/>
            <w:webHidden/>
          </w:rPr>
          <w:fldChar w:fldCharType="separate"/>
        </w:r>
        <w:r w:rsidR="004F7112">
          <w:rPr>
            <w:noProof/>
            <w:webHidden/>
          </w:rPr>
          <w:t>9</w:t>
        </w:r>
        <w:r w:rsidR="007E5027" w:rsidRPr="00042C74">
          <w:rPr>
            <w:noProof/>
            <w:webHidden/>
          </w:rPr>
          <w:fldChar w:fldCharType="end"/>
        </w:r>
      </w:hyperlink>
    </w:p>
    <w:p w14:paraId="6220A525" w14:textId="5C19A5B0" w:rsidR="007E5027" w:rsidRPr="00042C74" w:rsidRDefault="00747A2B">
      <w:pPr>
        <w:pStyle w:val="TOC2"/>
        <w:rPr>
          <w:rFonts w:eastAsiaTheme="minorEastAsia" w:cstheme="minorBidi"/>
          <w:noProof/>
          <w:snapToGrid/>
          <w:sz w:val="22"/>
          <w:szCs w:val="22"/>
          <w:lang w:eastAsia="en-AU"/>
        </w:rPr>
      </w:pPr>
      <w:hyperlink w:anchor="_Toc135665567" w:history="1">
        <w:r w:rsidR="007E5027" w:rsidRPr="00042C74">
          <w:rPr>
            <w:rStyle w:val="Hyperlink"/>
            <w:noProof/>
            <w:color w:val="auto"/>
          </w:rPr>
          <w:t>6</w:t>
        </w:r>
        <w:r w:rsidR="007E5027" w:rsidRPr="00042C74">
          <w:rPr>
            <w:rFonts w:eastAsiaTheme="minorEastAsia" w:cstheme="minorBidi"/>
            <w:noProof/>
            <w:snapToGrid/>
            <w:sz w:val="22"/>
            <w:szCs w:val="22"/>
            <w:lang w:eastAsia="en-AU"/>
          </w:rPr>
          <w:tab/>
        </w:r>
        <w:r w:rsidR="007E5027" w:rsidRPr="00042C74">
          <w:rPr>
            <w:rStyle w:val="Hyperlink"/>
            <w:noProof/>
            <w:color w:val="auto"/>
          </w:rPr>
          <w:t>Appendix A Detailed literature review</w:t>
        </w:r>
        <w:r w:rsidR="007E5027" w:rsidRPr="00042C74">
          <w:rPr>
            <w:noProof/>
            <w:webHidden/>
          </w:rPr>
          <w:tab/>
        </w:r>
        <w:r w:rsidR="007E5027" w:rsidRPr="00042C74">
          <w:rPr>
            <w:noProof/>
            <w:webHidden/>
          </w:rPr>
          <w:fldChar w:fldCharType="begin"/>
        </w:r>
        <w:r w:rsidR="007E5027" w:rsidRPr="00042C74">
          <w:rPr>
            <w:noProof/>
            <w:webHidden/>
          </w:rPr>
          <w:instrText xml:space="preserve"> PAGEREF _Toc135665567 \h </w:instrText>
        </w:r>
        <w:r w:rsidR="007E5027" w:rsidRPr="00042C74">
          <w:rPr>
            <w:noProof/>
            <w:webHidden/>
          </w:rPr>
        </w:r>
        <w:r w:rsidR="007E5027" w:rsidRPr="00042C74">
          <w:rPr>
            <w:noProof/>
            <w:webHidden/>
          </w:rPr>
          <w:fldChar w:fldCharType="separate"/>
        </w:r>
        <w:r w:rsidR="004F7112">
          <w:rPr>
            <w:noProof/>
            <w:webHidden/>
          </w:rPr>
          <w:t>28</w:t>
        </w:r>
        <w:r w:rsidR="007E5027" w:rsidRPr="00042C74">
          <w:rPr>
            <w:noProof/>
            <w:webHidden/>
          </w:rPr>
          <w:fldChar w:fldCharType="end"/>
        </w:r>
      </w:hyperlink>
    </w:p>
    <w:p w14:paraId="196C69EA" w14:textId="25F0792A" w:rsidR="007E5027" w:rsidRPr="00042C74" w:rsidRDefault="00747A2B">
      <w:pPr>
        <w:pStyle w:val="TOC2"/>
        <w:rPr>
          <w:rFonts w:eastAsiaTheme="minorEastAsia" w:cstheme="minorBidi"/>
          <w:noProof/>
          <w:snapToGrid/>
          <w:sz w:val="22"/>
          <w:szCs w:val="22"/>
          <w:lang w:eastAsia="en-AU"/>
        </w:rPr>
      </w:pPr>
      <w:hyperlink w:anchor="_Toc135665568" w:history="1">
        <w:r w:rsidR="007E5027" w:rsidRPr="00042C74">
          <w:rPr>
            <w:rStyle w:val="Hyperlink"/>
            <w:noProof/>
            <w:color w:val="auto"/>
          </w:rPr>
          <w:t>7</w:t>
        </w:r>
        <w:r w:rsidR="007E5027" w:rsidRPr="00042C74">
          <w:rPr>
            <w:rFonts w:eastAsiaTheme="minorEastAsia" w:cstheme="minorBidi"/>
            <w:noProof/>
            <w:snapToGrid/>
            <w:sz w:val="22"/>
            <w:szCs w:val="22"/>
            <w:lang w:eastAsia="en-AU"/>
          </w:rPr>
          <w:tab/>
        </w:r>
        <w:r w:rsidR="007E5027" w:rsidRPr="00042C74">
          <w:rPr>
            <w:rStyle w:val="Hyperlink"/>
            <w:noProof/>
            <w:color w:val="auto"/>
          </w:rPr>
          <w:t>Appendix B Stakeholder register</w:t>
        </w:r>
        <w:r w:rsidR="007E5027" w:rsidRPr="00042C74">
          <w:rPr>
            <w:noProof/>
            <w:webHidden/>
          </w:rPr>
          <w:tab/>
        </w:r>
        <w:r w:rsidR="007E5027" w:rsidRPr="00042C74">
          <w:rPr>
            <w:noProof/>
            <w:webHidden/>
          </w:rPr>
          <w:fldChar w:fldCharType="begin"/>
        </w:r>
        <w:r w:rsidR="007E5027" w:rsidRPr="00042C74">
          <w:rPr>
            <w:noProof/>
            <w:webHidden/>
          </w:rPr>
          <w:instrText xml:space="preserve"> PAGEREF _Toc135665568 \h </w:instrText>
        </w:r>
        <w:r w:rsidR="007E5027" w:rsidRPr="00042C74">
          <w:rPr>
            <w:noProof/>
            <w:webHidden/>
          </w:rPr>
        </w:r>
        <w:r w:rsidR="007E5027" w:rsidRPr="00042C74">
          <w:rPr>
            <w:noProof/>
            <w:webHidden/>
          </w:rPr>
          <w:fldChar w:fldCharType="separate"/>
        </w:r>
        <w:r w:rsidR="004F7112">
          <w:rPr>
            <w:noProof/>
            <w:webHidden/>
          </w:rPr>
          <w:t>32</w:t>
        </w:r>
        <w:r w:rsidR="007E5027" w:rsidRPr="00042C74">
          <w:rPr>
            <w:noProof/>
            <w:webHidden/>
          </w:rPr>
          <w:fldChar w:fldCharType="end"/>
        </w:r>
      </w:hyperlink>
    </w:p>
    <w:p w14:paraId="1CF6BBC7" w14:textId="6F27F7F1" w:rsidR="00245C02" w:rsidRPr="00042C74" w:rsidRDefault="007A3339" w:rsidP="00245C02">
      <w:pPr>
        <w:pStyle w:val="PwCNormal"/>
        <w:numPr>
          <w:ilvl w:val="0"/>
          <w:numId w:val="0"/>
        </w:numPr>
        <w:kinsoku/>
        <w:overflowPunct/>
        <w:autoSpaceDE/>
        <w:autoSpaceDN/>
        <w:adjustRightInd/>
        <w:snapToGrid/>
        <w:rPr>
          <w:color w:val="auto"/>
        </w:rPr>
      </w:pPr>
      <w:r w:rsidRPr="00042C74">
        <w:rPr>
          <w:color w:val="auto"/>
          <w:sz w:val="24"/>
        </w:rPr>
        <w:fldChar w:fldCharType="end"/>
      </w:r>
    </w:p>
    <w:p w14:paraId="408E71D9" w14:textId="77777777" w:rsidR="004F0878" w:rsidRPr="006842FF" w:rsidRDefault="004F0878" w:rsidP="00E006EC">
      <w:pPr>
        <w:pStyle w:val="PwCNormal"/>
        <w:sectPr w:rsidR="004F0878" w:rsidRPr="006842FF" w:rsidSect="004259D5">
          <w:headerReference w:type="even" r:id="rId16"/>
          <w:headerReference w:type="default" r:id="rId17"/>
          <w:footerReference w:type="even" r:id="rId18"/>
          <w:footerReference w:type="default" r:id="rId19"/>
          <w:headerReference w:type="first" r:id="rId20"/>
          <w:footerReference w:type="first" r:id="rId21"/>
          <w:pgSz w:w="11907" w:h="16840" w:code="9"/>
          <w:pgMar w:top="1588" w:right="1021" w:bottom="1418" w:left="2155" w:header="567" w:footer="567" w:gutter="0"/>
          <w:pgNumType w:fmt="lowerRoman" w:start="1"/>
          <w:cols w:space="720"/>
          <w:titlePg/>
          <w:docGrid w:linePitch="286"/>
        </w:sectPr>
      </w:pPr>
    </w:p>
    <w:p w14:paraId="33B26048" w14:textId="4A432228" w:rsidR="00247954" w:rsidRPr="006842FF" w:rsidRDefault="000E7E78" w:rsidP="00957317">
      <w:pPr>
        <w:pStyle w:val="Headings1"/>
      </w:pPr>
      <w:bookmarkStart w:id="5" w:name="_Toc135665562"/>
      <w:r w:rsidRPr="00957317">
        <w:lastRenderedPageBreak/>
        <w:t>Executive</w:t>
      </w:r>
      <w:r>
        <w:t xml:space="preserve"> summary</w:t>
      </w:r>
      <w:bookmarkEnd w:id="5"/>
    </w:p>
    <w:p w14:paraId="2A0F707D" w14:textId="5CEC6756" w:rsidR="000E7E78" w:rsidRPr="000E7E78" w:rsidRDefault="000E7E78" w:rsidP="00836275">
      <w:pPr>
        <w:pStyle w:val="PwCNormal"/>
        <w:rPr>
          <w:rFonts w:ascii="Times New Roman" w:hAnsi="Times New Roman" w:cs="Times New Roman"/>
          <w:snapToGrid/>
          <w:sz w:val="24"/>
          <w:szCs w:val="24"/>
          <w:lang w:eastAsia="en-AU"/>
        </w:rPr>
      </w:pPr>
      <w:r w:rsidRPr="000E7E78">
        <w:rPr>
          <w:snapToGrid/>
          <w:lang w:eastAsia="en-AU"/>
        </w:rPr>
        <w:t>Vocational Education and Training (VET) is an integral part of the secondary education system, with VET Delivered to Secondary Student (VETDSS) programs providing school students with the opportunity to engage in vocational learning and work towards attaining a nationally recognised VET qualification. However, access to high quality VETDSS programs can vary depending on where a student is located, and students in regional</w:t>
      </w:r>
      <w:r w:rsidR="002F7E09">
        <w:rPr>
          <w:snapToGrid/>
          <w:lang w:eastAsia="en-AU"/>
        </w:rPr>
        <w:t>, rural,</w:t>
      </w:r>
      <w:r w:rsidRPr="000E7E78">
        <w:rPr>
          <w:snapToGrid/>
          <w:lang w:eastAsia="en-AU"/>
        </w:rPr>
        <w:t xml:space="preserve"> and remote (RRR) areas are often identified as having more limited opportunities than their metropolitan counterparts. </w:t>
      </w:r>
    </w:p>
    <w:p w14:paraId="2D5B3E35" w14:textId="08FE8AB7" w:rsidR="000E7E78" w:rsidRPr="000E7E78" w:rsidRDefault="000E7E78" w:rsidP="00836275">
      <w:pPr>
        <w:pStyle w:val="PwCNormal"/>
        <w:rPr>
          <w:rFonts w:ascii="Times New Roman" w:hAnsi="Times New Roman" w:cs="Times New Roman"/>
          <w:snapToGrid/>
          <w:sz w:val="24"/>
          <w:szCs w:val="24"/>
          <w:lang w:eastAsia="en-AU"/>
        </w:rPr>
      </w:pPr>
      <w:r w:rsidRPr="000E7E78">
        <w:rPr>
          <w:snapToGrid/>
          <w:lang w:eastAsia="en-AU"/>
        </w:rPr>
        <w:t xml:space="preserve">As noted in the </w:t>
      </w:r>
      <w:r w:rsidRPr="000E7E78">
        <w:rPr>
          <w:i/>
          <w:iCs/>
          <w:snapToGrid/>
          <w:lang w:eastAsia="en-AU"/>
        </w:rPr>
        <w:t>Napthine Review</w:t>
      </w:r>
      <w:r w:rsidRPr="000E7E78">
        <w:rPr>
          <w:snapToGrid/>
          <w:lang w:eastAsia="en-AU"/>
        </w:rPr>
        <w:t>,</w:t>
      </w:r>
      <w:r w:rsidR="008E23A2">
        <w:rPr>
          <w:rStyle w:val="FootnoteReference"/>
          <w:rFonts w:ascii="Arial" w:hAnsi="Arial"/>
          <w:snapToGrid/>
          <w:color w:val="000000"/>
          <w:lang w:eastAsia="en-AU"/>
        </w:rPr>
        <w:footnoteReference w:id="2"/>
      </w:r>
      <w:r w:rsidRPr="000E7E78">
        <w:rPr>
          <w:snapToGrid/>
          <w:lang w:eastAsia="en-AU"/>
        </w:rPr>
        <w:t xml:space="preserve"> there is strong engagement with VET programs in many RRR areas. In fact, attainment rates up to and including Certificate III level qualifications in these areas often surpass those in metropolitan locations. For school students, VETDSS programs with a strong link to local industry can provide a clear pathway into further education, training and/or employment. Ensuring high quality and appropriate scope of VETDSS opportunities in these areas is critical.</w:t>
      </w:r>
    </w:p>
    <w:p w14:paraId="206E4615" w14:textId="28C74A20" w:rsidR="000E7E78" w:rsidRPr="000E7E78" w:rsidRDefault="000E7E78" w:rsidP="00836275">
      <w:pPr>
        <w:pStyle w:val="PwCNormal"/>
        <w:rPr>
          <w:rFonts w:ascii="Times New Roman" w:hAnsi="Times New Roman" w:cs="Times New Roman"/>
          <w:snapToGrid/>
          <w:sz w:val="24"/>
          <w:szCs w:val="24"/>
          <w:lang w:eastAsia="en-AU"/>
        </w:rPr>
      </w:pPr>
      <w:r w:rsidRPr="000E7E78">
        <w:rPr>
          <w:snapToGrid/>
          <w:lang w:eastAsia="en-AU"/>
        </w:rPr>
        <w:t>This report builds an understanding of the current landscape for VETDSS in RRR areas and seeks to develop an evidence base of the delivery models, challenges</w:t>
      </w:r>
      <w:r w:rsidR="002F7E09">
        <w:rPr>
          <w:snapToGrid/>
          <w:lang w:eastAsia="en-AU"/>
        </w:rPr>
        <w:t>,</w:t>
      </w:r>
      <w:r w:rsidRPr="000E7E78">
        <w:rPr>
          <w:snapToGrid/>
          <w:lang w:eastAsia="en-AU"/>
        </w:rPr>
        <w:t xml:space="preserve"> and strengths of these programs. It is intended that this evidence base provides a starting point to address Recommendation 4 of the </w:t>
      </w:r>
      <w:r w:rsidRPr="000E7E78">
        <w:rPr>
          <w:i/>
          <w:iCs/>
          <w:snapToGrid/>
          <w:lang w:eastAsia="en-AU"/>
        </w:rPr>
        <w:t>Napthine Review</w:t>
      </w:r>
      <w:r w:rsidRPr="000E7E78">
        <w:rPr>
          <w:snapToGrid/>
          <w:lang w:eastAsia="en-AU"/>
        </w:rPr>
        <w:t>: “Build aspiration, improve career advice and strengthen RRR schools to better prepare RRR students for success by: expanding access to high quality VET programs in RRR schools.” In seeking to do this, the report addresses the following areas:</w:t>
      </w:r>
    </w:p>
    <w:p w14:paraId="41834A67" w14:textId="77777777" w:rsidR="000E7E78" w:rsidRPr="000E7E78" w:rsidRDefault="000E7E78" w:rsidP="00836275">
      <w:pPr>
        <w:pStyle w:val="PwCNormal"/>
        <w:rPr>
          <w:rFonts w:ascii="Times New Roman" w:hAnsi="Times New Roman" w:cs="Times New Roman"/>
          <w:snapToGrid/>
          <w:sz w:val="24"/>
          <w:szCs w:val="24"/>
          <w:lang w:eastAsia="en-AU"/>
        </w:rPr>
      </w:pPr>
      <w:r w:rsidRPr="000E7E78">
        <w:rPr>
          <w:b/>
          <w:bCs/>
          <w:snapToGrid/>
          <w:lang w:eastAsia="en-AU"/>
        </w:rPr>
        <w:t xml:space="preserve">The current state of VETDSS in RRR areas: </w:t>
      </w:r>
      <w:r w:rsidRPr="000E7E78">
        <w:rPr>
          <w:snapToGrid/>
          <w:lang w:eastAsia="en-AU"/>
        </w:rPr>
        <w:t>The report summarises the current arrangements for VET programs in these areas, including the different delivery models and analysis of the similarities and differences across jurisdictions and school sectors. Analysis of current arrangements led to the following findings: </w:t>
      </w:r>
    </w:p>
    <w:p w14:paraId="64CA22CA" w14:textId="77777777" w:rsidR="000E7E78" w:rsidRPr="000E7E78" w:rsidRDefault="000E7E78" w:rsidP="00836275">
      <w:pPr>
        <w:pStyle w:val="ListBullet"/>
        <w:rPr>
          <w:snapToGrid/>
          <w:lang w:eastAsia="en-AU"/>
        </w:rPr>
      </w:pPr>
      <w:r w:rsidRPr="000E7E78">
        <w:rPr>
          <w:snapToGrid/>
          <w:lang w:eastAsia="en-AU"/>
        </w:rPr>
        <w:t xml:space="preserve">According to the National Centre for Vocational Education Research (NCVER), approximately 30% of students completing VET in Schools programs </w:t>
      </w:r>
      <w:proofErr w:type="gramStart"/>
      <w:r w:rsidRPr="000E7E78">
        <w:rPr>
          <w:snapToGrid/>
          <w:lang w:eastAsia="en-AU"/>
        </w:rPr>
        <w:t>are located in</w:t>
      </w:r>
      <w:proofErr w:type="gramEnd"/>
      <w:r w:rsidRPr="000E7E78">
        <w:rPr>
          <w:snapToGrid/>
          <w:lang w:eastAsia="en-AU"/>
        </w:rPr>
        <w:t xml:space="preserve"> RRR Australia. </w:t>
      </w:r>
    </w:p>
    <w:p w14:paraId="39A58343" w14:textId="77777777" w:rsidR="000E7E78" w:rsidRPr="000E7E78" w:rsidRDefault="000E7E78" w:rsidP="00836275">
      <w:pPr>
        <w:pStyle w:val="ListBullet"/>
        <w:rPr>
          <w:snapToGrid/>
          <w:lang w:eastAsia="en-AU"/>
        </w:rPr>
      </w:pPr>
      <w:r w:rsidRPr="000E7E78">
        <w:rPr>
          <w:snapToGrid/>
          <w:lang w:eastAsia="en-AU"/>
        </w:rPr>
        <w:t>There is no one dominant delivery model for VETDSS in RRR areas. Rather, the delivery model used within a particular state or territory is driven by their local circumstances. </w:t>
      </w:r>
    </w:p>
    <w:p w14:paraId="1DA9800D" w14:textId="77777777" w:rsidR="000E7E78" w:rsidRPr="000E7E78" w:rsidRDefault="000E7E78" w:rsidP="00836275">
      <w:pPr>
        <w:pStyle w:val="ListBullet"/>
        <w:rPr>
          <w:snapToGrid/>
          <w:lang w:eastAsia="en-AU"/>
        </w:rPr>
      </w:pPr>
      <w:r w:rsidRPr="000E7E78">
        <w:rPr>
          <w:snapToGrid/>
          <w:lang w:eastAsia="en-AU"/>
        </w:rPr>
        <w:t>Some jurisdictions have policies relating to the delivery of VET in RRR areas, including South Australia and Tasmania.</w:t>
      </w:r>
    </w:p>
    <w:p w14:paraId="0AA23CFB" w14:textId="77777777" w:rsidR="000E7E78" w:rsidRPr="000E7E78" w:rsidRDefault="000E7E78" w:rsidP="00836275">
      <w:pPr>
        <w:pStyle w:val="ListBullet"/>
        <w:rPr>
          <w:snapToGrid/>
          <w:lang w:eastAsia="en-AU"/>
        </w:rPr>
      </w:pPr>
      <w:r w:rsidRPr="000E7E78">
        <w:rPr>
          <w:snapToGrid/>
          <w:lang w:eastAsia="en-AU"/>
        </w:rPr>
        <w:t>Stakeholders highlighted the differences between jurisdictions regarding RRR status. In some states, a regional city is 115 kilometres from a metropolitan city (e.g. Ballarat in Victoria) and in other states, a regional city could be as far as 415 kilometres from a metropolitan city (e.g. Geraldton in Western Australia). </w:t>
      </w:r>
    </w:p>
    <w:p w14:paraId="0D0A1CE3" w14:textId="77777777" w:rsidR="000E7E78" w:rsidRPr="000E7E78" w:rsidRDefault="000E7E78" w:rsidP="00836275">
      <w:pPr>
        <w:pStyle w:val="ListBullet"/>
        <w:rPr>
          <w:snapToGrid/>
          <w:lang w:eastAsia="en-AU"/>
        </w:rPr>
      </w:pPr>
      <w:r w:rsidRPr="000E7E78">
        <w:rPr>
          <w:snapToGrid/>
          <w:lang w:eastAsia="en-AU"/>
        </w:rPr>
        <w:t>In some jurisdictions, including Queensland and Victoria, schools in RRR areas reported collaboration across the three school sectors. </w:t>
      </w:r>
    </w:p>
    <w:p w14:paraId="5802F0AD" w14:textId="77777777" w:rsidR="000E7E78" w:rsidRPr="000E7E78" w:rsidRDefault="000E7E78" w:rsidP="00836275">
      <w:pPr>
        <w:pStyle w:val="ListBullet"/>
        <w:rPr>
          <w:snapToGrid/>
          <w:lang w:eastAsia="en-AU"/>
        </w:rPr>
      </w:pPr>
      <w:r w:rsidRPr="000E7E78">
        <w:rPr>
          <w:snapToGrid/>
          <w:lang w:eastAsia="en-AU"/>
        </w:rPr>
        <w:t>Schools in RRR areas may use online learning for some components of their VETDSS program, as they may be too geographically distant to access face-to-face learning opportunities. </w:t>
      </w:r>
    </w:p>
    <w:p w14:paraId="03D8103E" w14:textId="77777777" w:rsidR="000E7E78" w:rsidRPr="000E7E78" w:rsidRDefault="000E7E78" w:rsidP="00836275">
      <w:pPr>
        <w:pStyle w:val="PwCNormal"/>
        <w:rPr>
          <w:rFonts w:ascii="Times New Roman" w:hAnsi="Times New Roman" w:cs="Times New Roman"/>
          <w:snapToGrid/>
          <w:sz w:val="24"/>
          <w:szCs w:val="24"/>
          <w:lang w:eastAsia="en-AU"/>
        </w:rPr>
      </w:pPr>
      <w:r w:rsidRPr="000E7E78">
        <w:rPr>
          <w:b/>
          <w:bCs/>
          <w:snapToGrid/>
          <w:lang w:eastAsia="en-AU"/>
        </w:rPr>
        <w:t xml:space="preserve">The challenges of delivery of high quality VETDSS in RRR areas: </w:t>
      </w:r>
      <w:r w:rsidRPr="000E7E78">
        <w:rPr>
          <w:snapToGrid/>
          <w:lang w:eastAsia="en-AU"/>
        </w:rPr>
        <w:t>Through extensive stakeholder consultation across the jurisdictions and school sectors, an evidence base of the key challenges and barriers facing those in RRR areas was built. This section details the following findings:</w:t>
      </w:r>
    </w:p>
    <w:p w14:paraId="12F3C383" w14:textId="77777777" w:rsidR="000E7E78" w:rsidRPr="000E7E78" w:rsidRDefault="000E7E78" w:rsidP="00836275">
      <w:pPr>
        <w:pStyle w:val="ListBullet"/>
        <w:rPr>
          <w:snapToGrid/>
          <w:lang w:eastAsia="en-AU"/>
        </w:rPr>
      </w:pPr>
      <w:r w:rsidRPr="000E7E78">
        <w:rPr>
          <w:snapToGrid/>
          <w:lang w:eastAsia="en-AU"/>
        </w:rPr>
        <w:t>The challenges experienced by all stakeholders in delivering high quality VETDSS are amplified in RRR settings.</w:t>
      </w:r>
    </w:p>
    <w:p w14:paraId="2CA039C7" w14:textId="77777777" w:rsidR="000E7E78" w:rsidRPr="000E7E78" w:rsidRDefault="000E7E78" w:rsidP="00836275">
      <w:pPr>
        <w:pStyle w:val="ListBullet"/>
        <w:rPr>
          <w:snapToGrid/>
          <w:lang w:eastAsia="en-AU"/>
        </w:rPr>
      </w:pPr>
      <w:r w:rsidRPr="000E7E78">
        <w:rPr>
          <w:snapToGrid/>
          <w:lang w:eastAsia="en-AU"/>
        </w:rPr>
        <w:t>Access to qualified trainers and assessors was reported by most stakeholders as a significant challenge. </w:t>
      </w:r>
    </w:p>
    <w:p w14:paraId="19D5622F" w14:textId="77777777" w:rsidR="000E7E78" w:rsidRPr="000E7E78" w:rsidRDefault="000E7E78" w:rsidP="00836275">
      <w:pPr>
        <w:pStyle w:val="ListBullet"/>
        <w:rPr>
          <w:snapToGrid/>
          <w:lang w:eastAsia="en-AU"/>
        </w:rPr>
      </w:pPr>
      <w:r w:rsidRPr="000E7E78">
        <w:rPr>
          <w:snapToGrid/>
          <w:lang w:eastAsia="en-AU"/>
        </w:rPr>
        <w:t>Stakeholders consistently raised lack of funding as a challenge of VETDSS in RRR areas.</w:t>
      </w:r>
    </w:p>
    <w:p w14:paraId="2A246537" w14:textId="77777777" w:rsidR="000E7E78" w:rsidRPr="000E7E78" w:rsidRDefault="000E7E78" w:rsidP="00836275">
      <w:pPr>
        <w:pStyle w:val="ListBullet"/>
        <w:rPr>
          <w:snapToGrid/>
          <w:lang w:eastAsia="en-AU"/>
        </w:rPr>
      </w:pPr>
      <w:r w:rsidRPr="000E7E78">
        <w:rPr>
          <w:snapToGrid/>
          <w:lang w:eastAsia="en-AU"/>
        </w:rPr>
        <w:t>Because of their locations, some stakeholders reported challenges with geographical access to VET programs. </w:t>
      </w:r>
    </w:p>
    <w:p w14:paraId="514BB50A" w14:textId="77777777" w:rsidR="000E7E78" w:rsidRPr="000E7E78" w:rsidRDefault="000E7E78" w:rsidP="00836275">
      <w:pPr>
        <w:pStyle w:val="ListBullet"/>
        <w:rPr>
          <w:snapToGrid/>
          <w:lang w:eastAsia="en-AU"/>
        </w:rPr>
      </w:pPr>
      <w:r w:rsidRPr="000E7E78">
        <w:rPr>
          <w:snapToGrid/>
          <w:lang w:eastAsia="en-AU"/>
        </w:rPr>
        <w:t>In some areas, there are insufficient student numbers to form classes. </w:t>
      </w:r>
    </w:p>
    <w:p w14:paraId="606D141A" w14:textId="77777777" w:rsidR="000E7E78" w:rsidRPr="000E7E78" w:rsidRDefault="000E7E78" w:rsidP="00836275">
      <w:pPr>
        <w:pStyle w:val="ListBullet"/>
        <w:rPr>
          <w:snapToGrid/>
          <w:lang w:eastAsia="en-AU"/>
        </w:rPr>
      </w:pPr>
      <w:r w:rsidRPr="000E7E78">
        <w:rPr>
          <w:snapToGrid/>
          <w:lang w:eastAsia="en-AU"/>
        </w:rPr>
        <w:lastRenderedPageBreak/>
        <w:t>Stakeholders suggested that some delivery arrangements, for example, solely online learning, may restrict the delivery of high quality VETDSS in RRR settings as students lack the face-to-face connection. </w:t>
      </w:r>
    </w:p>
    <w:p w14:paraId="53A9109F" w14:textId="77777777" w:rsidR="000E7E78" w:rsidRPr="000E7E78" w:rsidRDefault="000E7E78" w:rsidP="00836275">
      <w:pPr>
        <w:pStyle w:val="ListBullet"/>
        <w:rPr>
          <w:snapToGrid/>
          <w:lang w:eastAsia="en-AU"/>
        </w:rPr>
      </w:pPr>
      <w:r w:rsidRPr="000E7E78">
        <w:rPr>
          <w:snapToGrid/>
          <w:lang w:eastAsia="en-AU"/>
        </w:rPr>
        <w:t>Stakeholders noted challenges with equipment and resources, including internet access in RRR settings. </w:t>
      </w:r>
    </w:p>
    <w:p w14:paraId="17EF822D" w14:textId="77777777" w:rsidR="000E7E78" w:rsidRPr="000E7E78" w:rsidRDefault="000E7E78" w:rsidP="00836275">
      <w:pPr>
        <w:pStyle w:val="ListBullet"/>
        <w:rPr>
          <w:snapToGrid/>
          <w:lang w:eastAsia="en-AU"/>
        </w:rPr>
      </w:pPr>
      <w:r w:rsidRPr="000E7E78">
        <w:rPr>
          <w:snapToGrid/>
          <w:lang w:eastAsia="en-AU"/>
        </w:rPr>
        <w:t>Some stakeholders suggested that gaining industry experience can be challenging in RRR settings, due to the limited number of work placement opportunities.</w:t>
      </w:r>
    </w:p>
    <w:p w14:paraId="5A61A6BA" w14:textId="77777777" w:rsidR="000E7E78" w:rsidRPr="000E7E78" w:rsidRDefault="000E7E78" w:rsidP="00836275">
      <w:pPr>
        <w:pStyle w:val="PwCNormal"/>
        <w:rPr>
          <w:rFonts w:ascii="Times New Roman" w:hAnsi="Times New Roman" w:cs="Times New Roman"/>
          <w:snapToGrid/>
          <w:sz w:val="24"/>
          <w:szCs w:val="24"/>
          <w:lang w:eastAsia="en-AU"/>
        </w:rPr>
      </w:pPr>
      <w:r w:rsidRPr="000E7E78">
        <w:rPr>
          <w:b/>
          <w:bCs/>
          <w:snapToGrid/>
          <w:lang w:eastAsia="en-AU"/>
        </w:rPr>
        <w:t xml:space="preserve">The strengths and enablers of good practice of VETDSS in RRR areas: </w:t>
      </w:r>
      <w:r w:rsidRPr="000E7E78">
        <w:rPr>
          <w:snapToGrid/>
          <w:lang w:eastAsia="en-AU"/>
        </w:rPr>
        <w:t>In addition to understanding the key barriers, this report seeks to highlight the strengths of RRR VETDSS programs and identify examples of good practice that could be replicated. This section details the following findings: </w:t>
      </w:r>
    </w:p>
    <w:p w14:paraId="6F46181E" w14:textId="77777777" w:rsidR="000E7E78" w:rsidRPr="000E7E78" w:rsidRDefault="000E7E78" w:rsidP="00836275">
      <w:pPr>
        <w:pStyle w:val="ListBullet"/>
        <w:rPr>
          <w:snapToGrid/>
          <w:lang w:eastAsia="en-AU"/>
        </w:rPr>
      </w:pPr>
      <w:r w:rsidRPr="000E7E78">
        <w:rPr>
          <w:snapToGrid/>
          <w:lang w:eastAsia="en-AU"/>
        </w:rPr>
        <w:t>Stakeholders agreed that VETDSS programs work well in RRR areas, as there are typically stronger post-school pathways, given the links to the local economy, compared to metropolitan areas.</w:t>
      </w:r>
    </w:p>
    <w:p w14:paraId="6F181BF9" w14:textId="77777777" w:rsidR="000E7E78" w:rsidRPr="000E7E78" w:rsidRDefault="000E7E78" w:rsidP="00836275">
      <w:pPr>
        <w:pStyle w:val="ListBullet"/>
        <w:rPr>
          <w:snapToGrid/>
          <w:lang w:eastAsia="en-AU"/>
        </w:rPr>
      </w:pPr>
      <w:r w:rsidRPr="000E7E78">
        <w:rPr>
          <w:snapToGrid/>
          <w:lang w:eastAsia="en-AU"/>
        </w:rPr>
        <w:t>Generally, stakeholders commented that the perception of VETDSS is positive in RRR areas. </w:t>
      </w:r>
    </w:p>
    <w:p w14:paraId="0AF62103" w14:textId="77777777" w:rsidR="000E7E78" w:rsidRPr="000E7E78" w:rsidRDefault="000E7E78" w:rsidP="00836275">
      <w:pPr>
        <w:pStyle w:val="ListBullet"/>
        <w:rPr>
          <w:snapToGrid/>
          <w:lang w:eastAsia="en-AU"/>
        </w:rPr>
      </w:pPr>
      <w:r w:rsidRPr="000E7E78">
        <w:rPr>
          <w:snapToGrid/>
          <w:lang w:eastAsia="en-AU"/>
        </w:rPr>
        <w:t>Stakeholders noted that the ability to build strong relationships is essential to high quality VETDSS programs, especially in RRR areas. </w:t>
      </w:r>
    </w:p>
    <w:p w14:paraId="1F5D25D1" w14:textId="77777777" w:rsidR="000E7E78" w:rsidRPr="000E7E78" w:rsidRDefault="000E7E78" w:rsidP="00836275">
      <w:pPr>
        <w:pStyle w:val="ListBullet"/>
        <w:rPr>
          <w:snapToGrid/>
          <w:lang w:eastAsia="en-AU"/>
        </w:rPr>
      </w:pPr>
      <w:r w:rsidRPr="000E7E78">
        <w:rPr>
          <w:snapToGrid/>
          <w:lang w:eastAsia="en-AU"/>
        </w:rPr>
        <w:t>Some innovative delivery models have been employed to overcome barriers to quality delivery in RRR areas. </w:t>
      </w:r>
    </w:p>
    <w:p w14:paraId="53807F78" w14:textId="77777777" w:rsidR="000E7E78" w:rsidRPr="000E7E78" w:rsidRDefault="000E7E78" w:rsidP="00836275">
      <w:pPr>
        <w:pStyle w:val="PwCNormal"/>
        <w:rPr>
          <w:rFonts w:ascii="Times New Roman" w:hAnsi="Times New Roman" w:cs="Times New Roman"/>
          <w:snapToGrid/>
          <w:sz w:val="24"/>
          <w:szCs w:val="24"/>
          <w:lang w:eastAsia="en-AU"/>
        </w:rPr>
      </w:pPr>
      <w:r w:rsidRPr="000E7E78">
        <w:rPr>
          <w:b/>
          <w:bCs/>
          <w:snapToGrid/>
          <w:lang w:eastAsia="en-AU"/>
        </w:rPr>
        <w:t xml:space="preserve">Options for improving access to high quality VETDSS programs in RRR areas: </w:t>
      </w:r>
      <w:r w:rsidRPr="000E7E78">
        <w:rPr>
          <w:snapToGrid/>
          <w:lang w:eastAsia="en-AU"/>
        </w:rPr>
        <w:t>Based on the above analysis and findings, this report identifies options to improve and expand access to high quality VET programs in RRR schools. These options include: </w:t>
      </w:r>
    </w:p>
    <w:p w14:paraId="03A6EF72" w14:textId="77777777" w:rsidR="000E7E78" w:rsidRPr="000E7E78" w:rsidRDefault="000E7E78" w:rsidP="00836275">
      <w:pPr>
        <w:pStyle w:val="ListBullet"/>
        <w:rPr>
          <w:snapToGrid/>
          <w:lang w:eastAsia="en-AU"/>
        </w:rPr>
      </w:pPr>
      <w:r w:rsidRPr="000E7E78">
        <w:rPr>
          <w:snapToGrid/>
          <w:lang w:eastAsia="en-AU"/>
        </w:rPr>
        <w:t>Review minimum class number requirements and funding per student in RRR areas.</w:t>
      </w:r>
    </w:p>
    <w:p w14:paraId="363C9B84" w14:textId="77777777" w:rsidR="000E7E78" w:rsidRPr="000E7E78" w:rsidRDefault="000E7E78" w:rsidP="00836275">
      <w:pPr>
        <w:pStyle w:val="ListBullet"/>
        <w:rPr>
          <w:snapToGrid/>
          <w:lang w:eastAsia="en-AU"/>
        </w:rPr>
      </w:pPr>
      <w:r w:rsidRPr="000E7E78">
        <w:rPr>
          <w:snapToGrid/>
          <w:lang w:eastAsia="en-AU"/>
        </w:rPr>
        <w:t>Incentivise VET teachers to work in RRR areas to promote greater course options for students.</w:t>
      </w:r>
    </w:p>
    <w:p w14:paraId="4E26EC25" w14:textId="77777777" w:rsidR="000E7E78" w:rsidRPr="000E7E78" w:rsidRDefault="000E7E78" w:rsidP="00836275">
      <w:pPr>
        <w:pStyle w:val="ListBullet"/>
        <w:rPr>
          <w:snapToGrid/>
          <w:lang w:eastAsia="en-AU"/>
        </w:rPr>
      </w:pPr>
      <w:r w:rsidRPr="000E7E78">
        <w:rPr>
          <w:snapToGrid/>
          <w:lang w:eastAsia="en-AU"/>
        </w:rPr>
        <w:t>Implement virtual work placements to allow students in RRR areas to obtain work experience, even when geographically isolated.</w:t>
      </w:r>
    </w:p>
    <w:p w14:paraId="463E3570" w14:textId="77777777" w:rsidR="000E7E78" w:rsidRPr="000E7E78" w:rsidRDefault="000E7E78" w:rsidP="00836275">
      <w:pPr>
        <w:pStyle w:val="ListBullet"/>
        <w:rPr>
          <w:snapToGrid/>
          <w:lang w:eastAsia="en-AU"/>
        </w:rPr>
      </w:pPr>
      <w:r w:rsidRPr="000E7E78">
        <w:rPr>
          <w:snapToGrid/>
          <w:lang w:eastAsia="en-AU"/>
        </w:rPr>
        <w:t>Encourage collaboration to create economies of scale and communities of practice.</w:t>
      </w:r>
    </w:p>
    <w:p w14:paraId="5B94D60A" w14:textId="77777777" w:rsidR="000E7E78" w:rsidRPr="000E7E78" w:rsidRDefault="000E7E78" w:rsidP="00836275">
      <w:pPr>
        <w:pStyle w:val="ListBullet"/>
        <w:rPr>
          <w:snapToGrid/>
          <w:lang w:eastAsia="en-AU"/>
        </w:rPr>
      </w:pPr>
      <w:r w:rsidRPr="000E7E78">
        <w:rPr>
          <w:snapToGrid/>
          <w:lang w:eastAsia="en-AU"/>
        </w:rPr>
        <w:t>Promote access to stable internet connections.</w:t>
      </w:r>
    </w:p>
    <w:p w14:paraId="36EF20BF" w14:textId="77E41AFE" w:rsidR="002F6082" w:rsidRPr="00836275" w:rsidRDefault="000E7E78" w:rsidP="00836275">
      <w:pPr>
        <w:pStyle w:val="PwCNormal"/>
        <w:sectPr w:rsidR="002F6082" w:rsidRPr="00836275" w:rsidSect="004259D5">
          <w:headerReference w:type="even" r:id="rId22"/>
          <w:headerReference w:type="default" r:id="rId23"/>
          <w:footerReference w:type="even" r:id="rId24"/>
          <w:footerReference w:type="default" r:id="rId25"/>
          <w:headerReference w:type="first" r:id="rId26"/>
          <w:footerReference w:type="first" r:id="rId27"/>
          <w:pgSz w:w="11907" w:h="16840" w:code="9"/>
          <w:pgMar w:top="1588" w:right="1021" w:bottom="1418" w:left="1021" w:header="567" w:footer="567" w:gutter="0"/>
          <w:pgNumType w:start="1"/>
          <w:cols w:space="227"/>
          <w:titlePg/>
          <w:docGrid w:linePitch="360"/>
        </w:sectPr>
      </w:pPr>
      <w:r w:rsidRPr="00836275">
        <w:t xml:space="preserve">Please note, this report </w:t>
      </w:r>
      <w:proofErr w:type="gramStart"/>
      <w:r w:rsidRPr="00836275">
        <w:t>forms</w:t>
      </w:r>
      <w:proofErr w:type="gramEnd"/>
      <w:r w:rsidRPr="00836275">
        <w:t xml:space="preserve"> part 6 of a larger piece of work that seeks to improve the evidence base and understanding of VETDSS across Australia and school sectors. There are six streams of work within the broader project, outlined in the Objectives and purpose section below, and an individual report has been produced for each.</w:t>
      </w:r>
    </w:p>
    <w:p w14:paraId="0EC81DCD" w14:textId="07764EFE" w:rsidR="002F6082" w:rsidRPr="006842FF" w:rsidRDefault="000E7E78" w:rsidP="00E006EC">
      <w:pPr>
        <w:pStyle w:val="Heading2"/>
      </w:pPr>
      <w:bookmarkStart w:id="6" w:name="_Toc135665563"/>
      <w:r>
        <w:lastRenderedPageBreak/>
        <w:t>Objectives and purpose</w:t>
      </w:r>
      <w:bookmarkEnd w:id="6"/>
    </w:p>
    <w:p w14:paraId="0C8308A8" w14:textId="641DAF06" w:rsidR="000E7E78" w:rsidRPr="000E7E78" w:rsidRDefault="000E7E78" w:rsidP="00BB5FD4">
      <w:pPr>
        <w:pStyle w:val="PwCNormal"/>
        <w:rPr>
          <w:snapToGrid/>
          <w:lang w:eastAsia="en-AU"/>
        </w:rPr>
      </w:pPr>
      <w:r w:rsidRPr="000E7E78">
        <w:rPr>
          <w:snapToGrid/>
          <w:lang w:eastAsia="en-AU"/>
        </w:rPr>
        <w:t xml:space="preserve">PwC was engaged by the Department of </w:t>
      </w:r>
      <w:r w:rsidR="00780C5B">
        <w:rPr>
          <w:snapToGrid/>
          <w:lang w:eastAsia="en-AU"/>
        </w:rPr>
        <w:t xml:space="preserve">Education (formerly the Department of Education, </w:t>
      </w:r>
      <w:proofErr w:type="gramStart"/>
      <w:r w:rsidR="00780C5B">
        <w:rPr>
          <w:snapToGrid/>
          <w:lang w:eastAsia="en-AU"/>
        </w:rPr>
        <w:t>Skills</w:t>
      </w:r>
      <w:proofErr w:type="gramEnd"/>
      <w:r w:rsidR="00780C5B">
        <w:rPr>
          <w:snapToGrid/>
          <w:lang w:eastAsia="en-AU"/>
        </w:rPr>
        <w:t xml:space="preserve"> and Employment)</w:t>
      </w:r>
      <w:r w:rsidRPr="000E7E78">
        <w:rPr>
          <w:snapToGrid/>
          <w:lang w:eastAsia="en-AU"/>
        </w:rPr>
        <w:t xml:space="preserve"> to improve the VET Delivered to Secondary Students (VETDSS) evidence base and build support for quality reforms by gathering and analysing information on current approaches to VETDSS funding, delivery, data collection and policy. </w:t>
      </w:r>
    </w:p>
    <w:p w14:paraId="19EFCF8E" w14:textId="77777777" w:rsidR="000E7E78" w:rsidRPr="000E7E78" w:rsidRDefault="000E7E78" w:rsidP="00BB5FD4">
      <w:pPr>
        <w:pStyle w:val="PwCNormal"/>
        <w:rPr>
          <w:snapToGrid/>
          <w:lang w:eastAsia="en-AU"/>
        </w:rPr>
      </w:pPr>
      <w:r w:rsidRPr="000E7E78">
        <w:rPr>
          <w:snapToGrid/>
          <w:lang w:eastAsia="en-AU"/>
        </w:rPr>
        <w:t>The project has been divided into six key streams of work:</w:t>
      </w:r>
    </w:p>
    <w:p w14:paraId="1FFA28BE" w14:textId="77777777" w:rsidR="000E7E78" w:rsidRPr="000E7E78" w:rsidRDefault="000E7E78" w:rsidP="00BB5FD4">
      <w:pPr>
        <w:pStyle w:val="ListBullet"/>
        <w:rPr>
          <w:snapToGrid/>
          <w:lang w:eastAsia="en-AU"/>
        </w:rPr>
      </w:pPr>
      <w:r w:rsidRPr="000E7E78">
        <w:rPr>
          <w:snapToGrid/>
          <w:lang w:eastAsia="en-AU"/>
        </w:rPr>
        <w:t>Stream 1(a): Reviewing VETDSS data collection and reporting workflows across all states and territories and providing advice on merging the VET in Schools Collection and the National Provider Collection.</w:t>
      </w:r>
    </w:p>
    <w:p w14:paraId="5AF9D6AA" w14:textId="77777777" w:rsidR="000E7E78" w:rsidRPr="000E7E78" w:rsidRDefault="000E7E78" w:rsidP="00BB5FD4">
      <w:pPr>
        <w:pStyle w:val="ListBullet"/>
        <w:rPr>
          <w:snapToGrid/>
          <w:lang w:eastAsia="en-AU"/>
        </w:rPr>
      </w:pPr>
      <w:r w:rsidRPr="000E7E78">
        <w:rPr>
          <w:snapToGrid/>
          <w:lang w:eastAsia="en-AU"/>
        </w:rPr>
        <w:t>Stream 1(b): Reviewing data policies and processes governing submission to the National VET in Schools Collection and considering any technical and procedural barriers to the integration of the National VET in Schools Collection with the National VET Provider Collection.</w:t>
      </w:r>
    </w:p>
    <w:p w14:paraId="3DAD2933" w14:textId="77777777" w:rsidR="000E7E78" w:rsidRPr="000E7E78" w:rsidRDefault="000E7E78" w:rsidP="00BB5FD4">
      <w:pPr>
        <w:pStyle w:val="ListBullet"/>
        <w:rPr>
          <w:snapToGrid/>
          <w:lang w:eastAsia="en-AU"/>
        </w:rPr>
      </w:pPr>
      <w:r w:rsidRPr="000E7E78">
        <w:rPr>
          <w:snapToGrid/>
          <w:lang w:eastAsia="en-AU"/>
        </w:rPr>
        <w:t>Stream 2: Gathering insights on jurisdictional funding and delivery approaches. </w:t>
      </w:r>
    </w:p>
    <w:p w14:paraId="37126384" w14:textId="77777777" w:rsidR="000E7E78" w:rsidRPr="000E7E78" w:rsidRDefault="000E7E78" w:rsidP="00BB5FD4">
      <w:pPr>
        <w:pStyle w:val="ListBullet"/>
        <w:rPr>
          <w:snapToGrid/>
          <w:lang w:eastAsia="en-AU"/>
        </w:rPr>
      </w:pPr>
      <w:r w:rsidRPr="000E7E78">
        <w:rPr>
          <w:snapToGrid/>
          <w:lang w:eastAsia="en-AU"/>
        </w:rPr>
        <w:t xml:space="preserve">Stream 3: Reviewing the currency and relevance of the </w:t>
      </w:r>
      <w:r w:rsidRPr="000E7E78">
        <w:rPr>
          <w:i/>
          <w:iCs/>
          <w:snapToGrid/>
          <w:lang w:eastAsia="en-AU"/>
        </w:rPr>
        <w:t>Preparing Secondary Students for Work</w:t>
      </w:r>
      <w:r w:rsidRPr="000E7E78">
        <w:rPr>
          <w:snapToGrid/>
          <w:lang w:eastAsia="en-AU"/>
        </w:rPr>
        <w:t xml:space="preserve"> (</w:t>
      </w:r>
      <w:r w:rsidRPr="000E7E78">
        <w:rPr>
          <w:i/>
          <w:iCs/>
          <w:snapToGrid/>
          <w:lang w:eastAsia="en-AU"/>
        </w:rPr>
        <w:t>PSSfW</w:t>
      </w:r>
      <w:r w:rsidRPr="000E7E78">
        <w:rPr>
          <w:snapToGrid/>
          <w:lang w:eastAsia="en-AU"/>
        </w:rPr>
        <w:t>) framework.</w:t>
      </w:r>
    </w:p>
    <w:p w14:paraId="57809E8F" w14:textId="77777777" w:rsidR="000E7E78" w:rsidRPr="000E7E78" w:rsidRDefault="000E7E78" w:rsidP="00BB5FD4">
      <w:pPr>
        <w:pStyle w:val="ListBullet"/>
        <w:rPr>
          <w:snapToGrid/>
          <w:lang w:eastAsia="en-AU"/>
        </w:rPr>
      </w:pPr>
      <w:r w:rsidRPr="000E7E78">
        <w:rPr>
          <w:snapToGrid/>
          <w:lang w:eastAsia="en-AU"/>
        </w:rPr>
        <w:t>Stream 4: Collating evidence to support the development of guiding principles to promote the quality delivery of VETDSS programs. </w:t>
      </w:r>
    </w:p>
    <w:p w14:paraId="7C4FCB75" w14:textId="77777777" w:rsidR="000E7E78" w:rsidRPr="000E7E78" w:rsidRDefault="000E7E78" w:rsidP="00BB5FD4">
      <w:pPr>
        <w:pStyle w:val="ListBullet"/>
        <w:rPr>
          <w:snapToGrid/>
          <w:lang w:eastAsia="en-AU"/>
        </w:rPr>
      </w:pPr>
      <w:r w:rsidRPr="000E7E78">
        <w:rPr>
          <w:snapToGrid/>
          <w:lang w:eastAsia="en-AU"/>
        </w:rPr>
        <w:t>Stream 5: Exploring ways in which schools can employ qualified VET teachers to deliver VET on an ongoing basis across the respective jurisdictions and school sectors.</w:t>
      </w:r>
    </w:p>
    <w:p w14:paraId="1C3D3CD8" w14:textId="7D390DBF" w:rsidR="000E7E78" w:rsidRPr="000E7E78" w:rsidRDefault="000E7E78" w:rsidP="00BB5FD4">
      <w:pPr>
        <w:pStyle w:val="ListBullet"/>
        <w:rPr>
          <w:snapToGrid/>
          <w:lang w:eastAsia="en-AU"/>
        </w:rPr>
      </w:pPr>
      <w:r w:rsidRPr="000E7E78">
        <w:rPr>
          <w:snapToGrid/>
          <w:lang w:eastAsia="en-AU"/>
        </w:rPr>
        <w:t>Stream 6: Investigating the provision of VETDSS in regional, rural</w:t>
      </w:r>
      <w:r w:rsidR="002F7E09">
        <w:rPr>
          <w:snapToGrid/>
          <w:lang w:eastAsia="en-AU"/>
        </w:rPr>
        <w:t>,</w:t>
      </w:r>
      <w:r w:rsidRPr="000E7E78">
        <w:rPr>
          <w:snapToGrid/>
          <w:lang w:eastAsia="en-AU"/>
        </w:rPr>
        <w:t xml:space="preserve"> and remote (RRR) areas.</w:t>
      </w:r>
    </w:p>
    <w:p w14:paraId="7453EF53" w14:textId="77777777" w:rsidR="000E7E78" w:rsidRPr="000E7E78" w:rsidRDefault="000E7E78" w:rsidP="00BB5FD4">
      <w:pPr>
        <w:pStyle w:val="PwCNormal"/>
        <w:rPr>
          <w:rFonts w:ascii="Times New Roman" w:hAnsi="Times New Roman" w:cs="Times New Roman"/>
          <w:snapToGrid/>
          <w:sz w:val="24"/>
          <w:szCs w:val="24"/>
          <w:lang w:eastAsia="en-AU"/>
        </w:rPr>
      </w:pPr>
      <w:r w:rsidRPr="000E7E78">
        <w:rPr>
          <w:snapToGrid/>
          <w:lang w:eastAsia="en-AU"/>
        </w:rPr>
        <w:t>A separate report has been produced for each stream of work, with this report relating to stream 6.</w:t>
      </w:r>
    </w:p>
    <w:p w14:paraId="53114095" w14:textId="77777777" w:rsidR="000E7E78" w:rsidRPr="000E7E78" w:rsidRDefault="000E7E78" w:rsidP="00BB5FD4">
      <w:pPr>
        <w:pStyle w:val="PwCNormal"/>
        <w:rPr>
          <w:rFonts w:ascii="Times New Roman" w:hAnsi="Times New Roman" w:cs="Times New Roman"/>
          <w:snapToGrid/>
          <w:sz w:val="24"/>
          <w:szCs w:val="24"/>
          <w:lang w:eastAsia="en-AU"/>
        </w:rPr>
      </w:pPr>
      <w:r w:rsidRPr="000E7E78">
        <w:rPr>
          <w:snapToGrid/>
          <w:lang w:eastAsia="en-AU"/>
        </w:rPr>
        <w:t>The objective of this report is to outline a summary of key findings from stakeholder consultation and research relating to stream 6, with the report segmented into an exploration of:</w:t>
      </w:r>
    </w:p>
    <w:p w14:paraId="57E770AA" w14:textId="77777777" w:rsidR="000E7E78" w:rsidRPr="000E7E78" w:rsidRDefault="000E7E78" w:rsidP="00BB5FD4">
      <w:pPr>
        <w:pStyle w:val="ListBullet"/>
        <w:rPr>
          <w:snapToGrid/>
          <w:lang w:eastAsia="en-AU"/>
        </w:rPr>
      </w:pPr>
      <w:r w:rsidRPr="000E7E78">
        <w:rPr>
          <w:snapToGrid/>
          <w:lang w:eastAsia="en-AU"/>
        </w:rPr>
        <w:t>The current state of VETDSS in RRR areas.</w:t>
      </w:r>
    </w:p>
    <w:p w14:paraId="64DA101C" w14:textId="77777777" w:rsidR="000E7E78" w:rsidRPr="000E7E78" w:rsidRDefault="000E7E78" w:rsidP="00BB5FD4">
      <w:pPr>
        <w:pStyle w:val="ListBullet"/>
        <w:rPr>
          <w:snapToGrid/>
          <w:lang w:eastAsia="en-AU"/>
        </w:rPr>
      </w:pPr>
      <w:r w:rsidRPr="000E7E78">
        <w:rPr>
          <w:snapToGrid/>
          <w:lang w:eastAsia="en-AU"/>
        </w:rPr>
        <w:t>The challenges of delivery of high quality VETDSS in RRR areas.</w:t>
      </w:r>
    </w:p>
    <w:p w14:paraId="1CA8E0A9" w14:textId="77777777" w:rsidR="000E7E78" w:rsidRPr="000E7E78" w:rsidRDefault="000E7E78" w:rsidP="00BB5FD4">
      <w:pPr>
        <w:pStyle w:val="ListBullet"/>
        <w:rPr>
          <w:snapToGrid/>
          <w:lang w:eastAsia="en-AU"/>
        </w:rPr>
      </w:pPr>
      <w:r w:rsidRPr="000E7E78">
        <w:rPr>
          <w:snapToGrid/>
          <w:lang w:eastAsia="en-AU"/>
        </w:rPr>
        <w:t>The strengths and enablers of good practice of VETDSS in RRR areas.</w:t>
      </w:r>
    </w:p>
    <w:p w14:paraId="15BF68BF" w14:textId="77777777" w:rsidR="000E7E78" w:rsidRPr="000E7E78" w:rsidRDefault="000E7E78" w:rsidP="00BB5FD4">
      <w:pPr>
        <w:pStyle w:val="ListBullet"/>
        <w:rPr>
          <w:snapToGrid/>
          <w:lang w:eastAsia="en-AU"/>
        </w:rPr>
      </w:pPr>
      <w:r w:rsidRPr="000E7E78">
        <w:rPr>
          <w:snapToGrid/>
          <w:lang w:eastAsia="en-AU"/>
        </w:rPr>
        <w:t>Options for improving access to high quality VETDSS programs in RRR areas.</w:t>
      </w:r>
    </w:p>
    <w:p w14:paraId="6B222773" w14:textId="77777777" w:rsidR="000E7E78" w:rsidRPr="000E7E78" w:rsidRDefault="000E7E78" w:rsidP="00BB5FD4">
      <w:pPr>
        <w:pStyle w:val="PwCNormal"/>
        <w:rPr>
          <w:rFonts w:ascii="Times New Roman" w:hAnsi="Times New Roman" w:cs="Times New Roman"/>
          <w:snapToGrid/>
          <w:sz w:val="24"/>
          <w:szCs w:val="24"/>
          <w:lang w:eastAsia="en-AU"/>
        </w:rPr>
      </w:pPr>
      <w:r w:rsidRPr="000E7E78">
        <w:rPr>
          <w:snapToGrid/>
          <w:lang w:eastAsia="en-AU"/>
        </w:rPr>
        <w:t>The report is structured around these four topics, with an individual section on each discussing the key findings and insights from consultation and research. </w:t>
      </w:r>
    </w:p>
    <w:p w14:paraId="18504C3C" w14:textId="0293A25B" w:rsidR="000E7E78" w:rsidRPr="000E7E78" w:rsidRDefault="000E7E78" w:rsidP="00BB5FD4">
      <w:pPr>
        <w:pStyle w:val="Majorheading"/>
        <w:rPr>
          <w:rFonts w:ascii="Times New Roman" w:hAnsi="Times New Roman" w:cs="Times New Roman"/>
          <w:snapToGrid/>
          <w:lang w:eastAsia="en-AU"/>
        </w:rPr>
      </w:pPr>
      <w:r w:rsidRPr="000E7E78">
        <w:rPr>
          <w:snapToGrid/>
          <w:lang w:eastAsia="en-AU"/>
        </w:rPr>
        <w:t>Definition of regional</w:t>
      </w:r>
      <w:r w:rsidR="002F7E09">
        <w:rPr>
          <w:snapToGrid/>
          <w:lang w:eastAsia="en-AU"/>
        </w:rPr>
        <w:t>, rural,</w:t>
      </w:r>
      <w:r w:rsidRPr="000E7E78">
        <w:rPr>
          <w:snapToGrid/>
          <w:lang w:eastAsia="en-AU"/>
        </w:rPr>
        <w:t xml:space="preserve"> and remote </w:t>
      </w:r>
    </w:p>
    <w:p w14:paraId="5B894B2C" w14:textId="1B099BFF" w:rsidR="000E7E78" w:rsidRPr="000E7E78" w:rsidRDefault="000E7E78" w:rsidP="00BB5FD4">
      <w:pPr>
        <w:pStyle w:val="PwCNormal"/>
        <w:rPr>
          <w:rFonts w:ascii="Times New Roman" w:hAnsi="Times New Roman" w:cs="Times New Roman"/>
          <w:snapToGrid/>
          <w:sz w:val="24"/>
          <w:szCs w:val="24"/>
          <w:lang w:eastAsia="en-AU"/>
        </w:rPr>
      </w:pPr>
      <w:r w:rsidRPr="000E7E78">
        <w:rPr>
          <w:snapToGrid/>
          <w:lang w:eastAsia="en-AU"/>
        </w:rPr>
        <w:t xml:space="preserve">For the purposes of this stream of work, definitions of RRR follow those outlined in the </w:t>
      </w:r>
      <w:r w:rsidRPr="000E7E78">
        <w:rPr>
          <w:i/>
          <w:iCs/>
          <w:snapToGrid/>
          <w:lang w:eastAsia="en-AU"/>
        </w:rPr>
        <w:t>Napthine Review</w:t>
      </w:r>
      <w:r w:rsidRPr="000E7E78">
        <w:rPr>
          <w:snapToGrid/>
          <w:lang w:eastAsia="en-AU"/>
        </w:rPr>
        <w:t>. The term RRR is used to characterise non-metropolitan areas across Australia. Where the terms “regional” or “remote” are used, they are referring to the Australian Statistical Geography Standard’s (ASGS) classes of remoteness.</w:t>
      </w:r>
      <w:r w:rsidR="00117512">
        <w:rPr>
          <w:rStyle w:val="FootnoteReference"/>
          <w:snapToGrid/>
          <w:lang w:eastAsia="en-AU"/>
        </w:rPr>
        <w:footnoteReference w:id="3"/>
      </w:r>
      <w:r w:rsidRPr="000E7E78">
        <w:rPr>
          <w:snapToGrid/>
          <w:lang w:eastAsia="en-AU"/>
        </w:rPr>
        <w:t xml:space="preserve"> As seen in </w:t>
      </w:r>
      <w:r w:rsidRPr="000E7E78">
        <w:rPr>
          <w:b/>
          <w:bCs/>
          <w:snapToGrid/>
          <w:lang w:eastAsia="en-AU"/>
        </w:rPr>
        <w:t xml:space="preserve">Figure 1, </w:t>
      </w:r>
      <w:r w:rsidRPr="000E7E78">
        <w:rPr>
          <w:snapToGrid/>
          <w:lang w:eastAsia="en-AU"/>
        </w:rPr>
        <w:t xml:space="preserve">there are five classes which are based on relative access to services: major cities, inner regional, outer regional, </w:t>
      </w:r>
      <w:r w:rsidR="002F7E09" w:rsidRPr="000E7E78">
        <w:rPr>
          <w:snapToGrid/>
          <w:lang w:eastAsia="en-AU"/>
        </w:rPr>
        <w:t>remote,</w:t>
      </w:r>
      <w:r w:rsidRPr="000E7E78">
        <w:rPr>
          <w:snapToGrid/>
          <w:lang w:eastAsia="en-AU"/>
        </w:rPr>
        <w:t xml:space="preserve"> and very remote. For this stream of work, as in the </w:t>
      </w:r>
      <w:r w:rsidRPr="000E7E78">
        <w:rPr>
          <w:i/>
          <w:iCs/>
          <w:snapToGrid/>
          <w:lang w:eastAsia="en-AU"/>
        </w:rPr>
        <w:t>Napthine Review</w:t>
      </w:r>
      <w:r w:rsidRPr="000E7E78">
        <w:rPr>
          <w:snapToGrid/>
          <w:lang w:eastAsia="en-AU"/>
        </w:rPr>
        <w:t xml:space="preserve">, the term “remote” will generally include “remote” and “very remote” unless otherwise specified. Additionally, it should be noted that, whilst communities or individuals may identify themselves as “rural,” this term is not clearly defined and does not correspond to any of the ASGS classes. It is noted that there are limitations with using the ASGS framework, namely that it was not designed specifically for education purposes. Because of this, the </w:t>
      </w:r>
      <w:r w:rsidRPr="000E7E78">
        <w:rPr>
          <w:i/>
          <w:iCs/>
          <w:snapToGrid/>
          <w:lang w:eastAsia="en-AU"/>
        </w:rPr>
        <w:t>Napthine Review</w:t>
      </w:r>
      <w:r w:rsidRPr="000E7E78">
        <w:rPr>
          <w:snapToGrid/>
          <w:lang w:eastAsia="en-AU"/>
        </w:rPr>
        <w:t xml:space="preserve"> recommends the development of an improved geographical classification tool </w:t>
      </w:r>
      <w:r w:rsidRPr="000E7E78">
        <w:rPr>
          <w:snapToGrid/>
          <w:lang w:eastAsia="en-AU"/>
        </w:rPr>
        <w:lastRenderedPageBreak/>
        <w:t>specifically designed for education purposes. As this tool has not yet been developed, for the purposes of this stream of work, the ASGS framework has been used to categorise remoteness across Australia. </w:t>
      </w:r>
    </w:p>
    <w:p w14:paraId="3D15CBB9" w14:textId="77777777" w:rsidR="000E7E78" w:rsidRPr="000E7E78" w:rsidRDefault="000E7E78" w:rsidP="00BB5FD4">
      <w:pPr>
        <w:pStyle w:val="Minorheading"/>
        <w:rPr>
          <w:rFonts w:ascii="Times New Roman" w:hAnsi="Times New Roman" w:cs="Times New Roman"/>
          <w:snapToGrid/>
          <w:sz w:val="24"/>
          <w:lang w:eastAsia="en-AU"/>
        </w:rPr>
      </w:pPr>
      <w:r w:rsidRPr="000E7E78">
        <w:rPr>
          <w:snapToGrid/>
          <w:lang w:eastAsia="en-AU"/>
        </w:rPr>
        <w:t xml:space="preserve">Figure 1 - Map of remoteness categories from the </w:t>
      </w:r>
      <w:r w:rsidRPr="000E7E78">
        <w:rPr>
          <w:i/>
          <w:iCs/>
          <w:snapToGrid/>
          <w:lang w:eastAsia="en-AU"/>
        </w:rPr>
        <w:t>Napthine Review</w:t>
      </w:r>
    </w:p>
    <w:p w14:paraId="083551E6" w14:textId="4508361D" w:rsidR="000E7E78" w:rsidRPr="000E7E78" w:rsidRDefault="000E7E78" w:rsidP="000E7E78">
      <w:pPr>
        <w:kinsoku/>
        <w:overflowPunct/>
        <w:autoSpaceDE/>
        <w:autoSpaceDN/>
        <w:adjustRightInd/>
        <w:snapToGrid/>
        <w:spacing w:after="200" w:line="240" w:lineRule="auto"/>
        <w:jc w:val="center"/>
        <w:rPr>
          <w:rFonts w:ascii="Times New Roman" w:hAnsi="Times New Roman" w:cs="Times New Roman"/>
          <w:snapToGrid/>
          <w:sz w:val="24"/>
          <w:szCs w:val="24"/>
          <w:lang w:eastAsia="en-AU"/>
        </w:rPr>
      </w:pPr>
      <w:r w:rsidRPr="000E7E78">
        <w:rPr>
          <w:noProof/>
          <w:color w:val="000000" w:themeColor="text1"/>
        </w:rPr>
        <w:drawing>
          <wp:inline distT="0" distB="0" distL="0" distR="0" wp14:anchorId="13966A91" wp14:editId="07585114">
            <wp:extent cx="4435475" cy="4217035"/>
            <wp:effectExtent l="0" t="0" r="3175" b="0"/>
            <wp:docPr id="33" name="Picture 33" descr="The map shows Australia with remoteness categories colour-coded. Most capital cities are classed as Major Cities, with the areas surrounding these cities classed as Inner Regional and Outer Regional. Most of north, west and central Australia are classed as Very Remot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The map shows Australia with remoteness categories colour-coded. Most capital cities are classed as Major Cities, with the areas surrounding these cities classed as Inner Regional and Outer Regional. Most of north, west and central Australia are classed as Very Remote. "/>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435475" cy="4217035"/>
                    </a:xfrm>
                    <a:prstGeom prst="rect">
                      <a:avLst/>
                    </a:prstGeom>
                    <a:noFill/>
                    <a:ln>
                      <a:noFill/>
                    </a:ln>
                  </pic:spPr>
                </pic:pic>
              </a:graphicData>
            </a:graphic>
          </wp:inline>
        </w:drawing>
      </w:r>
    </w:p>
    <w:p w14:paraId="31D0D0EF" w14:textId="16192DCE" w:rsidR="0083203A" w:rsidRPr="006842FF" w:rsidRDefault="0083203A" w:rsidP="00607B15">
      <w:pPr>
        <w:pStyle w:val="PwCNormal"/>
        <w:numPr>
          <w:ilvl w:val="0"/>
          <w:numId w:val="0"/>
        </w:numPr>
      </w:pPr>
    </w:p>
    <w:p w14:paraId="54EA9182" w14:textId="77777777" w:rsidR="007F4D8D" w:rsidRDefault="007F4D8D" w:rsidP="00607B15">
      <w:pPr>
        <w:pStyle w:val="PwCNormal"/>
        <w:numPr>
          <w:ilvl w:val="0"/>
          <w:numId w:val="0"/>
        </w:numPr>
      </w:pPr>
    </w:p>
    <w:p w14:paraId="15AAC5F6" w14:textId="77777777" w:rsidR="00CE4910" w:rsidRPr="006842FF" w:rsidRDefault="00CE4910" w:rsidP="000E7E78">
      <w:pPr>
        <w:pStyle w:val="PwCNormal"/>
        <w:numPr>
          <w:ilvl w:val="0"/>
          <w:numId w:val="0"/>
        </w:numPr>
        <w:sectPr w:rsidR="00CE4910" w:rsidRPr="006842FF" w:rsidSect="004259D5">
          <w:headerReference w:type="even" r:id="rId29"/>
          <w:headerReference w:type="default" r:id="rId30"/>
          <w:footerReference w:type="even" r:id="rId31"/>
          <w:footerReference w:type="default" r:id="rId32"/>
          <w:headerReference w:type="first" r:id="rId33"/>
          <w:footerReference w:type="first" r:id="rId34"/>
          <w:pgSz w:w="11907" w:h="16840" w:code="9"/>
          <w:pgMar w:top="1588" w:right="1021" w:bottom="1418" w:left="1021" w:header="567" w:footer="567" w:gutter="0"/>
          <w:cols w:space="227"/>
          <w:titlePg/>
          <w:docGrid w:linePitch="360"/>
        </w:sectPr>
      </w:pPr>
    </w:p>
    <w:p w14:paraId="30B47A14" w14:textId="4EB63BC9" w:rsidR="000E7E78" w:rsidRPr="006842FF" w:rsidRDefault="000E7E78" w:rsidP="00E006EC">
      <w:pPr>
        <w:pStyle w:val="Heading2"/>
      </w:pPr>
      <w:bookmarkStart w:id="7" w:name="_Toc135665564"/>
      <w:r>
        <w:lastRenderedPageBreak/>
        <w:t>Methodology</w:t>
      </w:r>
      <w:bookmarkEnd w:id="7"/>
    </w:p>
    <w:p w14:paraId="1AE690B3" w14:textId="15A4E92C" w:rsidR="000E7E78" w:rsidRPr="000E7E78" w:rsidRDefault="00274FAC" w:rsidP="00BB5FD4">
      <w:pPr>
        <w:pStyle w:val="PwCNormal"/>
        <w:rPr>
          <w:rFonts w:ascii="Times New Roman" w:hAnsi="Times New Roman" w:cs="Times New Roman"/>
          <w:snapToGrid/>
          <w:sz w:val="24"/>
          <w:szCs w:val="24"/>
          <w:lang w:eastAsia="en-AU"/>
        </w:rPr>
      </w:pPr>
      <w:r>
        <w:rPr>
          <w:snapToGrid/>
          <w:lang w:eastAsia="en-AU"/>
        </w:rPr>
        <w:t>The</w:t>
      </w:r>
      <w:r w:rsidR="000E7E78" w:rsidRPr="000E7E78">
        <w:rPr>
          <w:snapToGrid/>
          <w:lang w:eastAsia="en-AU"/>
        </w:rPr>
        <w:t xml:space="preserve"> research methodology</w:t>
      </w:r>
      <w:r w:rsidR="00BB5FD4">
        <w:rPr>
          <w:snapToGrid/>
          <w:lang w:eastAsia="en-AU"/>
        </w:rPr>
        <w:t xml:space="preserve"> </w:t>
      </w:r>
      <w:r w:rsidR="000E7E78" w:rsidRPr="000E7E78">
        <w:rPr>
          <w:snapToGrid/>
          <w:lang w:eastAsia="en-AU"/>
        </w:rPr>
        <w:t>included both primary and secondary research.</w:t>
      </w:r>
    </w:p>
    <w:p w14:paraId="6693B072" w14:textId="77777777" w:rsidR="000E7E78" w:rsidRPr="000E7E78" w:rsidRDefault="000E7E78" w:rsidP="00BB5FD4">
      <w:pPr>
        <w:pStyle w:val="Majorheading"/>
        <w:rPr>
          <w:rFonts w:ascii="Times New Roman" w:hAnsi="Times New Roman" w:cs="Times New Roman"/>
          <w:snapToGrid/>
          <w:lang w:eastAsia="en-AU"/>
        </w:rPr>
      </w:pPr>
      <w:r w:rsidRPr="000E7E78">
        <w:rPr>
          <w:snapToGrid/>
          <w:lang w:eastAsia="en-AU"/>
        </w:rPr>
        <w:t>Literature review </w:t>
      </w:r>
    </w:p>
    <w:p w14:paraId="4AE501F2" w14:textId="77777777" w:rsidR="000E7E78" w:rsidRPr="000E7E78" w:rsidRDefault="000E7E78" w:rsidP="00BB5FD4">
      <w:pPr>
        <w:pStyle w:val="PwCNormal"/>
        <w:rPr>
          <w:rFonts w:ascii="Times New Roman" w:hAnsi="Times New Roman" w:cs="Times New Roman"/>
          <w:snapToGrid/>
          <w:sz w:val="24"/>
          <w:szCs w:val="24"/>
          <w:lang w:eastAsia="en-AU"/>
        </w:rPr>
      </w:pPr>
      <w:r w:rsidRPr="000E7E78">
        <w:rPr>
          <w:snapToGrid/>
          <w:lang w:eastAsia="en-AU"/>
        </w:rPr>
        <w:t xml:space="preserve">Desktop research was undertaken to gather insights on the current arrangements and landscape for VETDSS in RRR areas. Sources relied upon included the </w:t>
      </w:r>
      <w:r w:rsidRPr="000E7E78">
        <w:rPr>
          <w:i/>
          <w:iCs/>
          <w:snapToGrid/>
          <w:lang w:eastAsia="en-AU"/>
        </w:rPr>
        <w:t>Education in Remote and Complex Environments Report</w:t>
      </w:r>
      <w:r w:rsidRPr="000E7E78">
        <w:rPr>
          <w:snapToGrid/>
          <w:lang w:eastAsia="en-AU"/>
        </w:rPr>
        <w:t>, the National Regional, Rural and Remote Tertiary Education Strategy (</w:t>
      </w:r>
      <w:r w:rsidRPr="000E7E78">
        <w:rPr>
          <w:i/>
          <w:iCs/>
          <w:snapToGrid/>
          <w:lang w:eastAsia="en-AU"/>
        </w:rPr>
        <w:t>Napthine Review</w:t>
      </w:r>
      <w:r w:rsidRPr="000E7E78">
        <w:rPr>
          <w:snapToGrid/>
          <w:lang w:eastAsia="en-AU"/>
        </w:rPr>
        <w:t>) and the Independent Review into Regional, Rural and Remote Education (</w:t>
      </w:r>
      <w:r w:rsidRPr="000E7E78">
        <w:rPr>
          <w:i/>
          <w:iCs/>
          <w:snapToGrid/>
          <w:lang w:eastAsia="en-AU"/>
        </w:rPr>
        <w:t>Halsey Review</w:t>
      </w:r>
      <w:r w:rsidRPr="000E7E78">
        <w:rPr>
          <w:snapToGrid/>
          <w:lang w:eastAsia="en-AU"/>
        </w:rPr>
        <w:t xml:space="preserve">). These reports provided a valuable overview of core issues impacting secondary students in RRR settings. A list of sources relied upon can be found in the </w:t>
      </w:r>
      <w:r w:rsidRPr="000E7E78">
        <w:rPr>
          <w:b/>
          <w:bCs/>
          <w:snapToGrid/>
          <w:lang w:eastAsia="en-AU"/>
        </w:rPr>
        <w:t xml:space="preserve">Literature review </w:t>
      </w:r>
      <w:r w:rsidRPr="000E7E78">
        <w:rPr>
          <w:snapToGrid/>
          <w:lang w:eastAsia="en-AU"/>
        </w:rPr>
        <w:t xml:space="preserve">section, and an overview of the findings and analysis of the literature review can be found in </w:t>
      </w:r>
      <w:r w:rsidRPr="000E7E78">
        <w:rPr>
          <w:b/>
          <w:bCs/>
          <w:snapToGrid/>
          <w:lang w:eastAsia="en-AU"/>
        </w:rPr>
        <w:t>Appendix A.</w:t>
      </w:r>
    </w:p>
    <w:p w14:paraId="4E887668" w14:textId="77777777" w:rsidR="000E7E78" w:rsidRPr="000E7E78" w:rsidRDefault="000E7E78" w:rsidP="00BB5FD4">
      <w:pPr>
        <w:pStyle w:val="Majorheading"/>
        <w:rPr>
          <w:rFonts w:ascii="Times New Roman" w:hAnsi="Times New Roman" w:cs="Times New Roman"/>
          <w:snapToGrid/>
          <w:lang w:eastAsia="en-AU"/>
        </w:rPr>
      </w:pPr>
      <w:r w:rsidRPr="000E7E78">
        <w:rPr>
          <w:snapToGrid/>
          <w:lang w:eastAsia="en-AU"/>
        </w:rPr>
        <w:t>Stakeholder consultation </w:t>
      </w:r>
    </w:p>
    <w:p w14:paraId="64335749" w14:textId="77777777" w:rsidR="000E7E78" w:rsidRPr="000E7E78" w:rsidRDefault="000E7E78" w:rsidP="00BB5FD4">
      <w:pPr>
        <w:pStyle w:val="PwCNormal"/>
        <w:rPr>
          <w:rFonts w:ascii="Times New Roman" w:hAnsi="Times New Roman" w:cs="Times New Roman"/>
          <w:snapToGrid/>
          <w:sz w:val="24"/>
          <w:szCs w:val="24"/>
          <w:lang w:eastAsia="en-AU"/>
        </w:rPr>
      </w:pPr>
      <w:r w:rsidRPr="000E7E78">
        <w:rPr>
          <w:snapToGrid/>
          <w:lang w:eastAsia="en-AU"/>
        </w:rPr>
        <w:t>Consultations were used to build on the desktop research and gather stakeholder insights into the following topics as they relate to VETDSS in RRR areas:</w:t>
      </w:r>
    </w:p>
    <w:p w14:paraId="20A86DC1" w14:textId="77777777" w:rsidR="000E7E78" w:rsidRPr="000E7E78" w:rsidRDefault="000E7E78" w:rsidP="00BB5FD4">
      <w:pPr>
        <w:pStyle w:val="ListBullet"/>
        <w:rPr>
          <w:snapToGrid/>
          <w:lang w:eastAsia="en-AU"/>
        </w:rPr>
      </w:pPr>
      <w:r w:rsidRPr="000E7E78">
        <w:rPr>
          <w:snapToGrid/>
          <w:lang w:eastAsia="en-AU"/>
        </w:rPr>
        <w:t>Current arrangements for the delivery of VET to secondary students in RRR areas, and drivers for these arrangements.</w:t>
      </w:r>
    </w:p>
    <w:p w14:paraId="78873D9B" w14:textId="77777777" w:rsidR="000E7E78" w:rsidRPr="000E7E78" w:rsidRDefault="000E7E78" w:rsidP="00BB5FD4">
      <w:pPr>
        <w:pStyle w:val="ListBullet"/>
        <w:rPr>
          <w:snapToGrid/>
          <w:lang w:eastAsia="en-AU"/>
        </w:rPr>
      </w:pPr>
      <w:r w:rsidRPr="000E7E78">
        <w:rPr>
          <w:snapToGrid/>
          <w:lang w:eastAsia="en-AU"/>
        </w:rPr>
        <w:t>Barriers and challenges in the delivery of VET to secondary students in RRR areas.</w:t>
      </w:r>
    </w:p>
    <w:p w14:paraId="775361DC" w14:textId="77777777" w:rsidR="000E7E78" w:rsidRPr="000E7E78" w:rsidRDefault="000E7E78" w:rsidP="00BB5FD4">
      <w:pPr>
        <w:pStyle w:val="ListBullet"/>
        <w:rPr>
          <w:snapToGrid/>
          <w:lang w:eastAsia="en-AU"/>
        </w:rPr>
      </w:pPr>
      <w:r w:rsidRPr="000E7E78">
        <w:rPr>
          <w:snapToGrid/>
          <w:lang w:eastAsia="en-AU"/>
        </w:rPr>
        <w:t>Examples of excellence and innovation in the delivery of VET programs in RRR areas.</w:t>
      </w:r>
    </w:p>
    <w:p w14:paraId="54DE2D2E" w14:textId="77777777" w:rsidR="000E7E78" w:rsidRPr="000E7E78" w:rsidRDefault="000E7E78" w:rsidP="00BB5FD4">
      <w:pPr>
        <w:pStyle w:val="ListBullet"/>
        <w:rPr>
          <w:snapToGrid/>
          <w:lang w:eastAsia="en-AU"/>
        </w:rPr>
      </w:pPr>
      <w:r w:rsidRPr="000E7E78">
        <w:rPr>
          <w:snapToGrid/>
          <w:lang w:eastAsia="en-AU"/>
        </w:rPr>
        <w:t>Recommendations for addressing the challenges of delivering VET to secondary students in RRR areas.</w:t>
      </w:r>
    </w:p>
    <w:p w14:paraId="6A782C14" w14:textId="77777777" w:rsidR="000E7E78" w:rsidRPr="000E7E78" w:rsidRDefault="000E7E78" w:rsidP="00BB5FD4">
      <w:pPr>
        <w:pStyle w:val="PwCNormal"/>
        <w:rPr>
          <w:rFonts w:ascii="Times New Roman" w:hAnsi="Times New Roman" w:cs="Times New Roman"/>
          <w:snapToGrid/>
          <w:sz w:val="24"/>
          <w:szCs w:val="24"/>
          <w:lang w:eastAsia="en-AU"/>
        </w:rPr>
      </w:pPr>
      <w:r w:rsidRPr="000E7E78">
        <w:rPr>
          <w:snapToGrid/>
          <w:lang w:eastAsia="en-AU"/>
        </w:rPr>
        <w:t>It is important to note that, during consultation, stakeholders did not differentiate between students undertaking VETDSS as part of their Senior Secondary Certificate of Education (SSCE) and those who complete a VETDSS program without contribution to their SSCE. For the purposes of this report, any reference to VETDSS covers both types of programs. </w:t>
      </w:r>
    </w:p>
    <w:p w14:paraId="1F3FEA76" w14:textId="14FB008D" w:rsidR="000E7E78" w:rsidRPr="000E7E78" w:rsidRDefault="000E7E78" w:rsidP="00BB5FD4">
      <w:pPr>
        <w:pStyle w:val="PwCNormal"/>
        <w:rPr>
          <w:rFonts w:ascii="Times New Roman" w:hAnsi="Times New Roman" w:cs="Times New Roman"/>
          <w:snapToGrid/>
          <w:sz w:val="24"/>
          <w:szCs w:val="24"/>
          <w:lang w:eastAsia="en-AU"/>
        </w:rPr>
      </w:pPr>
      <w:r w:rsidRPr="000E7E78">
        <w:rPr>
          <w:snapToGrid/>
          <w:lang w:eastAsia="en-AU"/>
        </w:rPr>
        <w:t xml:space="preserve">To gather insights, two methods of consultation were adopted: a survey, and targeted one-on-one consultations and focus groups. Over 80 stakeholders were consulted, and the full list of the stakeholders consulted as part of this stream of work can be found in </w:t>
      </w:r>
      <w:r w:rsidRPr="000E7E78">
        <w:rPr>
          <w:b/>
          <w:bCs/>
          <w:snapToGrid/>
          <w:lang w:eastAsia="en-AU"/>
        </w:rPr>
        <w:t xml:space="preserve">Appendix </w:t>
      </w:r>
      <w:r w:rsidR="00BB5FD4">
        <w:rPr>
          <w:b/>
          <w:bCs/>
          <w:snapToGrid/>
          <w:lang w:eastAsia="en-AU"/>
        </w:rPr>
        <w:t>B</w:t>
      </w:r>
      <w:r w:rsidRPr="000E7E78">
        <w:rPr>
          <w:b/>
          <w:bCs/>
          <w:snapToGrid/>
          <w:lang w:eastAsia="en-AU"/>
        </w:rPr>
        <w:t>.</w:t>
      </w:r>
    </w:p>
    <w:p w14:paraId="7212799F" w14:textId="77777777" w:rsidR="000E7E78" w:rsidRPr="000E7E78" w:rsidRDefault="000E7E78" w:rsidP="00BB5FD4">
      <w:pPr>
        <w:pStyle w:val="Minorheading2"/>
        <w:rPr>
          <w:rFonts w:ascii="Times New Roman" w:hAnsi="Times New Roman" w:cs="Times New Roman"/>
          <w:snapToGrid/>
          <w:sz w:val="24"/>
          <w:lang w:eastAsia="en-AU"/>
        </w:rPr>
      </w:pPr>
      <w:r w:rsidRPr="000E7E78">
        <w:rPr>
          <w:snapToGrid/>
          <w:lang w:eastAsia="en-AU"/>
        </w:rPr>
        <w:t>Survey</w:t>
      </w:r>
    </w:p>
    <w:p w14:paraId="49D0B0E9" w14:textId="77777777" w:rsidR="000E7E78" w:rsidRPr="000E7E78" w:rsidRDefault="000E7E78" w:rsidP="00BB5FD4">
      <w:pPr>
        <w:pStyle w:val="PwCNormal"/>
        <w:rPr>
          <w:rFonts w:ascii="Times New Roman" w:hAnsi="Times New Roman" w:cs="Times New Roman"/>
          <w:snapToGrid/>
          <w:sz w:val="24"/>
          <w:szCs w:val="24"/>
          <w:lang w:eastAsia="en-AU"/>
        </w:rPr>
      </w:pPr>
      <w:r w:rsidRPr="000E7E78">
        <w:rPr>
          <w:snapToGrid/>
          <w:lang w:eastAsia="en-AU"/>
        </w:rPr>
        <w:t>The survey was adopted to provide a broad cohort of stakeholders the opportunity to participate and share their insights on key topics. The key stakeholder groups engaged included representatives from:</w:t>
      </w:r>
    </w:p>
    <w:p w14:paraId="661FC710" w14:textId="77777777" w:rsidR="000E7E78" w:rsidRPr="000E7E78" w:rsidRDefault="000E7E78" w:rsidP="00BB5FD4">
      <w:pPr>
        <w:pStyle w:val="ListBullet"/>
        <w:rPr>
          <w:i/>
          <w:iCs/>
          <w:snapToGrid/>
          <w:lang w:eastAsia="en-AU"/>
        </w:rPr>
      </w:pPr>
      <w:r w:rsidRPr="000E7E78">
        <w:rPr>
          <w:snapToGrid/>
          <w:lang w:eastAsia="en-AU"/>
        </w:rPr>
        <w:t>Government Schools</w:t>
      </w:r>
    </w:p>
    <w:p w14:paraId="6C24AAA5" w14:textId="77777777" w:rsidR="000E7E78" w:rsidRPr="000E7E78" w:rsidRDefault="000E7E78" w:rsidP="00BB5FD4">
      <w:pPr>
        <w:pStyle w:val="ListBullet"/>
        <w:rPr>
          <w:snapToGrid/>
          <w:lang w:eastAsia="en-AU"/>
        </w:rPr>
      </w:pPr>
      <w:r w:rsidRPr="000E7E78">
        <w:rPr>
          <w:snapToGrid/>
          <w:lang w:eastAsia="en-AU"/>
        </w:rPr>
        <w:t>Non-Government Schools (Independent and Catholic)</w:t>
      </w:r>
    </w:p>
    <w:p w14:paraId="55B3631E" w14:textId="77777777" w:rsidR="000E7E78" w:rsidRPr="000E7E78" w:rsidRDefault="000E7E78" w:rsidP="00BB5FD4">
      <w:pPr>
        <w:pStyle w:val="ListBullet"/>
        <w:rPr>
          <w:snapToGrid/>
          <w:lang w:eastAsia="en-AU"/>
        </w:rPr>
      </w:pPr>
      <w:r w:rsidRPr="000E7E78">
        <w:rPr>
          <w:snapToGrid/>
          <w:lang w:eastAsia="en-AU"/>
        </w:rPr>
        <w:t>State Government Departments and bodies (e.g. Departments of Education)</w:t>
      </w:r>
    </w:p>
    <w:p w14:paraId="5DEE5462" w14:textId="77777777" w:rsidR="000E7E78" w:rsidRPr="000E7E78" w:rsidRDefault="000E7E78" w:rsidP="00BB5FD4">
      <w:pPr>
        <w:pStyle w:val="ListBullet"/>
        <w:rPr>
          <w:snapToGrid/>
          <w:lang w:eastAsia="en-AU"/>
        </w:rPr>
      </w:pPr>
      <w:r w:rsidRPr="000E7E78">
        <w:rPr>
          <w:snapToGrid/>
          <w:lang w:eastAsia="en-AU"/>
        </w:rPr>
        <w:t>Registered Training Organisations (RTOs) and RTO peak bodies (e.g. TAFE Directors Australia and Independent Tertiary Education Council Australia)</w:t>
      </w:r>
    </w:p>
    <w:p w14:paraId="1B280F51" w14:textId="77777777" w:rsidR="000E7E78" w:rsidRPr="000E7E78" w:rsidRDefault="000E7E78" w:rsidP="00BB5FD4">
      <w:pPr>
        <w:pStyle w:val="ListBullet"/>
        <w:rPr>
          <w:snapToGrid/>
          <w:lang w:eastAsia="en-AU"/>
        </w:rPr>
      </w:pPr>
      <w:r w:rsidRPr="000E7E78">
        <w:rPr>
          <w:snapToGrid/>
          <w:lang w:eastAsia="en-AU"/>
        </w:rPr>
        <w:t>Education peak bodies (e.g. Australian Secondary Principals’ Association)</w:t>
      </w:r>
    </w:p>
    <w:p w14:paraId="6AE0567D" w14:textId="77777777" w:rsidR="000E7E78" w:rsidRPr="000E7E78" w:rsidRDefault="000E7E78" w:rsidP="00BB5FD4">
      <w:pPr>
        <w:pStyle w:val="ListBullet"/>
        <w:rPr>
          <w:snapToGrid/>
          <w:lang w:eastAsia="en-AU"/>
        </w:rPr>
      </w:pPr>
      <w:r w:rsidRPr="000E7E78">
        <w:rPr>
          <w:snapToGrid/>
          <w:lang w:eastAsia="en-AU"/>
        </w:rPr>
        <w:t xml:space="preserve">Regional peak bodies (e.g. </w:t>
      </w:r>
      <w:r w:rsidRPr="000E7E78">
        <w:rPr>
          <w:snapToGrid/>
          <w:shd w:val="clear" w:color="auto" w:fill="FFFFFF"/>
          <w:lang w:eastAsia="en-AU"/>
        </w:rPr>
        <w:t>Isolated Children's Parents' Association</w:t>
      </w:r>
      <w:r w:rsidRPr="000E7E78">
        <w:rPr>
          <w:snapToGrid/>
          <w:lang w:eastAsia="en-AU"/>
        </w:rPr>
        <w:t xml:space="preserve"> and Regional Australia Institute).</w:t>
      </w:r>
    </w:p>
    <w:p w14:paraId="3B62DEDD" w14:textId="3E8B699C" w:rsidR="000E7E78" w:rsidRPr="000E7E78" w:rsidRDefault="000E7E78" w:rsidP="00BB5FD4">
      <w:pPr>
        <w:pStyle w:val="PwCNormal"/>
        <w:rPr>
          <w:rFonts w:ascii="Times New Roman" w:hAnsi="Times New Roman" w:cs="Times New Roman"/>
          <w:snapToGrid/>
          <w:sz w:val="24"/>
          <w:szCs w:val="24"/>
          <w:lang w:eastAsia="en-AU"/>
        </w:rPr>
      </w:pPr>
      <w:r w:rsidRPr="000E7E78">
        <w:rPr>
          <w:snapToGrid/>
          <w:lang w:eastAsia="en-AU"/>
        </w:rPr>
        <w:t xml:space="preserve">The survey opened on Monday 21 February 2022 and closed Monday 28 March 2022. A total of 680 responses were received, however, it is noted that respondents were not required to answer all questions and </w:t>
      </w:r>
      <w:proofErr w:type="gramStart"/>
      <w:r w:rsidRPr="000E7E78">
        <w:rPr>
          <w:snapToGrid/>
          <w:lang w:eastAsia="en-AU"/>
        </w:rPr>
        <w:t>a number of</w:t>
      </w:r>
      <w:proofErr w:type="gramEnd"/>
      <w:r w:rsidRPr="000E7E78">
        <w:rPr>
          <w:snapToGrid/>
          <w:lang w:eastAsia="en-AU"/>
        </w:rPr>
        <w:t xml:space="preserve"> incomplete responses were received. The number of respondents for a particular survey question have been referenced throughout the report to allow appropriate interpretation of the results.</w:t>
      </w:r>
    </w:p>
    <w:p w14:paraId="5B0C9C06" w14:textId="35BF8F74" w:rsidR="000E7E78" w:rsidRPr="000E7E78" w:rsidRDefault="000E7E78" w:rsidP="00BB5FD4">
      <w:pPr>
        <w:pStyle w:val="PwCNormal"/>
        <w:rPr>
          <w:rFonts w:ascii="Times New Roman" w:hAnsi="Times New Roman" w:cs="Times New Roman"/>
          <w:snapToGrid/>
          <w:sz w:val="24"/>
          <w:szCs w:val="24"/>
          <w:lang w:eastAsia="en-AU"/>
        </w:rPr>
      </w:pPr>
      <w:r w:rsidRPr="000E7E78">
        <w:rPr>
          <w:snapToGrid/>
          <w:lang w:eastAsia="en-AU"/>
        </w:rPr>
        <w:lastRenderedPageBreak/>
        <w:t xml:space="preserve">As seen in </w:t>
      </w:r>
      <w:r w:rsidRPr="000E7E78">
        <w:rPr>
          <w:b/>
          <w:bCs/>
          <w:snapToGrid/>
          <w:lang w:eastAsia="en-AU"/>
        </w:rPr>
        <w:t xml:space="preserve">Figure </w:t>
      </w:r>
      <w:r w:rsidR="00D906AE">
        <w:rPr>
          <w:b/>
          <w:bCs/>
          <w:snapToGrid/>
          <w:lang w:eastAsia="en-AU"/>
        </w:rPr>
        <w:t>2</w:t>
      </w:r>
      <w:r w:rsidRPr="000E7E78">
        <w:rPr>
          <w:snapToGrid/>
          <w:lang w:eastAsia="en-AU"/>
        </w:rPr>
        <w:t>, responses were received from stakeholders across all jurisdictions, with particularly strong representation from stakeholders in Queensland (QLD) and New South Wales (NSW), accounting for 25.8% (n=134) and 19.6% (n=102) of responses respectively.  </w:t>
      </w:r>
    </w:p>
    <w:p w14:paraId="0DCA86EC" w14:textId="1FAB256D" w:rsidR="000E7E78" w:rsidRPr="000E7E78" w:rsidRDefault="000E7E78" w:rsidP="00BB5FD4">
      <w:pPr>
        <w:pStyle w:val="PwCNormal"/>
        <w:rPr>
          <w:rFonts w:ascii="Times New Roman" w:hAnsi="Times New Roman" w:cs="Times New Roman"/>
          <w:snapToGrid/>
          <w:sz w:val="24"/>
          <w:szCs w:val="24"/>
          <w:lang w:eastAsia="en-AU"/>
        </w:rPr>
      </w:pPr>
      <w:r w:rsidRPr="000E7E78">
        <w:rPr>
          <w:snapToGrid/>
          <w:lang w:eastAsia="en-AU"/>
        </w:rPr>
        <w:t>It is noted that some states experienced adverse weather events (e.g. flooding, especially in RRR areas) throughout the survey period, and this may have impacted the response rate. In addition, several state Departments noted that</w:t>
      </w:r>
      <w:r w:rsidR="002878B8">
        <w:rPr>
          <w:snapToGrid/>
          <w:lang w:eastAsia="en-AU"/>
        </w:rPr>
        <w:t xml:space="preserve"> there were a range of other reviews occurring at the same time and that this may have impacted the response rate in their jurisdiction</w:t>
      </w:r>
      <w:r w:rsidRPr="000E7E78">
        <w:rPr>
          <w:snapToGrid/>
          <w:lang w:eastAsia="en-AU"/>
        </w:rPr>
        <w:t>. </w:t>
      </w:r>
    </w:p>
    <w:p w14:paraId="70FC8C8C" w14:textId="393644A2" w:rsidR="000E7E78" w:rsidRPr="000E7E78" w:rsidRDefault="000E7E78" w:rsidP="00BB5FD4">
      <w:pPr>
        <w:pStyle w:val="Minorheading"/>
        <w:rPr>
          <w:rFonts w:ascii="Times New Roman" w:hAnsi="Times New Roman" w:cs="Times New Roman"/>
          <w:snapToGrid/>
          <w:sz w:val="24"/>
          <w:lang w:eastAsia="en-AU"/>
        </w:rPr>
      </w:pPr>
      <w:r w:rsidRPr="000E7E78">
        <w:rPr>
          <w:snapToGrid/>
          <w:lang w:eastAsia="en-AU"/>
        </w:rPr>
        <w:t xml:space="preserve">Figure </w:t>
      </w:r>
      <w:r w:rsidR="00D906AE">
        <w:rPr>
          <w:snapToGrid/>
          <w:lang w:eastAsia="en-AU"/>
        </w:rPr>
        <w:t>2</w:t>
      </w:r>
      <w:r w:rsidRPr="000E7E78">
        <w:rPr>
          <w:snapToGrid/>
          <w:lang w:eastAsia="en-AU"/>
        </w:rPr>
        <w:t xml:space="preserve"> - Survey question: Which State or Territory are you based in? (n=520)</w:t>
      </w:r>
    </w:p>
    <w:p w14:paraId="23A8B87E" w14:textId="7D50BD5E" w:rsidR="000E7E78" w:rsidRPr="000E7E78" w:rsidRDefault="000E7E78" w:rsidP="000E7E78">
      <w:pPr>
        <w:kinsoku/>
        <w:overflowPunct/>
        <w:autoSpaceDE/>
        <w:autoSpaceDN/>
        <w:adjustRightInd/>
        <w:snapToGrid/>
        <w:spacing w:before="240" w:after="120" w:line="240" w:lineRule="auto"/>
        <w:jc w:val="center"/>
        <w:rPr>
          <w:rFonts w:ascii="Times New Roman" w:hAnsi="Times New Roman" w:cs="Times New Roman"/>
          <w:snapToGrid/>
          <w:sz w:val="24"/>
          <w:szCs w:val="24"/>
          <w:lang w:eastAsia="en-AU"/>
        </w:rPr>
      </w:pPr>
      <w:r w:rsidRPr="000E7E78">
        <w:rPr>
          <w:noProof/>
          <w:color w:val="000000" w:themeColor="text1"/>
        </w:rPr>
        <w:drawing>
          <wp:inline distT="0" distB="0" distL="0" distR="0" wp14:anchorId="2E86EF3A" wp14:editId="2873971E">
            <wp:extent cx="4772025" cy="2945561"/>
            <wp:effectExtent l="0" t="0" r="0" b="7620"/>
            <wp:docPr id="38" name="Picture 38" descr="The bar chart shows responses to the survey question. The top three responses were: 1. 'Queensland', 2. 'New South Wales' and 3. 'South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The bar chart shows responses to the survey question. The top three responses were: 1. 'Queensland', 2. 'New South Wales' and 3. 'South Australia'."/>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778373" cy="2949480"/>
                    </a:xfrm>
                    <a:prstGeom prst="rect">
                      <a:avLst/>
                    </a:prstGeom>
                    <a:noFill/>
                    <a:ln>
                      <a:noFill/>
                    </a:ln>
                  </pic:spPr>
                </pic:pic>
              </a:graphicData>
            </a:graphic>
          </wp:inline>
        </w:drawing>
      </w:r>
    </w:p>
    <w:p w14:paraId="1ABA8754" w14:textId="11055D6A" w:rsidR="000E7E78" w:rsidRPr="000E7E78" w:rsidRDefault="000E7E78" w:rsidP="00BB5FD4">
      <w:pPr>
        <w:pStyle w:val="PwCNormal"/>
        <w:rPr>
          <w:rFonts w:ascii="Times New Roman" w:hAnsi="Times New Roman" w:cs="Times New Roman"/>
          <w:snapToGrid/>
          <w:sz w:val="24"/>
          <w:szCs w:val="24"/>
          <w:lang w:eastAsia="en-AU"/>
        </w:rPr>
      </w:pPr>
      <w:r w:rsidRPr="000E7E78">
        <w:rPr>
          <w:snapToGrid/>
          <w:lang w:eastAsia="en-AU"/>
        </w:rPr>
        <w:t xml:space="preserve">As seen in </w:t>
      </w:r>
      <w:r w:rsidRPr="000E7E78">
        <w:rPr>
          <w:b/>
          <w:bCs/>
          <w:snapToGrid/>
          <w:lang w:eastAsia="en-AU"/>
        </w:rPr>
        <w:t xml:space="preserve">Figure </w:t>
      </w:r>
      <w:r w:rsidR="00D906AE">
        <w:rPr>
          <w:b/>
          <w:bCs/>
          <w:snapToGrid/>
          <w:lang w:eastAsia="en-AU"/>
        </w:rPr>
        <w:t>3</w:t>
      </w:r>
      <w:r w:rsidRPr="000E7E78">
        <w:rPr>
          <w:snapToGrid/>
          <w:lang w:eastAsia="en-AU"/>
        </w:rPr>
        <w:t>, there was a strong response from all three school sectors, with school stakeholders accounting for 72.7% (n=376) of respondents. </w:t>
      </w:r>
    </w:p>
    <w:p w14:paraId="00E654EC" w14:textId="05739439" w:rsidR="000E7E78" w:rsidRPr="000E7E78" w:rsidRDefault="000E7E78" w:rsidP="00BB5FD4">
      <w:pPr>
        <w:pStyle w:val="Minorheading"/>
        <w:rPr>
          <w:rFonts w:ascii="Times New Roman" w:hAnsi="Times New Roman" w:cs="Times New Roman"/>
          <w:snapToGrid/>
          <w:sz w:val="24"/>
          <w:lang w:eastAsia="en-AU"/>
        </w:rPr>
      </w:pPr>
      <w:r w:rsidRPr="000E7E78">
        <w:rPr>
          <w:snapToGrid/>
          <w:lang w:eastAsia="en-AU"/>
        </w:rPr>
        <w:t xml:space="preserve">Figure </w:t>
      </w:r>
      <w:r w:rsidR="00D906AE">
        <w:rPr>
          <w:snapToGrid/>
          <w:lang w:eastAsia="en-AU"/>
        </w:rPr>
        <w:t>3</w:t>
      </w:r>
      <w:r w:rsidRPr="000E7E78">
        <w:rPr>
          <w:snapToGrid/>
          <w:lang w:eastAsia="en-AU"/>
        </w:rPr>
        <w:t xml:space="preserve"> - Survey question: Please describe the organisation that you work for? (n=517)</w:t>
      </w:r>
    </w:p>
    <w:p w14:paraId="1F548614" w14:textId="2F3F2CF1" w:rsidR="000E7E78" w:rsidRPr="000E7E78" w:rsidRDefault="000E7E78" w:rsidP="000E7E78">
      <w:pPr>
        <w:kinsoku/>
        <w:overflowPunct/>
        <w:autoSpaceDE/>
        <w:autoSpaceDN/>
        <w:adjustRightInd/>
        <w:snapToGrid/>
        <w:spacing w:before="240" w:after="120" w:line="240" w:lineRule="auto"/>
        <w:jc w:val="center"/>
        <w:rPr>
          <w:rFonts w:ascii="Times New Roman" w:hAnsi="Times New Roman" w:cs="Times New Roman"/>
          <w:snapToGrid/>
          <w:sz w:val="24"/>
          <w:szCs w:val="24"/>
          <w:lang w:eastAsia="en-AU"/>
        </w:rPr>
      </w:pPr>
      <w:r w:rsidRPr="000E7E78">
        <w:rPr>
          <w:noProof/>
          <w:color w:val="000000" w:themeColor="text1"/>
        </w:rPr>
        <w:drawing>
          <wp:inline distT="0" distB="0" distL="0" distR="0" wp14:anchorId="09945752" wp14:editId="2A1BC095">
            <wp:extent cx="5473065" cy="3398520"/>
            <wp:effectExtent l="0" t="0" r="0" b="0"/>
            <wp:docPr id="37" name="Picture 37" descr="The bar chart shows responses to the survey question. The top three responses were: 1. 'Government school (including school-based RTO)', 2. Catholic school (including school-based RTO)' and 3. 'R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The bar chart shows responses to the survey question. The top three responses were: 1. 'Government school (including school-based RTO)', 2. Catholic school (including school-based RTO)' and 3. 'RTO'."/>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473065" cy="3398520"/>
                    </a:xfrm>
                    <a:prstGeom prst="rect">
                      <a:avLst/>
                    </a:prstGeom>
                    <a:noFill/>
                    <a:ln>
                      <a:noFill/>
                    </a:ln>
                  </pic:spPr>
                </pic:pic>
              </a:graphicData>
            </a:graphic>
          </wp:inline>
        </w:drawing>
      </w:r>
    </w:p>
    <w:p w14:paraId="726A48D7" w14:textId="77777777" w:rsidR="000E7E78" w:rsidRPr="000E7E78" w:rsidRDefault="000E7E78" w:rsidP="00BB5FD4">
      <w:pPr>
        <w:pStyle w:val="Minorheading2"/>
        <w:rPr>
          <w:rFonts w:ascii="Times New Roman" w:hAnsi="Times New Roman" w:cs="Times New Roman"/>
          <w:snapToGrid/>
          <w:sz w:val="24"/>
          <w:lang w:eastAsia="en-AU"/>
        </w:rPr>
      </w:pPr>
      <w:r w:rsidRPr="000E7E78">
        <w:rPr>
          <w:snapToGrid/>
          <w:lang w:eastAsia="en-AU"/>
        </w:rPr>
        <w:lastRenderedPageBreak/>
        <w:t>One-on-one consultations and focus groups</w:t>
      </w:r>
    </w:p>
    <w:p w14:paraId="7279676C" w14:textId="77777777" w:rsidR="000E7E78" w:rsidRPr="000E7E78" w:rsidRDefault="000E7E78" w:rsidP="00BB5FD4">
      <w:pPr>
        <w:pStyle w:val="PwCNormal"/>
        <w:rPr>
          <w:rFonts w:ascii="Times New Roman" w:hAnsi="Times New Roman" w:cs="Times New Roman"/>
          <w:snapToGrid/>
          <w:sz w:val="24"/>
          <w:szCs w:val="24"/>
          <w:lang w:eastAsia="en-AU"/>
        </w:rPr>
      </w:pPr>
      <w:r w:rsidRPr="000E7E78">
        <w:rPr>
          <w:snapToGrid/>
          <w:lang w:eastAsia="en-AU"/>
        </w:rPr>
        <w:t>One-on-one consultations and focus groups were also held to gather insights and feedback on specific lines of inquiry. Stakeholders engaged in these sessions included representatives from:</w:t>
      </w:r>
    </w:p>
    <w:p w14:paraId="36819C3C" w14:textId="77777777" w:rsidR="000E7E78" w:rsidRPr="000E7E78" w:rsidRDefault="000E7E78" w:rsidP="00BB5FD4">
      <w:pPr>
        <w:pStyle w:val="ListBullet"/>
        <w:rPr>
          <w:snapToGrid/>
          <w:lang w:eastAsia="en-AU"/>
        </w:rPr>
      </w:pPr>
      <w:r w:rsidRPr="000E7E78">
        <w:rPr>
          <w:snapToGrid/>
          <w:lang w:eastAsia="en-AU"/>
        </w:rPr>
        <w:t>Departments of Education across jurisdictions</w:t>
      </w:r>
    </w:p>
    <w:p w14:paraId="25538955" w14:textId="77777777" w:rsidR="000E7E78" w:rsidRPr="000E7E78" w:rsidRDefault="000E7E78" w:rsidP="00BB5FD4">
      <w:pPr>
        <w:pStyle w:val="ListBullet"/>
        <w:rPr>
          <w:snapToGrid/>
          <w:lang w:eastAsia="en-AU"/>
        </w:rPr>
      </w:pPr>
      <w:r w:rsidRPr="000E7E78">
        <w:rPr>
          <w:snapToGrid/>
          <w:lang w:eastAsia="en-AU"/>
        </w:rPr>
        <w:t>Independent and Catholic school associations across jurisdictions</w:t>
      </w:r>
    </w:p>
    <w:p w14:paraId="10C84C10" w14:textId="77777777" w:rsidR="000E7E78" w:rsidRPr="000E7E78" w:rsidRDefault="000E7E78" w:rsidP="00BB5FD4">
      <w:pPr>
        <w:pStyle w:val="ListBullet"/>
        <w:rPr>
          <w:snapToGrid/>
          <w:lang w:eastAsia="en-AU"/>
        </w:rPr>
      </w:pPr>
      <w:r w:rsidRPr="000E7E78">
        <w:rPr>
          <w:snapToGrid/>
          <w:lang w:eastAsia="en-AU"/>
        </w:rPr>
        <w:t>Independent Tertiary Education Council Australia (ITECA)</w:t>
      </w:r>
    </w:p>
    <w:p w14:paraId="6F1AAE8B" w14:textId="77777777" w:rsidR="000E7E78" w:rsidRPr="000E7E78" w:rsidRDefault="000E7E78" w:rsidP="00BB5FD4">
      <w:pPr>
        <w:pStyle w:val="ListBullet"/>
        <w:rPr>
          <w:snapToGrid/>
          <w:lang w:eastAsia="en-AU"/>
        </w:rPr>
      </w:pPr>
      <w:r w:rsidRPr="000E7E78">
        <w:rPr>
          <w:snapToGrid/>
          <w:lang w:eastAsia="en-AU"/>
        </w:rPr>
        <w:t>Australasian Curriculum, Assessment and Certification Authorities (ACACA) sub-group </w:t>
      </w:r>
    </w:p>
    <w:p w14:paraId="6DA6F531" w14:textId="77777777" w:rsidR="000E7E78" w:rsidRPr="000E7E78" w:rsidRDefault="000E7E78" w:rsidP="00BB5FD4">
      <w:pPr>
        <w:pStyle w:val="ListBullet"/>
        <w:rPr>
          <w:snapToGrid/>
          <w:lang w:eastAsia="en-AU"/>
        </w:rPr>
      </w:pPr>
      <w:r w:rsidRPr="000E7E78">
        <w:rPr>
          <w:snapToGrid/>
          <w:lang w:eastAsia="en-AU"/>
        </w:rPr>
        <w:t>TAFE Directors Australia (TDA) </w:t>
      </w:r>
    </w:p>
    <w:p w14:paraId="39194BD1" w14:textId="77777777" w:rsidR="000E7E78" w:rsidRPr="000E7E78" w:rsidRDefault="000E7E78" w:rsidP="00BB5FD4">
      <w:pPr>
        <w:pStyle w:val="ListBullet"/>
        <w:rPr>
          <w:snapToGrid/>
          <w:lang w:eastAsia="en-AU"/>
        </w:rPr>
      </w:pPr>
      <w:r w:rsidRPr="000E7E78">
        <w:rPr>
          <w:snapToGrid/>
          <w:lang w:eastAsia="en-AU"/>
        </w:rPr>
        <w:t>Regional Australia Institute</w:t>
      </w:r>
    </w:p>
    <w:p w14:paraId="1A7E63E0" w14:textId="77777777" w:rsidR="000E7E78" w:rsidRPr="000E7E78" w:rsidRDefault="000E7E78" w:rsidP="00BB5FD4">
      <w:pPr>
        <w:pStyle w:val="ListBullet"/>
        <w:rPr>
          <w:snapToGrid/>
          <w:lang w:eastAsia="en-AU"/>
        </w:rPr>
      </w:pPr>
      <w:r w:rsidRPr="000E7E78">
        <w:rPr>
          <w:snapToGrid/>
          <w:lang w:eastAsia="en-AU"/>
        </w:rPr>
        <w:t>Isolated Children’s Parents’ Association (ICPA)</w:t>
      </w:r>
    </w:p>
    <w:p w14:paraId="7DCA3EC5" w14:textId="77777777" w:rsidR="000E7E78" w:rsidRPr="000E7E78" w:rsidRDefault="000E7E78" w:rsidP="00BB5FD4">
      <w:pPr>
        <w:pStyle w:val="ListBullet"/>
        <w:rPr>
          <w:snapToGrid/>
          <w:lang w:eastAsia="en-AU"/>
        </w:rPr>
      </w:pPr>
      <w:r w:rsidRPr="000E7E78">
        <w:rPr>
          <w:snapToGrid/>
          <w:lang w:eastAsia="en-AU"/>
        </w:rPr>
        <w:t>Other peak bodies.</w:t>
      </w:r>
    </w:p>
    <w:p w14:paraId="05F8A03F" w14:textId="46B9C52E" w:rsidR="000E7E78" w:rsidRPr="00BB5FD4" w:rsidRDefault="000E7E78" w:rsidP="00BB5FD4">
      <w:pPr>
        <w:pStyle w:val="PwCNormal"/>
      </w:pPr>
      <w:r w:rsidRPr="00BB5FD4">
        <w:t xml:space="preserve">Stakeholder consultations ran from 3 </w:t>
      </w:r>
      <w:r w:rsidR="00221FC9" w:rsidRPr="00BB5FD4">
        <w:t>March</w:t>
      </w:r>
      <w:r w:rsidRPr="00BB5FD4">
        <w:t xml:space="preserve"> 2022 until 6 </w:t>
      </w:r>
      <w:proofErr w:type="gramStart"/>
      <w:r w:rsidRPr="00BB5FD4">
        <w:t>April,</w:t>
      </w:r>
      <w:proofErr w:type="gramEnd"/>
      <w:r w:rsidRPr="00BB5FD4">
        <w:t xml:space="preserve"> 2022. A full list of stakeholders consulted can be found in </w:t>
      </w:r>
      <w:r w:rsidRPr="00AD31AC">
        <w:rPr>
          <w:b/>
          <w:bCs/>
        </w:rPr>
        <w:t xml:space="preserve">Appendix </w:t>
      </w:r>
      <w:r w:rsidR="00BB5FD4" w:rsidRPr="00AD31AC">
        <w:rPr>
          <w:b/>
          <w:bCs/>
        </w:rPr>
        <w:t>B</w:t>
      </w:r>
      <w:r w:rsidRPr="00BB5FD4">
        <w:t>.</w:t>
      </w:r>
    </w:p>
    <w:p w14:paraId="3526223C" w14:textId="554CA7E3" w:rsidR="000E7E78" w:rsidRPr="000E7E78" w:rsidRDefault="000E7E78" w:rsidP="00E006EC">
      <w:pPr>
        <w:pStyle w:val="PwCNormal"/>
        <w:rPr>
          <w:snapToGrid/>
          <w:lang w:eastAsia="en-AU"/>
        </w:rPr>
      </w:pPr>
      <w:r>
        <w:rPr>
          <w:snapToGrid/>
          <w:lang w:eastAsia="en-AU"/>
        </w:rPr>
        <w:br w:type="page"/>
      </w:r>
    </w:p>
    <w:p w14:paraId="54F12F59" w14:textId="3B200B40" w:rsidR="000E7E78" w:rsidRPr="00BB5FD4" w:rsidRDefault="000E7E78" w:rsidP="00BB5FD4">
      <w:pPr>
        <w:pStyle w:val="Headings1"/>
      </w:pPr>
      <w:bookmarkStart w:id="8" w:name="_Toc135665565"/>
      <w:r w:rsidRPr="00BB5FD4">
        <w:lastRenderedPageBreak/>
        <w:t>Literature</w:t>
      </w:r>
      <w:r w:rsidR="00C22375" w:rsidRPr="00BB5FD4">
        <w:t xml:space="preserve"> review</w:t>
      </w:r>
      <w:bookmarkEnd w:id="8"/>
    </w:p>
    <w:p w14:paraId="5605937D" w14:textId="77777777" w:rsidR="00C22375" w:rsidRPr="00C22375" w:rsidRDefault="00C22375" w:rsidP="00BB5FD4">
      <w:pPr>
        <w:pStyle w:val="PwCNormal"/>
        <w:rPr>
          <w:rFonts w:ascii="Times New Roman" w:hAnsi="Times New Roman" w:cs="Times New Roman"/>
          <w:snapToGrid/>
          <w:sz w:val="24"/>
          <w:szCs w:val="24"/>
          <w:lang w:eastAsia="en-AU"/>
        </w:rPr>
      </w:pPr>
      <w:r w:rsidRPr="00C22375">
        <w:rPr>
          <w:snapToGrid/>
          <w:lang w:eastAsia="en-AU"/>
        </w:rPr>
        <w:t xml:space="preserve">There have been multiple initiatives that have focused on examining the educational opportunities for students in regional areas - see </w:t>
      </w:r>
      <w:r w:rsidRPr="00C22375">
        <w:rPr>
          <w:b/>
          <w:bCs/>
          <w:snapToGrid/>
          <w:lang w:eastAsia="en-AU"/>
        </w:rPr>
        <w:t xml:space="preserve">Table 1 </w:t>
      </w:r>
      <w:r w:rsidRPr="00C22375">
        <w:rPr>
          <w:snapToGrid/>
          <w:lang w:eastAsia="en-AU"/>
        </w:rPr>
        <w:t>for a summary.</w:t>
      </w:r>
      <w:r w:rsidRPr="00C22375">
        <w:rPr>
          <w:b/>
          <w:bCs/>
          <w:snapToGrid/>
          <w:lang w:eastAsia="en-AU"/>
        </w:rPr>
        <w:t xml:space="preserve"> </w:t>
      </w:r>
      <w:r w:rsidRPr="00C22375">
        <w:rPr>
          <w:snapToGrid/>
          <w:lang w:eastAsia="en-AU"/>
        </w:rPr>
        <w:t xml:space="preserve">This section includes a discussion of how the findings from the relevant initiatives and reports informed the development of hypotheses that were used as the basis for ongoing stakeholder consultation. The full literature review has been included in </w:t>
      </w:r>
      <w:r w:rsidRPr="00C22375">
        <w:rPr>
          <w:b/>
          <w:bCs/>
          <w:snapToGrid/>
          <w:lang w:eastAsia="en-AU"/>
        </w:rPr>
        <w:t>Appendix A. </w:t>
      </w:r>
    </w:p>
    <w:p w14:paraId="2EF8101B" w14:textId="77777777" w:rsidR="00C22375" w:rsidRPr="00C22375" w:rsidRDefault="00C22375" w:rsidP="00BB5FD4">
      <w:pPr>
        <w:pStyle w:val="Minorheading"/>
        <w:rPr>
          <w:rFonts w:ascii="Times New Roman" w:hAnsi="Times New Roman" w:cs="Times New Roman"/>
          <w:snapToGrid/>
          <w:sz w:val="24"/>
          <w:lang w:eastAsia="en-AU"/>
        </w:rPr>
      </w:pPr>
      <w:r w:rsidRPr="00C22375">
        <w:rPr>
          <w:snapToGrid/>
          <w:lang w:eastAsia="en-AU"/>
        </w:rPr>
        <w:t>Table 1 - Summary of reports analysed as part of the literature review</w:t>
      </w:r>
    </w:p>
    <w:tbl>
      <w:tblPr>
        <w:tblStyle w:val="ListTable3-Accent1"/>
        <w:tblW w:w="10025" w:type="dxa"/>
        <w:tblLook w:val="04A0" w:firstRow="1" w:lastRow="0" w:firstColumn="1" w:lastColumn="0" w:noHBand="0" w:noVBand="1"/>
      </w:tblPr>
      <w:tblGrid>
        <w:gridCol w:w="423"/>
        <w:gridCol w:w="3414"/>
        <w:gridCol w:w="3448"/>
        <w:gridCol w:w="1587"/>
        <w:gridCol w:w="1153"/>
      </w:tblGrid>
      <w:tr w:rsidR="00524D8E" w:rsidRPr="00C22375" w14:paraId="7817923D" w14:textId="77777777" w:rsidTr="00524D8E">
        <w:trPr>
          <w:cnfStyle w:val="100000000000" w:firstRow="1" w:lastRow="0" w:firstColumn="0" w:lastColumn="0" w:oddVBand="0" w:evenVBand="0" w:oddHBand="0" w:evenHBand="0" w:firstRowFirstColumn="0" w:firstRowLastColumn="0" w:lastRowFirstColumn="0" w:lastRowLastColumn="0"/>
          <w:trHeight w:val="909"/>
        </w:trPr>
        <w:tc>
          <w:tcPr>
            <w:cnfStyle w:val="001000000100" w:firstRow="0" w:lastRow="0" w:firstColumn="1" w:lastColumn="0" w:oddVBand="0" w:evenVBand="0" w:oddHBand="0" w:evenHBand="0" w:firstRowFirstColumn="1" w:firstRowLastColumn="0" w:lastRowFirstColumn="0" w:lastRowLastColumn="0"/>
            <w:tcW w:w="423" w:type="dxa"/>
          </w:tcPr>
          <w:p w14:paraId="67A897C5" w14:textId="2A441285" w:rsidR="00524D8E" w:rsidRPr="00524D8E" w:rsidRDefault="00524D8E" w:rsidP="00524D8E">
            <w:pPr>
              <w:pStyle w:val="PwCNormal-Single"/>
              <w:jc w:val="center"/>
              <w:rPr>
                <w:b w:val="0"/>
                <w:bCs w:val="0"/>
                <w:snapToGrid/>
                <w:color w:val="FFFFFF" w:themeColor="background1"/>
                <w:lang w:eastAsia="en-AU"/>
              </w:rPr>
            </w:pPr>
            <w:r w:rsidRPr="00524D8E">
              <w:rPr>
                <w:b w:val="0"/>
                <w:bCs w:val="0"/>
                <w:snapToGrid/>
                <w:color w:val="FFFFFF" w:themeColor="background1"/>
                <w:lang w:eastAsia="en-AU"/>
              </w:rPr>
              <w:t>#</w:t>
            </w:r>
          </w:p>
        </w:tc>
        <w:tc>
          <w:tcPr>
            <w:tcW w:w="3414" w:type="dxa"/>
            <w:hideMark/>
          </w:tcPr>
          <w:p w14:paraId="7D8EB2A6" w14:textId="2934BFA3" w:rsidR="00524D8E" w:rsidRPr="00BB5FD4" w:rsidRDefault="00524D8E" w:rsidP="00BB5FD4">
            <w:pPr>
              <w:pStyle w:val="PwCNormal-Single"/>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napToGrid/>
                <w:color w:val="FFFFFF" w:themeColor="background1"/>
                <w:sz w:val="24"/>
                <w:szCs w:val="24"/>
                <w:lang w:eastAsia="en-AU"/>
              </w:rPr>
            </w:pPr>
            <w:r w:rsidRPr="00BB5FD4">
              <w:rPr>
                <w:snapToGrid/>
                <w:color w:val="FFFFFF" w:themeColor="background1"/>
                <w:lang w:eastAsia="en-AU"/>
              </w:rPr>
              <w:t>Report</w:t>
            </w:r>
          </w:p>
        </w:tc>
        <w:tc>
          <w:tcPr>
            <w:tcW w:w="0" w:type="auto"/>
            <w:hideMark/>
          </w:tcPr>
          <w:p w14:paraId="66687826" w14:textId="77777777" w:rsidR="00524D8E" w:rsidRPr="00BB5FD4" w:rsidRDefault="00524D8E" w:rsidP="00BB5FD4">
            <w:pPr>
              <w:pStyle w:val="PwCNormal-Single"/>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napToGrid/>
                <w:color w:val="FFFFFF" w:themeColor="background1"/>
                <w:sz w:val="24"/>
                <w:szCs w:val="24"/>
                <w:lang w:eastAsia="en-AU"/>
              </w:rPr>
            </w:pPr>
            <w:r w:rsidRPr="00BB5FD4">
              <w:rPr>
                <w:snapToGrid/>
                <w:color w:val="FFFFFF" w:themeColor="background1"/>
                <w:lang w:eastAsia="en-AU"/>
              </w:rPr>
              <w:t>Author</w:t>
            </w:r>
          </w:p>
        </w:tc>
        <w:tc>
          <w:tcPr>
            <w:tcW w:w="0" w:type="auto"/>
            <w:hideMark/>
          </w:tcPr>
          <w:p w14:paraId="50D62EBB" w14:textId="77777777" w:rsidR="00524D8E" w:rsidRPr="00BB5FD4" w:rsidRDefault="00524D8E" w:rsidP="00BB5FD4">
            <w:pPr>
              <w:pStyle w:val="PwCNormal-Single"/>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napToGrid/>
                <w:color w:val="FFFFFF" w:themeColor="background1"/>
                <w:sz w:val="24"/>
                <w:szCs w:val="24"/>
                <w:lang w:eastAsia="en-AU"/>
              </w:rPr>
            </w:pPr>
            <w:r w:rsidRPr="00BB5FD4">
              <w:rPr>
                <w:snapToGrid/>
                <w:color w:val="FFFFFF" w:themeColor="background1"/>
                <w:lang w:eastAsia="en-AU"/>
              </w:rPr>
              <w:t>Focus area</w:t>
            </w:r>
          </w:p>
        </w:tc>
        <w:tc>
          <w:tcPr>
            <w:tcW w:w="0" w:type="auto"/>
            <w:hideMark/>
          </w:tcPr>
          <w:p w14:paraId="43CBAF79" w14:textId="77777777" w:rsidR="00524D8E" w:rsidRPr="00BB5FD4" w:rsidRDefault="00524D8E" w:rsidP="00BB5FD4">
            <w:pPr>
              <w:pStyle w:val="PwCNormal-Single"/>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napToGrid/>
                <w:color w:val="FFFFFF" w:themeColor="background1"/>
                <w:sz w:val="24"/>
                <w:szCs w:val="24"/>
                <w:lang w:eastAsia="en-AU"/>
              </w:rPr>
            </w:pPr>
            <w:r w:rsidRPr="00BB5FD4">
              <w:rPr>
                <w:snapToGrid/>
                <w:color w:val="FFFFFF" w:themeColor="background1"/>
                <w:lang w:eastAsia="en-AU"/>
              </w:rPr>
              <w:t>Year of report release</w:t>
            </w:r>
          </w:p>
        </w:tc>
      </w:tr>
      <w:tr w:rsidR="00524D8E" w:rsidRPr="00C22375" w14:paraId="3510FDA3" w14:textId="77777777" w:rsidTr="00524D8E">
        <w:trPr>
          <w:cnfStyle w:val="000000100000" w:firstRow="0" w:lastRow="0" w:firstColumn="0" w:lastColumn="0" w:oddVBand="0" w:evenVBand="0" w:oddHBand="1" w:evenHBand="0" w:firstRowFirstColumn="0" w:firstRowLastColumn="0" w:lastRowFirstColumn="0" w:lastRowLastColumn="0"/>
          <w:trHeight w:val="761"/>
        </w:trPr>
        <w:tc>
          <w:tcPr>
            <w:cnfStyle w:val="001000000000" w:firstRow="0" w:lastRow="0" w:firstColumn="1" w:lastColumn="0" w:oddVBand="0" w:evenVBand="0" w:oddHBand="0" w:evenHBand="0" w:firstRowFirstColumn="0" w:firstRowLastColumn="0" w:lastRowFirstColumn="0" w:lastRowLastColumn="0"/>
            <w:tcW w:w="423" w:type="dxa"/>
          </w:tcPr>
          <w:p w14:paraId="64E58017" w14:textId="4D67AC55" w:rsidR="00524D8E" w:rsidRPr="00524D8E" w:rsidRDefault="00524D8E" w:rsidP="00524D8E">
            <w:pPr>
              <w:pStyle w:val="PwCNormal-Single"/>
              <w:jc w:val="center"/>
              <w:rPr>
                <w:b w:val="0"/>
                <w:bCs w:val="0"/>
                <w:snapToGrid/>
                <w:color w:val="auto"/>
                <w:lang w:eastAsia="en-AU"/>
              </w:rPr>
            </w:pPr>
            <w:r w:rsidRPr="00524D8E">
              <w:rPr>
                <w:b w:val="0"/>
                <w:bCs w:val="0"/>
                <w:snapToGrid/>
                <w:color w:val="auto"/>
                <w:lang w:eastAsia="en-AU"/>
              </w:rPr>
              <w:t>1</w:t>
            </w:r>
          </w:p>
        </w:tc>
        <w:tc>
          <w:tcPr>
            <w:tcW w:w="3414" w:type="dxa"/>
            <w:hideMark/>
          </w:tcPr>
          <w:p w14:paraId="3B5233D5" w14:textId="4E210C66" w:rsidR="00524D8E" w:rsidRPr="00C22375" w:rsidRDefault="00524D8E" w:rsidP="00BB5FD4">
            <w:pPr>
              <w:pStyle w:val="PwCNormal-Singl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napToGrid/>
                <w:sz w:val="24"/>
                <w:szCs w:val="24"/>
                <w:lang w:eastAsia="en-AU"/>
              </w:rPr>
            </w:pPr>
            <w:r w:rsidRPr="00C22375">
              <w:rPr>
                <w:snapToGrid/>
                <w:color w:val="000000"/>
                <w:lang w:eastAsia="en-AU"/>
              </w:rPr>
              <w:t>Education in Remote and Complex Environments</w:t>
            </w:r>
          </w:p>
        </w:tc>
        <w:tc>
          <w:tcPr>
            <w:tcW w:w="0" w:type="auto"/>
            <w:hideMark/>
          </w:tcPr>
          <w:p w14:paraId="5B9B4E04" w14:textId="77777777" w:rsidR="00524D8E" w:rsidRPr="00C22375" w:rsidRDefault="00524D8E" w:rsidP="00BB5FD4">
            <w:pPr>
              <w:pStyle w:val="PwCNormal-Singl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napToGrid/>
                <w:sz w:val="24"/>
                <w:szCs w:val="24"/>
                <w:lang w:eastAsia="en-AU"/>
              </w:rPr>
            </w:pPr>
            <w:r w:rsidRPr="00C22375">
              <w:rPr>
                <w:snapToGrid/>
                <w:color w:val="000000"/>
                <w:lang w:eastAsia="en-AU"/>
              </w:rPr>
              <w:t>The Parliament of the Commonwealth of Australia: Standing Committee on Employment, Education and Training</w:t>
            </w:r>
          </w:p>
        </w:tc>
        <w:tc>
          <w:tcPr>
            <w:tcW w:w="0" w:type="auto"/>
            <w:hideMark/>
          </w:tcPr>
          <w:p w14:paraId="700CCEE9" w14:textId="77777777" w:rsidR="00524D8E" w:rsidRPr="00C22375" w:rsidRDefault="00524D8E" w:rsidP="00BB5FD4">
            <w:pPr>
              <w:pStyle w:val="PwCNormal-Singl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napToGrid/>
                <w:sz w:val="24"/>
                <w:szCs w:val="24"/>
                <w:lang w:eastAsia="en-AU"/>
              </w:rPr>
            </w:pPr>
            <w:r w:rsidRPr="00C22375">
              <w:rPr>
                <w:snapToGrid/>
                <w:color w:val="000000"/>
                <w:lang w:eastAsia="en-AU"/>
              </w:rPr>
              <w:t>Learning needs of RRR students</w:t>
            </w:r>
          </w:p>
        </w:tc>
        <w:tc>
          <w:tcPr>
            <w:tcW w:w="0" w:type="auto"/>
            <w:hideMark/>
          </w:tcPr>
          <w:p w14:paraId="366AAA38" w14:textId="77777777" w:rsidR="00524D8E" w:rsidRPr="00C22375" w:rsidRDefault="00524D8E" w:rsidP="00BB5FD4">
            <w:pPr>
              <w:pStyle w:val="PwCNormal-Singl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napToGrid/>
                <w:sz w:val="24"/>
                <w:szCs w:val="24"/>
                <w:lang w:eastAsia="en-AU"/>
              </w:rPr>
            </w:pPr>
            <w:r w:rsidRPr="00C22375">
              <w:rPr>
                <w:snapToGrid/>
                <w:color w:val="000000"/>
                <w:lang w:eastAsia="en-AU"/>
              </w:rPr>
              <w:t>2020</w:t>
            </w:r>
          </w:p>
        </w:tc>
      </w:tr>
      <w:tr w:rsidR="00524D8E" w:rsidRPr="00C22375" w14:paraId="6B9E8170" w14:textId="77777777" w:rsidTr="00524D8E">
        <w:trPr>
          <w:trHeight w:val="1048"/>
        </w:trPr>
        <w:tc>
          <w:tcPr>
            <w:cnfStyle w:val="001000000000" w:firstRow="0" w:lastRow="0" w:firstColumn="1" w:lastColumn="0" w:oddVBand="0" w:evenVBand="0" w:oddHBand="0" w:evenHBand="0" w:firstRowFirstColumn="0" w:firstRowLastColumn="0" w:lastRowFirstColumn="0" w:lastRowLastColumn="0"/>
            <w:tcW w:w="423" w:type="dxa"/>
          </w:tcPr>
          <w:p w14:paraId="06EC8090" w14:textId="3B89E46B" w:rsidR="00524D8E" w:rsidRPr="00524D8E" w:rsidRDefault="00524D8E" w:rsidP="00524D8E">
            <w:pPr>
              <w:pStyle w:val="PwCNormal-Single"/>
              <w:jc w:val="center"/>
              <w:rPr>
                <w:b w:val="0"/>
                <w:bCs w:val="0"/>
                <w:snapToGrid/>
                <w:color w:val="auto"/>
                <w:lang w:eastAsia="en-AU"/>
              </w:rPr>
            </w:pPr>
            <w:r w:rsidRPr="00524D8E">
              <w:rPr>
                <w:b w:val="0"/>
                <w:bCs w:val="0"/>
                <w:snapToGrid/>
                <w:color w:val="auto"/>
                <w:lang w:eastAsia="en-AU"/>
              </w:rPr>
              <w:t>2</w:t>
            </w:r>
          </w:p>
        </w:tc>
        <w:tc>
          <w:tcPr>
            <w:tcW w:w="3414" w:type="dxa"/>
            <w:hideMark/>
          </w:tcPr>
          <w:p w14:paraId="67DF2124" w14:textId="214FA152" w:rsidR="00524D8E" w:rsidRPr="00C22375" w:rsidRDefault="00524D8E" w:rsidP="00BB5FD4">
            <w:pPr>
              <w:pStyle w:val="PwCNormal-Singl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napToGrid/>
                <w:sz w:val="24"/>
                <w:szCs w:val="24"/>
                <w:lang w:eastAsia="en-AU"/>
              </w:rPr>
            </w:pPr>
            <w:r w:rsidRPr="00C22375">
              <w:rPr>
                <w:snapToGrid/>
                <w:color w:val="000000"/>
                <w:lang w:eastAsia="en-AU"/>
              </w:rPr>
              <w:t xml:space="preserve">Looking to the Future - Report of the review of senior secondary pathways into work, further </w:t>
            </w:r>
            <w:proofErr w:type="gramStart"/>
            <w:r w:rsidRPr="00C22375">
              <w:rPr>
                <w:snapToGrid/>
                <w:color w:val="000000"/>
                <w:lang w:eastAsia="en-AU"/>
              </w:rPr>
              <w:t>education</w:t>
            </w:r>
            <w:proofErr w:type="gramEnd"/>
            <w:r w:rsidRPr="00C22375">
              <w:rPr>
                <w:snapToGrid/>
                <w:color w:val="000000"/>
                <w:lang w:eastAsia="en-AU"/>
              </w:rPr>
              <w:t xml:space="preserve"> and training (</w:t>
            </w:r>
            <w:r w:rsidRPr="00C22375">
              <w:rPr>
                <w:i/>
                <w:iCs/>
                <w:snapToGrid/>
                <w:color w:val="000000"/>
                <w:lang w:eastAsia="en-AU"/>
              </w:rPr>
              <w:t>Shergold Review</w:t>
            </w:r>
            <w:r w:rsidRPr="00C22375">
              <w:rPr>
                <w:snapToGrid/>
                <w:color w:val="000000"/>
                <w:lang w:eastAsia="en-AU"/>
              </w:rPr>
              <w:t>)</w:t>
            </w:r>
          </w:p>
        </w:tc>
        <w:tc>
          <w:tcPr>
            <w:tcW w:w="0" w:type="auto"/>
            <w:hideMark/>
          </w:tcPr>
          <w:p w14:paraId="7607547E" w14:textId="77777777" w:rsidR="00524D8E" w:rsidRPr="00C22375" w:rsidRDefault="00524D8E" w:rsidP="00BB5FD4">
            <w:pPr>
              <w:pStyle w:val="PwCNormal-Singl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napToGrid/>
                <w:sz w:val="24"/>
                <w:szCs w:val="24"/>
                <w:lang w:eastAsia="en-AU"/>
              </w:rPr>
            </w:pPr>
            <w:r w:rsidRPr="00C22375">
              <w:rPr>
                <w:snapToGrid/>
                <w:color w:val="000000"/>
                <w:lang w:eastAsia="en-AU"/>
              </w:rPr>
              <w:t>Education Council</w:t>
            </w:r>
          </w:p>
        </w:tc>
        <w:tc>
          <w:tcPr>
            <w:tcW w:w="0" w:type="auto"/>
            <w:hideMark/>
          </w:tcPr>
          <w:p w14:paraId="12414DA1" w14:textId="77777777" w:rsidR="00524D8E" w:rsidRPr="00C22375" w:rsidRDefault="00524D8E" w:rsidP="00BB5FD4">
            <w:pPr>
              <w:pStyle w:val="PwCNormal-Singl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napToGrid/>
                <w:sz w:val="24"/>
                <w:szCs w:val="24"/>
                <w:lang w:eastAsia="en-AU"/>
              </w:rPr>
            </w:pPr>
            <w:r w:rsidRPr="00C22375">
              <w:rPr>
                <w:snapToGrid/>
                <w:color w:val="000000"/>
                <w:lang w:eastAsia="en-AU"/>
              </w:rPr>
              <w:t>Senior secondary school pathways</w:t>
            </w:r>
          </w:p>
        </w:tc>
        <w:tc>
          <w:tcPr>
            <w:tcW w:w="0" w:type="auto"/>
            <w:hideMark/>
          </w:tcPr>
          <w:p w14:paraId="6E4BC3AC" w14:textId="77777777" w:rsidR="00524D8E" w:rsidRPr="00C22375" w:rsidRDefault="00524D8E" w:rsidP="00BB5FD4">
            <w:pPr>
              <w:pStyle w:val="PwCNormal-Singl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napToGrid/>
                <w:sz w:val="24"/>
                <w:szCs w:val="24"/>
                <w:lang w:eastAsia="en-AU"/>
              </w:rPr>
            </w:pPr>
            <w:r w:rsidRPr="00C22375">
              <w:rPr>
                <w:snapToGrid/>
                <w:color w:val="000000"/>
                <w:lang w:eastAsia="en-AU"/>
              </w:rPr>
              <w:t>2020</w:t>
            </w:r>
          </w:p>
        </w:tc>
      </w:tr>
      <w:tr w:rsidR="00524D8E" w:rsidRPr="00C22375" w14:paraId="4A96A828" w14:textId="77777777" w:rsidTr="00524D8E">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423" w:type="dxa"/>
          </w:tcPr>
          <w:p w14:paraId="63DC2735" w14:textId="23A1425C" w:rsidR="00524D8E" w:rsidRPr="00524D8E" w:rsidRDefault="00524D8E" w:rsidP="00524D8E">
            <w:pPr>
              <w:pStyle w:val="PwCNormal-Single"/>
              <w:jc w:val="center"/>
              <w:rPr>
                <w:b w:val="0"/>
                <w:bCs w:val="0"/>
                <w:snapToGrid/>
                <w:color w:val="auto"/>
                <w:lang w:eastAsia="en-AU"/>
              </w:rPr>
            </w:pPr>
            <w:r w:rsidRPr="00524D8E">
              <w:rPr>
                <w:b w:val="0"/>
                <w:bCs w:val="0"/>
                <w:snapToGrid/>
                <w:color w:val="auto"/>
                <w:lang w:eastAsia="en-AU"/>
              </w:rPr>
              <w:t>3</w:t>
            </w:r>
          </w:p>
        </w:tc>
        <w:tc>
          <w:tcPr>
            <w:tcW w:w="3414" w:type="dxa"/>
            <w:hideMark/>
          </w:tcPr>
          <w:p w14:paraId="3AD88B84" w14:textId="43670FF6" w:rsidR="00524D8E" w:rsidRPr="00C22375" w:rsidRDefault="00524D8E" w:rsidP="00BB5FD4">
            <w:pPr>
              <w:pStyle w:val="PwCNormal-Singl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napToGrid/>
                <w:sz w:val="24"/>
                <w:szCs w:val="24"/>
                <w:lang w:eastAsia="en-AU"/>
              </w:rPr>
            </w:pPr>
            <w:r w:rsidRPr="00C22375">
              <w:rPr>
                <w:snapToGrid/>
                <w:color w:val="000000"/>
                <w:lang w:eastAsia="en-AU"/>
              </w:rPr>
              <w:t>Strengthening skills: Expert review of Australia’s VET system (</w:t>
            </w:r>
            <w:r w:rsidRPr="00C22375">
              <w:rPr>
                <w:i/>
                <w:iCs/>
                <w:snapToGrid/>
                <w:color w:val="000000"/>
                <w:lang w:eastAsia="en-AU"/>
              </w:rPr>
              <w:t>Joyce Review</w:t>
            </w:r>
            <w:r w:rsidRPr="00C22375">
              <w:rPr>
                <w:snapToGrid/>
                <w:color w:val="000000"/>
                <w:lang w:eastAsia="en-AU"/>
              </w:rPr>
              <w:t>)</w:t>
            </w:r>
          </w:p>
        </w:tc>
        <w:tc>
          <w:tcPr>
            <w:tcW w:w="0" w:type="auto"/>
            <w:hideMark/>
          </w:tcPr>
          <w:p w14:paraId="206D1B1A" w14:textId="77777777" w:rsidR="00524D8E" w:rsidRPr="00C22375" w:rsidRDefault="00524D8E" w:rsidP="00BB5FD4">
            <w:pPr>
              <w:pStyle w:val="PwCNormal-Singl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napToGrid/>
                <w:sz w:val="24"/>
                <w:szCs w:val="24"/>
                <w:lang w:eastAsia="en-AU"/>
              </w:rPr>
            </w:pPr>
            <w:r w:rsidRPr="00C22375">
              <w:rPr>
                <w:snapToGrid/>
                <w:color w:val="000000"/>
                <w:lang w:eastAsia="en-AU"/>
              </w:rPr>
              <w:t>Steven Joyce</w:t>
            </w:r>
          </w:p>
        </w:tc>
        <w:tc>
          <w:tcPr>
            <w:tcW w:w="0" w:type="auto"/>
            <w:hideMark/>
          </w:tcPr>
          <w:p w14:paraId="14B56740" w14:textId="77777777" w:rsidR="00524D8E" w:rsidRPr="00C22375" w:rsidRDefault="00524D8E" w:rsidP="00BB5FD4">
            <w:pPr>
              <w:pStyle w:val="PwCNormal-Singl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napToGrid/>
                <w:sz w:val="24"/>
                <w:szCs w:val="24"/>
                <w:lang w:eastAsia="en-AU"/>
              </w:rPr>
            </w:pPr>
            <w:r w:rsidRPr="00C22375">
              <w:rPr>
                <w:snapToGrid/>
                <w:color w:val="000000"/>
                <w:lang w:eastAsia="en-AU"/>
              </w:rPr>
              <w:t>Whole of VET system</w:t>
            </w:r>
          </w:p>
        </w:tc>
        <w:tc>
          <w:tcPr>
            <w:tcW w:w="0" w:type="auto"/>
            <w:hideMark/>
          </w:tcPr>
          <w:p w14:paraId="0E46BB93" w14:textId="77777777" w:rsidR="00524D8E" w:rsidRPr="00C22375" w:rsidRDefault="00524D8E" w:rsidP="00BB5FD4">
            <w:pPr>
              <w:pStyle w:val="PwCNormal-Singl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napToGrid/>
                <w:sz w:val="24"/>
                <w:szCs w:val="24"/>
                <w:lang w:eastAsia="en-AU"/>
              </w:rPr>
            </w:pPr>
            <w:r w:rsidRPr="00C22375">
              <w:rPr>
                <w:snapToGrid/>
                <w:color w:val="000000"/>
                <w:lang w:eastAsia="en-AU"/>
              </w:rPr>
              <w:t>2019 </w:t>
            </w:r>
          </w:p>
        </w:tc>
      </w:tr>
      <w:tr w:rsidR="00524D8E" w:rsidRPr="00C22375" w14:paraId="26567376" w14:textId="77777777" w:rsidTr="00524D8E">
        <w:trPr>
          <w:trHeight w:val="785"/>
        </w:trPr>
        <w:tc>
          <w:tcPr>
            <w:cnfStyle w:val="001000000000" w:firstRow="0" w:lastRow="0" w:firstColumn="1" w:lastColumn="0" w:oddVBand="0" w:evenVBand="0" w:oddHBand="0" w:evenHBand="0" w:firstRowFirstColumn="0" w:firstRowLastColumn="0" w:lastRowFirstColumn="0" w:lastRowLastColumn="0"/>
            <w:tcW w:w="423" w:type="dxa"/>
          </w:tcPr>
          <w:p w14:paraId="0C0C7036" w14:textId="6E681B01" w:rsidR="00524D8E" w:rsidRPr="00524D8E" w:rsidRDefault="00524D8E" w:rsidP="00524D8E">
            <w:pPr>
              <w:pStyle w:val="PwCNormal-Single"/>
              <w:jc w:val="center"/>
              <w:rPr>
                <w:b w:val="0"/>
                <w:bCs w:val="0"/>
                <w:snapToGrid/>
                <w:color w:val="auto"/>
                <w:lang w:eastAsia="en-AU"/>
              </w:rPr>
            </w:pPr>
            <w:r w:rsidRPr="00524D8E">
              <w:rPr>
                <w:b w:val="0"/>
                <w:bCs w:val="0"/>
                <w:snapToGrid/>
                <w:color w:val="auto"/>
                <w:lang w:eastAsia="en-AU"/>
              </w:rPr>
              <w:t>4</w:t>
            </w:r>
          </w:p>
        </w:tc>
        <w:tc>
          <w:tcPr>
            <w:tcW w:w="3414" w:type="dxa"/>
            <w:hideMark/>
          </w:tcPr>
          <w:p w14:paraId="10BDD163" w14:textId="0C35EE87" w:rsidR="00524D8E" w:rsidRPr="00C22375" w:rsidRDefault="00524D8E" w:rsidP="00BB5FD4">
            <w:pPr>
              <w:pStyle w:val="PwCNormal-Singl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napToGrid/>
                <w:sz w:val="24"/>
                <w:szCs w:val="24"/>
                <w:lang w:eastAsia="en-AU"/>
              </w:rPr>
            </w:pPr>
            <w:r w:rsidRPr="00C22375">
              <w:rPr>
                <w:snapToGrid/>
                <w:color w:val="000000"/>
                <w:lang w:eastAsia="en-AU"/>
              </w:rPr>
              <w:t>National Regional, Rural and Remote Tertiary Education Strategy (</w:t>
            </w:r>
            <w:r w:rsidRPr="00C22375">
              <w:rPr>
                <w:i/>
                <w:iCs/>
                <w:snapToGrid/>
                <w:color w:val="000000"/>
                <w:lang w:eastAsia="en-AU"/>
              </w:rPr>
              <w:t>Napthine Review</w:t>
            </w:r>
            <w:r w:rsidRPr="00C22375">
              <w:rPr>
                <w:snapToGrid/>
                <w:color w:val="000000"/>
                <w:lang w:eastAsia="en-AU"/>
              </w:rPr>
              <w:t>)</w:t>
            </w:r>
          </w:p>
        </w:tc>
        <w:tc>
          <w:tcPr>
            <w:tcW w:w="0" w:type="auto"/>
            <w:hideMark/>
          </w:tcPr>
          <w:p w14:paraId="5D16880C" w14:textId="77777777" w:rsidR="00524D8E" w:rsidRPr="00C22375" w:rsidRDefault="00524D8E" w:rsidP="00BB5FD4">
            <w:pPr>
              <w:pStyle w:val="PwCNormal-Singl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napToGrid/>
                <w:sz w:val="24"/>
                <w:szCs w:val="24"/>
                <w:lang w:eastAsia="en-AU"/>
              </w:rPr>
            </w:pPr>
            <w:r w:rsidRPr="00C22375">
              <w:rPr>
                <w:snapToGrid/>
                <w:color w:val="000000"/>
                <w:lang w:eastAsia="en-AU"/>
              </w:rPr>
              <w:t>The Regional Education Expert Advisory Group </w:t>
            </w:r>
          </w:p>
        </w:tc>
        <w:tc>
          <w:tcPr>
            <w:tcW w:w="0" w:type="auto"/>
            <w:hideMark/>
          </w:tcPr>
          <w:p w14:paraId="446E2055" w14:textId="77777777" w:rsidR="00524D8E" w:rsidRPr="00C22375" w:rsidRDefault="00524D8E" w:rsidP="00BB5FD4">
            <w:pPr>
              <w:pStyle w:val="PwCNormal-Singl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napToGrid/>
                <w:sz w:val="24"/>
                <w:szCs w:val="24"/>
                <w:lang w:eastAsia="en-AU"/>
              </w:rPr>
            </w:pPr>
            <w:r w:rsidRPr="00C22375">
              <w:rPr>
                <w:snapToGrid/>
                <w:color w:val="000000"/>
                <w:lang w:eastAsia="en-AU"/>
              </w:rPr>
              <w:t>Tertiary education in RRR areas</w:t>
            </w:r>
          </w:p>
        </w:tc>
        <w:tc>
          <w:tcPr>
            <w:tcW w:w="0" w:type="auto"/>
            <w:hideMark/>
          </w:tcPr>
          <w:p w14:paraId="4FDB2CE7" w14:textId="77777777" w:rsidR="00524D8E" w:rsidRPr="00C22375" w:rsidRDefault="00524D8E" w:rsidP="00BB5FD4">
            <w:pPr>
              <w:pStyle w:val="PwCNormal-Singl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napToGrid/>
                <w:sz w:val="24"/>
                <w:szCs w:val="24"/>
                <w:lang w:eastAsia="en-AU"/>
              </w:rPr>
            </w:pPr>
            <w:r w:rsidRPr="00C22375">
              <w:rPr>
                <w:snapToGrid/>
                <w:color w:val="000000"/>
                <w:lang w:eastAsia="en-AU"/>
              </w:rPr>
              <w:t>2019</w:t>
            </w:r>
          </w:p>
        </w:tc>
      </w:tr>
      <w:tr w:rsidR="00524D8E" w:rsidRPr="00C22375" w14:paraId="7381D6A0" w14:textId="77777777" w:rsidTr="00524D8E">
        <w:trPr>
          <w:cnfStyle w:val="000000100000" w:firstRow="0" w:lastRow="0" w:firstColumn="0" w:lastColumn="0" w:oddVBand="0" w:evenVBand="0" w:oddHBand="1" w:evenHBand="0" w:firstRowFirstColumn="0" w:firstRowLastColumn="0" w:lastRowFirstColumn="0" w:lastRowLastColumn="0"/>
          <w:trHeight w:val="1024"/>
        </w:trPr>
        <w:tc>
          <w:tcPr>
            <w:cnfStyle w:val="001000000000" w:firstRow="0" w:lastRow="0" w:firstColumn="1" w:lastColumn="0" w:oddVBand="0" w:evenVBand="0" w:oddHBand="0" w:evenHBand="0" w:firstRowFirstColumn="0" w:firstRowLastColumn="0" w:lastRowFirstColumn="0" w:lastRowLastColumn="0"/>
            <w:tcW w:w="423" w:type="dxa"/>
          </w:tcPr>
          <w:p w14:paraId="48071FD8" w14:textId="3AF53177" w:rsidR="00524D8E" w:rsidRPr="00524D8E" w:rsidRDefault="00524D8E" w:rsidP="00524D8E">
            <w:pPr>
              <w:pStyle w:val="PwCNormal-Single"/>
              <w:jc w:val="center"/>
              <w:rPr>
                <w:b w:val="0"/>
                <w:bCs w:val="0"/>
                <w:snapToGrid/>
                <w:color w:val="auto"/>
                <w:lang w:eastAsia="en-AU"/>
              </w:rPr>
            </w:pPr>
            <w:r w:rsidRPr="00524D8E">
              <w:rPr>
                <w:b w:val="0"/>
                <w:bCs w:val="0"/>
                <w:snapToGrid/>
                <w:color w:val="auto"/>
                <w:lang w:eastAsia="en-AU"/>
              </w:rPr>
              <w:t>5</w:t>
            </w:r>
          </w:p>
        </w:tc>
        <w:tc>
          <w:tcPr>
            <w:tcW w:w="3414" w:type="dxa"/>
            <w:hideMark/>
          </w:tcPr>
          <w:p w14:paraId="5D982BAA" w14:textId="5912F9D4" w:rsidR="00524D8E" w:rsidRPr="00C22375" w:rsidRDefault="00524D8E" w:rsidP="00BB5FD4">
            <w:pPr>
              <w:pStyle w:val="PwCNormal-Singl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napToGrid/>
                <w:sz w:val="24"/>
                <w:szCs w:val="24"/>
                <w:lang w:eastAsia="en-AU"/>
              </w:rPr>
            </w:pPr>
            <w:r w:rsidRPr="00C22375">
              <w:rPr>
                <w:snapToGrid/>
                <w:color w:val="000000"/>
                <w:lang w:eastAsia="en-AU"/>
              </w:rPr>
              <w:t>Through Growth to Achievement</w:t>
            </w:r>
          </w:p>
          <w:p w14:paraId="31D002A2" w14:textId="77777777" w:rsidR="00524D8E" w:rsidRPr="00C22375" w:rsidRDefault="00524D8E" w:rsidP="00BB5FD4">
            <w:pPr>
              <w:pStyle w:val="PwCNormal-Singl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napToGrid/>
                <w:sz w:val="24"/>
                <w:szCs w:val="24"/>
                <w:lang w:eastAsia="en-AU"/>
              </w:rPr>
            </w:pPr>
            <w:r w:rsidRPr="00C22375">
              <w:rPr>
                <w:snapToGrid/>
                <w:color w:val="000000"/>
                <w:lang w:eastAsia="en-AU"/>
              </w:rPr>
              <w:t>Report of the Review to Achieve Educational Excellence</w:t>
            </w:r>
          </w:p>
          <w:p w14:paraId="1401CD95" w14:textId="77777777" w:rsidR="00524D8E" w:rsidRPr="00C22375" w:rsidRDefault="00524D8E" w:rsidP="00BB5FD4">
            <w:pPr>
              <w:pStyle w:val="PwCNormal-Singl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napToGrid/>
                <w:sz w:val="24"/>
                <w:szCs w:val="24"/>
                <w:lang w:eastAsia="en-AU"/>
              </w:rPr>
            </w:pPr>
            <w:r w:rsidRPr="00C22375">
              <w:rPr>
                <w:snapToGrid/>
                <w:color w:val="000000"/>
                <w:lang w:eastAsia="en-AU"/>
              </w:rPr>
              <w:t>in Australian Schools</w:t>
            </w:r>
          </w:p>
        </w:tc>
        <w:tc>
          <w:tcPr>
            <w:tcW w:w="0" w:type="auto"/>
            <w:hideMark/>
          </w:tcPr>
          <w:p w14:paraId="2438809B" w14:textId="77777777" w:rsidR="00524D8E" w:rsidRPr="00C22375" w:rsidRDefault="00524D8E" w:rsidP="00BB5FD4">
            <w:pPr>
              <w:pStyle w:val="PwCNormal-Singl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napToGrid/>
                <w:sz w:val="24"/>
                <w:szCs w:val="24"/>
                <w:lang w:eastAsia="en-AU"/>
              </w:rPr>
            </w:pPr>
            <w:r w:rsidRPr="00C22375">
              <w:rPr>
                <w:snapToGrid/>
                <w:color w:val="000000"/>
                <w:lang w:eastAsia="en-AU"/>
              </w:rPr>
              <w:t xml:space="preserve">Department of Education, </w:t>
            </w:r>
            <w:proofErr w:type="gramStart"/>
            <w:r w:rsidRPr="00C22375">
              <w:rPr>
                <w:snapToGrid/>
                <w:color w:val="000000"/>
                <w:lang w:eastAsia="en-AU"/>
              </w:rPr>
              <w:t>Skills</w:t>
            </w:r>
            <w:proofErr w:type="gramEnd"/>
            <w:r w:rsidRPr="00C22375">
              <w:rPr>
                <w:snapToGrid/>
                <w:color w:val="000000"/>
                <w:lang w:eastAsia="en-AU"/>
              </w:rPr>
              <w:t xml:space="preserve"> and Employment</w:t>
            </w:r>
          </w:p>
        </w:tc>
        <w:tc>
          <w:tcPr>
            <w:tcW w:w="0" w:type="auto"/>
            <w:hideMark/>
          </w:tcPr>
          <w:p w14:paraId="26AA8BFB" w14:textId="77777777" w:rsidR="00524D8E" w:rsidRPr="00C22375" w:rsidRDefault="00524D8E" w:rsidP="00BB5FD4">
            <w:pPr>
              <w:pStyle w:val="PwCNormal-Singl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napToGrid/>
                <w:sz w:val="24"/>
                <w:szCs w:val="24"/>
                <w:lang w:eastAsia="en-AU"/>
              </w:rPr>
            </w:pPr>
            <w:r w:rsidRPr="00C22375">
              <w:rPr>
                <w:snapToGrid/>
                <w:color w:val="000000"/>
                <w:lang w:eastAsia="en-AU"/>
              </w:rPr>
              <w:t>Senior secondary school excellence</w:t>
            </w:r>
          </w:p>
        </w:tc>
        <w:tc>
          <w:tcPr>
            <w:tcW w:w="0" w:type="auto"/>
            <w:hideMark/>
          </w:tcPr>
          <w:p w14:paraId="77C8F592" w14:textId="77777777" w:rsidR="00524D8E" w:rsidRPr="00C22375" w:rsidRDefault="00524D8E" w:rsidP="00BB5FD4">
            <w:pPr>
              <w:pStyle w:val="PwCNormal-Single"/>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napToGrid/>
                <w:sz w:val="24"/>
                <w:szCs w:val="24"/>
                <w:lang w:eastAsia="en-AU"/>
              </w:rPr>
            </w:pPr>
            <w:r w:rsidRPr="00C22375">
              <w:rPr>
                <w:snapToGrid/>
                <w:color w:val="000000"/>
                <w:lang w:eastAsia="en-AU"/>
              </w:rPr>
              <w:t>2018</w:t>
            </w:r>
          </w:p>
        </w:tc>
      </w:tr>
      <w:tr w:rsidR="00524D8E" w:rsidRPr="00C22375" w14:paraId="6045BE2E" w14:textId="77777777" w:rsidTr="00524D8E">
        <w:trPr>
          <w:trHeight w:val="785"/>
        </w:trPr>
        <w:tc>
          <w:tcPr>
            <w:cnfStyle w:val="001000000000" w:firstRow="0" w:lastRow="0" w:firstColumn="1" w:lastColumn="0" w:oddVBand="0" w:evenVBand="0" w:oddHBand="0" w:evenHBand="0" w:firstRowFirstColumn="0" w:firstRowLastColumn="0" w:lastRowFirstColumn="0" w:lastRowLastColumn="0"/>
            <w:tcW w:w="423" w:type="dxa"/>
          </w:tcPr>
          <w:p w14:paraId="43782FB7" w14:textId="2A5A401D" w:rsidR="00524D8E" w:rsidRPr="00524D8E" w:rsidRDefault="00524D8E" w:rsidP="00524D8E">
            <w:pPr>
              <w:pStyle w:val="PwCNormal-Single"/>
              <w:jc w:val="center"/>
              <w:rPr>
                <w:b w:val="0"/>
                <w:bCs w:val="0"/>
                <w:snapToGrid/>
                <w:color w:val="auto"/>
                <w:lang w:eastAsia="en-AU"/>
              </w:rPr>
            </w:pPr>
            <w:r w:rsidRPr="00524D8E">
              <w:rPr>
                <w:b w:val="0"/>
                <w:bCs w:val="0"/>
                <w:snapToGrid/>
                <w:color w:val="auto"/>
                <w:lang w:eastAsia="en-AU"/>
              </w:rPr>
              <w:t>6</w:t>
            </w:r>
          </w:p>
        </w:tc>
        <w:tc>
          <w:tcPr>
            <w:tcW w:w="3414" w:type="dxa"/>
            <w:hideMark/>
          </w:tcPr>
          <w:p w14:paraId="5713AA3D" w14:textId="690D6F6A" w:rsidR="00524D8E" w:rsidRPr="00C22375" w:rsidRDefault="00524D8E" w:rsidP="00BB5FD4">
            <w:pPr>
              <w:pStyle w:val="PwCNormal-Singl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napToGrid/>
                <w:sz w:val="24"/>
                <w:szCs w:val="24"/>
                <w:lang w:eastAsia="en-AU"/>
              </w:rPr>
            </w:pPr>
            <w:r w:rsidRPr="00C22375">
              <w:rPr>
                <w:snapToGrid/>
                <w:color w:val="000000"/>
                <w:lang w:eastAsia="en-AU"/>
              </w:rPr>
              <w:t>Independent Review into Regional, Rural and Remote Education (</w:t>
            </w:r>
            <w:r w:rsidRPr="00C22375">
              <w:rPr>
                <w:i/>
                <w:iCs/>
                <w:snapToGrid/>
                <w:color w:val="000000"/>
                <w:lang w:eastAsia="en-AU"/>
              </w:rPr>
              <w:t>Halsey Review</w:t>
            </w:r>
            <w:r w:rsidRPr="00C22375">
              <w:rPr>
                <w:snapToGrid/>
                <w:color w:val="000000"/>
                <w:lang w:eastAsia="en-AU"/>
              </w:rPr>
              <w:t>)</w:t>
            </w:r>
          </w:p>
        </w:tc>
        <w:tc>
          <w:tcPr>
            <w:tcW w:w="0" w:type="auto"/>
            <w:hideMark/>
          </w:tcPr>
          <w:p w14:paraId="2876D894" w14:textId="77777777" w:rsidR="00524D8E" w:rsidRPr="00C22375" w:rsidRDefault="00524D8E" w:rsidP="00BB5FD4">
            <w:pPr>
              <w:pStyle w:val="PwCNormal-Singl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napToGrid/>
                <w:sz w:val="24"/>
                <w:szCs w:val="24"/>
                <w:lang w:eastAsia="en-AU"/>
              </w:rPr>
            </w:pPr>
            <w:r w:rsidRPr="00C22375">
              <w:rPr>
                <w:snapToGrid/>
                <w:color w:val="000000"/>
                <w:lang w:eastAsia="en-AU"/>
              </w:rPr>
              <w:t>Dr John Halsey</w:t>
            </w:r>
          </w:p>
        </w:tc>
        <w:tc>
          <w:tcPr>
            <w:tcW w:w="0" w:type="auto"/>
            <w:hideMark/>
          </w:tcPr>
          <w:p w14:paraId="725F6740" w14:textId="77777777" w:rsidR="00524D8E" w:rsidRPr="00C22375" w:rsidRDefault="00524D8E" w:rsidP="00BB5FD4">
            <w:pPr>
              <w:pStyle w:val="PwCNormal-Singl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napToGrid/>
                <w:sz w:val="24"/>
                <w:szCs w:val="24"/>
                <w:lang w:eastAsia="en-AU"/>
              </w:rPr>
            </w:pPr>
            <w:r w:rsidRPr="00C22375">
              <w:rPr>
                <w:snapToGrid/>
                <w:color w:val="000000"/>
                <w:lang w:eastAsia="en-AU"/>
              </w:rPr>
              <w:t>Learning needs of RRR students</w:t>
            </w:r>
          </w:p>
        </w:tc>
        <w:tc>
          <w:tcPr>
            <w:tcW w:w="0" w:type="auto"/>
            <w:hideMark/>
          </w:tcPr>
          <w:p w14:paraId="5108F903" w14:textId="77777777" w:rsidR="00524D8E" w:rsidRPr="00C22375" w:rsidRDefault="00524D8E" w:rsidP="00BB5FD4">
            <w:pPr>
              <w:pStyle w:val="PwCNormal-Singl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napToGrid/>
                <w:sz w:val="24"/>
                <w:szCs w:val="24"/>
                <w:lang w:eastAsia="en-AU"/>
              </w:rPr>
            </w:pPr>
            <w:r w:rsidRPr="00C22375">
              <w:rPr>
                <w:snapToGrid/>
                <w:color w:val="000000"/>
                <w:lang w:eastAsia="en-AU"/>
              </w:rPr>
              <w:t>2018</w:t>
            </w:r>
          </w:p>
        </w:tc>
      </w:tr>
    </w:tbl>
    <w:p w14:paraId="3997D835" w14:textId="77777777" w:rsidR="00C22375" w:rsidRPr="00C22375" w:rsidRDefault="00C22375" w:rsidP="00BB5FD4">
      <w:pPr>
        <w:pStyle w:val="Majorheading"/>
        <w:rPr>
          <w:rFonts w:ascii="Times New Roman" w:hAnsi="Times New Roman" w:cs="Times New Roman"/>
          <w:snapToGrid/>
          <w:lang w:eastAsia="en-AU"/>
        </w:rPr>
      </w:pPr>
      <w:r w:rsidRPr="00C22375">
        <w:rPr>
          <w:snapToGrid/>
          <w:lang w:eastAsia="en-AU"/>
        </w:rPr>
        <w:t>Hypotheses for consultation </w:t>
      </w:r>
    </w:p>
    <w:p w14:paraId="114E4B30" w14:textId="77777777" w:rsidR="00C22375" w:rsidRPr="00C22375" w:rsidRDefault="00C22375" w:rsidP="00BB5FD4">
      <w:pPr>
        <w:pStyle w:val="PwCNormal"/>
        <w:rPr>
          <w:rFonts w:ascii="Times New Roman" w:hAnsi="Times New Roman" w:cs="Times New Roman"/>
          <w:snapToGrid/>
          <w:sz w:val="24"/>
          <w:szCs w:val="24"/>
          <w:lang w:eastAsia="en-AU"/>
        </w:rPr>
      </w:pPr>
      <w:r w:rsidRPr="00C22375">
        <w:rPr>
          <w:snapToGrid/>
          <w:lang w:eastAsia="en-AU"/>
        </w:rPr>
        <w:t xml:space="preserve">Analysis of the literature outlined in </w:t>
      </w:r>
      <w:r w:rsidRPr="00C22375">
        <w:rPr>
          <w:b/>
          <w:bCs/>
          <w:snapToGrid/>
          <w:lang w:eastAsia="en-AU"/>
        </w:rPr>
        <w:t xml:space="preserve">Table 1 </w:t>
      </w:r>
      <w:r w:rsidRPr="00C22375">
        <w:rPr>
          <w:snapToGrid/>
          <w:lang w:eastAsia="en-AU"/>
        </w:rPr>
        <w:t xml:space="preserve">informed the hypotheses that were tested in consultation and explored in further detail with stakeholders. </w:t>
      </w:r>
      <w:proofErr w:type="gramStart"/>
      <w:r w:rsidRPr="00C22375">
        <w:rPr>
          <w:snapToGrid/>
          <w:lang w:eastAsia="en-AU"/>
        </w:rPr>
        <w:t>In particular, based</w:t>
      </w:r>
      <w:proofErr w:type="gramEnd"/>
      <w:r w:rsidRPr="00C22375">
        <w:rPr>
          <w:snapToGrid/>
          <w:lang w:eastAsia="en-AU"/>
        </w:rPr>
        <w:t xml:space="preserve"> on the above, the following key hypotheses were tested: </w:t>
      </w:r>
    </w:p>
    <w:p w14:paraId="03A7336D" w14:textId="77777777" w:rsidR="00C22375" w:rsidRPr="00C22375" w:rsidRDefault="00C22375" w:rsidP="00BB5FD4">
      <w:pPr>
        <w:pStyle w:val="ListBullet"/>
        <w:rPr>
          <w:snapToGrid/>
          <w:lang w:eastAsia="en-AU"/>
        </w:rPr>
      </w:pPr>
      <w:r w:rsidRPr="00C22375">
        <w:rPr>
          <w:snapToGrid/>
          <w:lang w:eastAsia="en-AU"/>
        </w:rPr>
        <w:t>VETDSS programs are recognised as a valuable pathway from school to further education, training and/or employment in RRR areas.</w:t>
      </w:r>
    </w:p>
    <w:p w14:paraId="406C9EE9" w14:textId="77777777" w:rsidR="00C22375" w:rsidRPr="00C22375" w:rsidRDefault="00C22375" w:rsidP="00BB5FD4">
      <w:pPr>
        <w:pStyle w:val="ListBullet"/>
        <w:rPr>
          <w:snapToGrid/>
          <w:lang w:eastAsia="en-AU"/>
        </w:rPr>
      </w:pPr>
      <w:r w:rsidRPr="00C22375">
        <w:rPr>
          <w:snapToGrid/>
          <w:lang w:eastAsia="en-AU"/>
        </w:rPr>
        <w:t>Diversity of VETDSS program options is limited in RRR areas due to student numbers and required economies of scale.</w:t>
      </w:r>
    </w:p>
    <w:p w14:paraId="221920F8" w14:textId="77777777" w:rsidR="00C22375" w:rsidRPr="00C22375" w:rsidRDefault="00C22375" w:rsidP="00BB5FD4">
      <w:pPr>
        <w:pStyle w:val="ListBullet"/>
        <w:rPr>
          <w:snapToGrid/>
          <w:lang w:eastAsia="en-AU"/>
        </w:rPr>
      </w:pPr>
      <w:r w:rsidRPr="00C22375">
        <w:rPr>
          <w:snapToGrid/>
          <w:lang w:eastAsia="en-AU"/>
        </w:rPr>
        <w:t>There are challenges for RRR students in accessing VET programs, including geographical distance and limited resources. </w:t>
      </w:r>
    </w:p>
    <w:p w14:paraId="39129925" w14:textId="77777777" w:rsidR="00C22375" w:rsidRPr="00C22375" w:rsidRDefault="00C22375" w:rsidP="00BB5FD4">
      <w:pPr>
        <w:pStyle w:val="ListBullet"/>
        <w:rPr>
          <w:snapToGrid/>
          <w:lang w:eastAsia="en-AU"/>
        </w:rPr>
      </w:pPr>
      <w:r w:rsidRPr="00C22375">
        <w:rPr>
          <w:snapToGrid/>
          <w:lang w:eastAsia="en-AU"/>
        </w:rPr>
        <w:t>For students and their families, there can be significant costs in accessing VET programs. </w:t>
      </w:r>
    </w:p>
    <w:p w14:paraId="1989EC1F" w14:textId="77777777" w:rsidR="00C22375" w:rsidRPr="00C22375" w:rsidRDefault="00C22375" w:rsidP="00BB5FD4">
      <w:pPr>
        <w:pStyle w:val="ListBullet"/>
        <w:rPr>
          <w:snapToGrid/>
          <w:lang w:eastAsia="en-AU"/>
        </w:rPr>
      </w:pPr>
      <w:r w:rsidRPr="00C22375">
        <w:rPr>
          <w:snapToGrid/>
          <w:lang w:eastAsia="en-AU"/>
        </w:rPr>
        <w:t>VETDSS programs thrive in RRR communities where there is a strong link and relevance with the local economy, and students are given practical work placement opportunities.</w:t>
      </w:r>
    </w:p>
    <w:p w14:paraId="04F41506" w14:textId="35DB740B" w:rsidR="00C22375" w:rsidRPr="00BB5FD4" w:rsidRDefault="00C22375" w:rsidP="00BB5FD4">
      <w:pPr>
        <w:pStyle w:val="ListBullet"/>
        <w:rPr>
          <w:snapToGrid/>
          <w:lang w:eastAsia="en-AU"/>
        </w:rPr>
      </w:pPr>
      <w:r w:rsidRPr="00C22375">
        <w:rPr>
          <w:snapToGrid/>
          <w:lang w:eastAsia="en-AU"/>
        </w:rPr>
        <w:t>Limited availability of qualified VET teachers is an issue that impacts those in RRR areas disproportionately to metropolitan areas.</w:t>
      </w:r>
    </w:p>
    <w:p w14:paraId="6DE9AFD5" w14:textId="0B99F820" w:rsidR="00C22375" w:rsidRPr="002878B8" w:rsidRDefault="00C22375" w:rsidP="002878B8">
      <w:pPr>
        <w:pStyle w:val="Headings1"/>
      </w:pPr>
      <w:bookmarkStart w:id="9" w:name="_Toc135665566"/>
      <w:r w:rsidRPr="002878B8">
        <w:lastRenderedPageBreak/>
        <w:t>Findings and analysis</w:t>
      </w:r>
      <w:bookmarkEnd w:id="9"/>
    </w:p>
    <w:p w14:paraId="26E03EF8" w14:textId="0B99F820" w:rsidR="00C22375" w:rsidRPr="00BB5FD4" w:rsidRDefault="00C22375" w:rsidP="00BB5FD4">
      <w:pPr>
        <w:pStyle w:val="Bodyheadline"/>
      </w:pPr>
      <w:r w:rsidRPr="00BB5FD4">
        <w:t>Part 1: The current state of VETDSS in RRR areas</w:t>
      </w:r>
    </w:p>
    <w:p w14:paraId="03DC8956" w14:textId="56242C78" w:rsidR="00C22375" w:rsidRDefault="00C22375" w:rsidP="00BB5FD4">
      <w:pPr>
        <w:pStyle w:val="PwCNormal"/>
      </w:pPr>
      <w:r>
        <w:t xml:space="preserve">This section provides an evidence base for the current arrangements for VETDSS in RRR </w:t>
      </w:r>
      <w:r w:rsidR="004A738D">
        <w:t xml:space="preserve">areas </w:t>
      </w:r>
      <w:r>
        <w:t>across the different jurisdictions and explores the key drivers for these arrangements. This section also analyses the commonalities and differences that may exist across jurisdictions with regards to VETDSS in regional settings. </w:t>
      </w:r>
    </w:p>
    <w:p w14:paraId="3E8D6888" w14:textId="2203BADD" w:rsidR="00C22375" w:rsidRDefault="00C22375" w:rsidP="00BB5FD4">
      <w:pPr>
        <w:pStyle w:val="Minorheading"/>
      </w:pPr>
      <w:r>
        <w:t xml:space="preserve">Figure </w:t>
      </w:r>
      <w:r w:rsidR="00D906AE">
        <w:t>4</w:t>
      </w:r>
      <w:r>
        <w:t xml:space="preserve"> - Key findings for Part 1</w:t>
      </w:r>
    </w:p>
    <w:tbl>
      <w:tblPr>
        <w:tblStyle w:val="TableGrid"/>
        <w:tblW w:w="9809"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1229"/>
        <w:gridCol w:w="8580"/>
      </w:tblGrid>
      <w:tr w:rsidR="00876C59" w14:paraId="63EDA6CB" w14:textId="77777777" w:rsidTr="00DF08D8">
        <w:trPr>
          <w:trHeight w:val="524"/>
        </w:trPr>
        <w:tc>
          <w:tcPr>
            <w:tcW w:w="1229" w:type="dxa"/>
            <w:shd w:val="clear" w:color="auto" w:fill="EB8C00" w:themeFill="accent4"/>
          </w:tcPr>
          <w:p w14:paraId="00D7C51C" w14:textId="77777777" w:rsidR="00876C59" w:rsidRPr="00A77C50" w:rsidRDefault="00876C59" w:rsidP="00153D8A">
            <w:pPr>
              <w:spacing w:beforeLines="50" w:before="120" w:afterLines="50" w:after="120"/>
              <w:jc w:val="center"/>
              <w:rPr>
                <w:b/>
                <w:bCs/>
                <w:sz w:val="40"/>
                <w:szCs w:val="40"/>
              </w:rPr>
            </w:pPr>
            <w:r w:rsidRPr="00A77C50">
              <w:rPr>
                <w:b/>
                <w:bCs/>
                <w:sz w:val="40"/>
                <w:szCs w:val="40"/>
              </w:rPr>
              <w:t>A</w:t>
            </w:r>
          </w:p>
        </w:tc>
        <w:tc>
          <w:tcPr>
            <w:tcW w:w="8580" w:type="dxa"/>
            <w:shd w:val="clear" w:color="auto" w:fill="DEDEDE" w:themeFill="background2"/>
          </w:tcPr>
          <w:p w14:paraId="70B17BF7" w14:textId="77777777" w:rsidR="00876C59" w:rsidRPr="00645ECF" w:rsidRDefault="00876C59" w:rsidP="002878B8">
            <w:pPr>
              <w:pStyle w:val="PwCNormal"/>
            </w:pPr>
            <w:r w:rsidRPr="00EE7C86">
              <w:t>According to the National Centre for Vocational Education Research (NCVER), approximately 30% of students completing VET in Schools programs are in RRR Australia.</w:t>
            </w:r>
          </w:p>
        </w:tc>
      </w:tr>
      <w:tr w:rsidR="00876C59" w14:paraId="5AF0CE79" w14:textId="77777777" w:rsidTr="00DF08D8">
        <w:trPr>
          <w:trHeight w:val="524"/>
        </w:trPr>
        <w:tc>
          <w:tcPr>
            <w:tcW w:w="1229" w:type="dxa"/>
            <w:shd w:val="clear" w:color="auto" w:fill="EB8C00" w:themeFill="accent4"/>
          </w:tcPr>
          <w:p w14:paraId="2F24AD10" w14:textId="77777777" w:rsidR="00876C59" w:rsidRPr="00A77C50" w:rsidRDefault="00876C59" w:rsidP="00153D8A">
            <w:pPr>
              <w:spacing w:beforeLines="50" w:before="120" w:afterLines="50" w:after="120"/>
              <w:jc w:val="center"/>
              <w:rPr>
                <w:b/>
                <w:bCs/>
                <w:sz w:val="40"/>
                <w:szCs w:val="40"/>
              </w:rPr>
            </w:pPr>
            <w:r w:rsidRPr="00A77C50">
              <w:rPr>
                <w:b/>
                <w:bCs/>
                <w:sz w:val="40"/>
                <w:szCs w:val="40"/>
              </w:rPr>
              <w:t>B</w:t>
            </w:r>
          </w:p>
        </w:tc>
        <w:tc>
          <w:tcPr>
            <w:tcW w:w="8580" w:type="dxa"/>
            <w:shd w:val="clear" w:color="auto" w:fill="DEDEDE" w:themeFill="background2"/>
          </w:tcPr>
          <w:p w14:paraId="2D100732" w14:textId="77777777" w:rsidR="00876C59" w:rsidRPr="00645ECF" w:rsidRDefault="00876C59" w:rsidP="002878B8">
            <w:pPr>
              <w:pStyle w:val="PwCNormal"/>
            </w:pPr>
            <w:r w:rsidRPr="00EE7C86">
              <w:t>There is no one dominant delivery model for VETDSS in RRR areas. Rather, the delivery model used within a particular state or territory is driven by their local circumstances.</w:t>
            </w:r>
          </w:p>
        </w:tc>
      </w:tr>
      <w:tr w:rsidR="00876C59" w14:paraId="6C5F9B0F" w14:textId="77777777" w:rsidTr="00DF08D8">
        <w:trPr>
          <w:trHeight w:val="524"/>
        </w:trPr>
        <w:tc>
          <w:tcPr>
            <w:tcW w:w="1229" w:type="dxa"/>
            <w:shd w:val="clear" w:color="auto" w:fill="EB8C00" w:themeFill="accent4"/>
          </w:tcPr>
          <w:p w14:paraId="632DD278" w14:textId="77777777" w:rsidR="00876C59" w:rsidRPr="00A77C50" w:rsidRDefault="00876C59" w:rsidP="00153D8A">
            <w:pPr>
              <w:spacing w:beforeLines="50" w:before="120" w:afterLines="50" w:after="120"/>
              <w:jc w:val="center"/>
              <w:rPr>
                <w:b/>
                <w:bCs/>
                <w:sz w:val="40"/>
                <w:szCs w:val="40"/>
              </w:rPr>
            </w:pPr>
            <w:r w:rsidRPr="00A77C50">
              <w:rPr>
                <w:b/>
                <w:bCs/>
                <w:sz w:val="40"/>
                <w:szCs w:val="40"/>
              </w:rPr>
              <w:t>C</w:t>
            </w:r>
          </w:p>
        </w:tc>
        <w:tc>
          <w:tcPr>
            <w:tcW w:w="8580" w:type="dxa"/>
            <w:shd w:val="clear" w:color="auto" w:fill="DEDEDE" w:themeFill="background2"/>
          </w:tcPr>
          <w:p w14:paraId="6FF02F9D" w14:textId="407E9AFD" w:rsidR="00876C59" w:rsidRPr="00645ECF" w:rsidRDefault="00876C59" w:rsidP="002878B8">
            <w:pPr>
              <w:pStyle w:val="PwCNormal"/>
            </w:pPr>
            <w:r w:rsidRPr="00EE7C86">
              <w:t>Some jurisdictions have policies relating to the delivery of VET in RRR area</w:t>
            </w:r>
            <w:r>
              <w:t>s, including South Australia and Tasmania.</w:t>
            </w:r>
          </w:p>
        </w:tc>
      </w:tr>
      <w:tr w:rsidR="00876C59" w14:paraId="21A90CAD" w14:textId="77777777" w:rsidTr="00DF08D8">
        <w:trPr>
          <w:trHeight w:val="524"/>
        </w:trPr>
        <w:tc>
          <w:tcPr>
            <w:tcW w:w="1229" w:type="dxa"/>
            <w:shd w:val="clear" w:color="auto" w:fill="EB8C00" w:themeFill="accent4"/>
          </w:tcPr>
          <w:p w14:paraId="2ACC8690" w14:textId="77777777" w:rsidR="00876C59" w:rsidRPr="00A77C50" w:rsidRDefault="00876C59" w:rsidP="00153D8A">
            <w:pPr>
              <w:spacing w:beforeLines="50" w:before="120" w:afterLines="50" w:after="120"/>
              <w:jc w:val="center"/>
              <w:rPr>
                <w:b/>
                <w:bCs/>
                <w:sz w:val="40"/>
                <w:szCs w:val="40"/>
              </w:rPr>
            </w:pPr>
            <w:r w:rsidRPr="00A77C50">
              <w:rPr>
                <w:b/>
                <w:bCs/>
                <w:sz w:val="40"/>
                <w:szCs w:val="40"/>
              </w:rPr>
              <w:t>D</w:t>
            </w:r>
          </w:p>
        </w:tc>
        <w:tc>
          <w:tcPr>
            <w:tcW w:w="8580" w:type="dxa"/>
            <w:shd w:val="clear" w:color="auto" w:fill="DEDEDE" w:themeFill="background2"/>
          </w:tcPr>
          <w:p w14:paraId="0352FC63" w14:textId="726CA450" w:rsidR="00876C59" w:rsidRPr="00645ECF" w:rsidRDefault="00876C59" w:rsidP="002878B8">
            <w:pPr>
              <w:pStyle w:val="PwCNormal"/>
            </w:pPr>
            <w:r w:rsidRPr="00876C59">
              <w:t>Stakeholders highlighted the differences between jurisdictions regarding RRR status. In some states, a regional city is 115 kilometres from a metropolitan city (e.g. Ballarat in Victoria) and in other states, a regional city could be as far as 415 kilometres from a metropolitan city (e.g. Geraldton in Western Australia).</w:t>
            </w:r>
          </w:p>
        </w:tc>
      </w:tr>
      <w:tr w:rsidR="00876C59" w14:paraId="10EFBF75" w14:textId="77777777" w:rsidTr="00DF08D8">
        <w:trPr>
          <w:trHeight w:val="524"/>
        </w:trPr>
        <w:tc>
          <w:tcPr>
            <w:tcW w:w="1229" w:type="dxa"/>
            <w:shd w:val="clear" w:color="auto" w:fill="EB8C00" w:themeFill="accent4"/>
          </w:tcPr>
          <w:p w14:paraId="6D5810DB" w14:textId="77777777" w:rsidR="00876C59" w:rsidRPr="00A77C50" w:rsidRDefault="00876C59" w:rsidP="00153D8A">
            <w:pPr>
              <w:spacing w:beforeLines="50" w:before="120" w:afterLines="50" w:after="120"/>
              <w:jc w:val="center"/>
              <w:rPr>
                <w:b/>
                <w:bCs/>
                <w:sz w:val="40"/>
                <w:szCs w:val="40"/>
              </w:rPr>
            </w:pPr>
            <w:r w:rsidRPr="00A77C50">
              <w:rPr>
                <w:b/>
                <w:bCs/>
                <w:sz w:val="40"/>
                <w:szCs w:val="40"/>
              </w:rPr>
              <w:t>E</w:t>
            </w:r>
          </w:p>
        </w:tc>
        <w:tc>
          <w:tcPr>
            <w:tcW w:w="8580" w:type="dxa"/>
            <w:shd w:val="clear" w:color="auto" w:fill="DEDEDE" w:themeFill="background2"/>
          </w:tcPr>
          <w:p w14:paraId="668B8164" w14:textId="7844C7B5" w:rsidR="00876C59" w:rsidRPr="00645ECF" w:rsidRDefault="00876C59" w:rsidP="002878B8">
            <w:pPr>
              <w:pStyle w:val="PwCNormal"/>
            </w:pPr>
            <w:r w:rsidRPr="00876C59">
              <w:t>In some jurisdictions, including Queensland and Victoria, schools in RRR areas reported collaboration across the three school sectors.</w:t>
            </w:r>
          </w:p>
        </w:tc>
      </w:tr>
      <w:tr w:rsidR="00876C59" w14:paraId="3C29B4B2" w14:textId="77777777" w:rsidTr="00DF08D8">
        <w:trPr>
          <w:trHeight w:val="524"/>
        </w:trPr>
        <w:tc>
          <w:tcPr>
            <w:tcW w:w="1229" w:type="dxa"/>
            <w:shd w:val="clear" w:color="auto" w:fill="EB8C00" w:themeFill="accent4"/>
          </w:tcPr>
          <w:p w14:paraId="5890B515" w14:textId="77777777" w:rsidR="00876C59" w:rsidRPr="00A77C50" w:rsidRDefault="00876C59" w:rsidP="00153D8A">
            <w:pPr>
              <w:spacing w:beforeLines="50" w:before="120" w:afterLines="50" w:after="120"/>
              <w:jc w:val="center"/>
              <w:rPr>
                <w:b/>
                <w:bCs/>
                <w:sz w:val="40"/>
                <w:szCs w:val="40"/>
              </w:rPr>
            </w:pPr>
            <w:r w:rsidRPr="00A77C50">
              <w:rPr>
                <w:b/>
                <w:bCs/>
                <w:sz w:val="40"/>
                <w:szCs w:val="40"/>
              </w:rPr>
              <w:t>F</w:t>
            </w:r>
          </w:p>
        </w:tc>
        <w:tc>
          <w:tcPr>
            <w:tcW w:w="8580" w:type="dxa"/>
            <w:shd w:val="clear" w:color="auto" w:fill="DEDEDE" w:themeFill="background2"/>
          </w:tcPr>
          <w:p w14:paraId="427FCEB4" w14:textId="77777777" w:rsidR="00876C59" w:rsidRPr="00645ECF" w:rsidRDefault="00876C59" w:rsidP="002878B8">
            <w:pPr>
              <w:pStyle w:val="PwCNormal"/>
            </w:pPr>
            <w:r w:rsidRPr="00EE7C86">
              <w:t>Schools in RRR areas may use online learning for some components of their VETDSS program, as they may be too geographically distant to access face-to-face learning opportunities. </w:t>
            </w:r>
          </w:p>
        </w:tc>
      </w:tr>
    </w:tbl>
    <w:p w14:paraId="274D2409" w14:textId="77777777" w:rsidR="00876C59" w:rsidRDefault="00876C59" w:rsidP="00C22375">
      <w:pPr>
        <w:pStyle w:val="NormalWeb"/>
        <w:spacing w:before="0" w:beforeAutospacing="0" w:after="200" w:afterAutospacing="0"/>
        <w:rPr>
          <w:rFonts w:ascii="Arial" w:hAnsi="Arial" w:cs="Arial"/>
          <w:b/>
          <w:bCs/>
          <w:color w:val="000000"/>
          <w:sz w:val="20"/>
          <w:szCs w:val="20"/>
        </w:rPr>
      </w:pPr>
    </w:p>
    <w:p w14:paraId="7D3DCBB2" w14:textId="77777777" w:rsidR="00876C59" w:rsidRDefault="00C22375" w:rsidP="00876C59">
      <w:pPr>
        <w:pStyle w:val="Minorheading2"/>
      </w:pPr>
      <w:r>
        <w:t xml:space="preserve">A. According to the National Centre for Vocational Education Research (NCVER), approximately 30% of students completing VET in Schools programs </w:t>
      </w:r>
      <w:proofErr w:type="gramStart"/>
      <w:r>
        <w:t>are located in</w:t>
      </w:r>
      <w:proofErr w:type="gramEnd"/>
      <w:r>
        <w:t xml:space="preserve"> RRR Australia. </w:t>
      </w:r>
    </w:p>
    <w:p w14:paraId="7ED923A4" w14:textId="171DAFF1" w:rsidR="00C22375" w:rsidRDefault="00C22375" w:rsidP="00876C59">
      <w:pPr>
        <w:pStyle w:val="PwCNormal"/>
      </w:pPr>
      <w:r>
        <w:t>Each year, the NCVER’s VET in Schools collection provides data for VET undertaken by school students as part of their Senior Secondary Certificate of Education (SSCE), where the training is nationally recognised or delivered by schools or other training providers.</w:t>
      </w:r>
      <w:r w:rsidR="007A44F4">
        <w:rPr>
          <w:rStyle w:val="FootnoteReference"/>
        </w:rPr>
        <w:footnoteReference w:id="4"/>
      </w:r>
      <w:r>
        <w:t xml:space="preserve"> The collection provides information about students enrolled in a VET in Schools program, including their gender, country of birth, Indigenous status, disability status and, importantly for this Stream of work, their remoteness status. According to the 2020 Collection, 240,770 students were enrolled in a VET in Schools program in Australia, with 122,305 (50.7%) of them from major cities and 72,090 of them (29.9%) from RRR areas.</w:t>
      </w:r>
      <w:r w:rsidR="007A44F4">
        <w:rPr>
          <w:rStyle w:val="FootnoteReference"/>
        </w:rPr>
        <w:footnoteReference w:id="5"/>
      </w:r>
      <w:r>
        <w:t xml:space="preserve"> It is noted that 46,375 (19.3%) students have an unknown or unreported location, and an additional 400 students are offshore. As seen in </w:t>
      </w:r>
      <w:r>
        <w:rPr>
          <w:b/>
          <w:bCs/>
        </w:rPr>
        <w:t xml:space="preserve">Table 2, </w:t>
      </w:r>
      <w:r>
        <w:t>the NCVER’s data indicates that the proportion of VET in Schools students located in RRR areas varies between jurisdictions. For example, approximately 43% of VET in Schools students in South Australia are from RRR areas, whereas 30% of these students in NSW are from RRR areas. </w:t>
      </w:r>
    </w:p>
    <w:p w14:paraId="6B3958DD" w14:textId="6198F7E0" w:rsidR="00C22375" w:rsidRDefault="00C22375" w:rsidP="00876C59">
      <w:pPr>
        <w:pStyle w:val="PwCNormal"/>
      </w:pPr>
      <w:r>
        <w:lastRenderedPageBreak/>
        <w:t>Please note, when interpreting this data from the NCVER, it is important to recognise that there are known challenges with the VET in Schools Collection. Specifically, there are differences in definitional and compilation practices across jurisdictions</w:t>
      </w:r>
    </w:p>
    <w:p w14:paraId="12131418" w14:textId="1E95B0EE" w:rsidR="00C22375" w:rsidRDefault="00C22375" w:rsidP="00876C59">
      <w:pPr>
        <w:pStyle w:val="Minorheading"/>
      </w:pPr>
      <w:r>
        <w:t>Table 2 - Breakdown of VET in Schools students by students’ jurisdiction and remoteness region (VET in Schools 2020 Collection)</w:t>
      </w:r>
      <w:r w:rsidR="00C67496">
        <w:rPr>
          <w:rStyle w:val="FootnoteReference"/>
        </w:rPr>
        <w:footnoteReference w:id="6"/>
      </w:r>
    </w:p>
    <w:tbl>
      <w:tblPr>
        <w:tblStyle w:val="GridTable5Dark-Accent1"/>
        <w:tblW w:w="9638" w:type="dxa"/>
        <w:tblLook w:val="04A0" w:firstRow="1" w:lastRow="0" w:firstColumn="1" w:lastColumn="0" w:noHBand="0" w:noVBand="1"/>
      </w:tblPr>
      <w:tblGrid>
        <w:gridCol w:w="1699"/>
        <w:gridCol w:w="2314"/>
        <w:gridCol w:w="2164"/>
        <w:gridCol w:w="2164"/>
        <w:gridCol w:w="1297"/>
      </w:tblGrid>
      <w:tr w:rsidR="00C22375" w14:paraId="41ED86A2" w14:textId="77777777" w:rsidTr="00A77C5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14:paraId="00F68F4D" w14:textId="77777777" w:rsidR="00C22375" w:rsidRDefault="00C22375" w:rsidP="00876C59">
            <w:pPr>
              <w:pStyle w:val="PwCNormal-Single"/>
            </w:pPr>
          </w:p>
        </w:tc>
        <w:tc>
          <w:tcPr>
            <w:tcW w:w="0" w:type="auto"/>
            <w:hideMark/>
          </w:tcPr>
          <w:p w14:paraId="0DE42164" w14:textId="77777777" w:rsidR="00C22375" w:rsidRDefault="00C22375" w:rsidP="00876C59">
            <w:pPr>
              <w:pStyle w:val="PwCNormal-Single"/>
              <w:cnfStyle w:val="100000000000" w:firstRow="1" w:lastRow="0" w:firstColumn="0" w:lastColumn="0" w:oddVBand="0" w:evenVBand="0" w:oddHBand="0" w:evenHBand="0" w:firstRowFirstColumn="0" w:firstRowLastColumn="0" w:lastRowFirstColumn="0" w:lastRowLastColumn="0"/>
            </w:pPr>
            <w:r>
              <w:rPr>
                <w:rFonts w:ascii="Arial" w:hAnsi="Arial"/>
                <w:color w:val="FFFFFF"/>
                <w:szCs w:val="18"/>
              </w:rPr>
              <w:t>Major city</w:t>
            </w:r>
          </w:p>
        </w:tc>
        <w:tc>
          <w:tcPr>
            <w:tcW w:w="0" w:type="auto"/>
            <w:hideMark/>
          </w:tcPr>
          <w:p w14:paraId="03E1B773" w14:textId="77777777" w:rsidR="00C22375" w:rsidRDefault="00C22375" w:rsidP="00876C59">
            <w:pPr>
              <w:pStyle w:val="PwCNormal-Single"/>
              <w:cnfStyle w:val="100000000000" w:firstRow="1" w:lastRow="0" w:firstColumn="0" w:lastColumn="0" w:oddVBand="0" w:evenVBand="0" w:oddHBand="0" w:evenHBand="0" w:firstRowFirstColumn="0" w:firstRowLastColumn="0" w:lastRowFirstColumn="0" w:lastRowLastColumn="0"/>
            </w:pPr>
            <w:r>
              <w:rPr>
                <w:rFonts w:ascii="Arial" w:hAnsi="Arial"/>
                <w:color w:val="FFFFFF"/>
                <w:szCs w:val="18"/>
              </w:rPr>
              <w:t>RRR area</w:t>
            </w:r>
          </w:p>
        </w:tc>
        <w:tc>
          <w:tcPr>
            <w:tcW w:w="0" w:type="auto"/>
            <w:hideMark/>
          </w:tcPr>
          <w:p w14:paraId="054765A6" w14:textId="77777777" w:rsidR="00C22375" w:rsidRDefault="00C22375" w:rsidP="00876C59">
            <w:pPr>
              <w:pStyle w:val="PwCNormal-Single"/>
              <w:cnfStyle w:val="100000000000" w:firstRow="1" w:lastRow="0" w:firstColumn="0" w:lastColumn="0" w:oddVBand="0" w:evenVBand="0" w:oddHBand="0" w:evenHBand="0" w:firstRowFirstColumn="0" w:firstRowLastColumn="0" w:lastRowFirstColumn="0" w:lastRowLastColumn="0"/>
            </w:pPr>
            <w:r>
              <w:rPr>
                <w:rFonts w:ascii="Arial" w:hAnsi="Arial"/>
                <w:color w:val="FFFFFF"/>
                <w:szCs w:val="18"/>
              </w:rPr>
              <w:t>Not known</w:t>
            </w:r>
          </w:p>
        </w:tc>
        <w:tc>
          <w:tcPr>
            <w:tcW w:w="0" w:type="auto"/>
            <w:hideMark/>
          </w:tcPr>
          <w:p w14:paraId="1F13493E" w14:textId="77777777" w:rsidR="00C22375" w:rsidRDefault="00C22375" w:rsidP="00876C59">
            <w:pPr>
              <w:pStyle w:val="PwCNormal-Single"/>
              <w:cnfStyle w:val="100000000000" w:firstRow="1" w:lastRow="0" w:firstColumn="0" w:lastColumn="0" w:oddVBand="0" w:evenVBand="0" w:oddHBand="0" w:evenHBand="0" w:firstRowFirstColumn="0" w:firstRowLastColumn="0" w:lastRowFirstColumn="0" w:lastRowLastColumn="0"/>
            </w:pPr>
            <w:r>
              <w:rPr>
                <w:rFonts w:ascii="Arial" w:hAnsi="Arial"/>
                <w:color w:val="FFFFFF"/>
                <w:szCs w:val="18"/>
              </w:rPr>
              <w:t>Total</w:t>
            </w:r>
          </w:p>
        </w:tc>
      </w:tr>
      <w:tr w:rsidR="00C22375" w14:paraId="7A33A66B" w14:textId="77777777" w:rsidTr="00A77C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14:paraId="5052D266" w14:textId="77777777" w:rsidR="00C22375" w:rsidRPr="00A77C50" w:rsidRDefault="00C22375" w:rsidP="00876C59">
            <w:pPr>
              <w:pStyle w:val="PwCNormal-Single"/>
              <w:rPr>
                <w:color w:val="FFFFFF" w:themeColor="background1"/>
              </w:rPr>
            </w:pPr>
            <w:r w:rsidRPr="00A77C50">
              <w:rPr>
                <w:rFonts w:ascii="Arial" w:hAnsi="Arial"/>
                <w:color w:val="FFFFFF" w:themeColor="background1"/>
                <w:szCs w:val="18"/>
              </w:rPr>
              <w:t>ACT</w:t>
            </w:r>
          </w:p>
        </w:tc>
        <w:tc>
          <w:tcPr>
            <w:tcW w:w="0" w:type="auto"/>
            <w:hideMark/>
          </w:tcPr>
          <w:p w14:paraId="145E779D" w14:textId="77777777" w:rsidR="00C22375" w:rsidRDefault="00C22375" w:rsidP="00876C59">
            <w:pPr>
              <w:pStyle w:val="PwCNormal-Single"/>
              <w:cnfStyle w:val="000000100000" w:firstRow="0" w:lastRow="0" w:firstColumn="0" w:lastColumn="0" w:oddVBand="0" w:evenVBand="0" w:oddHBand="1" w:evenHBand="0" w:firstRowFirstColumn="0" w:firstRowLastColumn="0" w:lastRowFirstColumn="0" w:lastRowLastColumn="0"/>
            </w:pPr>
            <w:r>
              <w:rPr>
                <w:rFonts w:ascii="Arial" w:hAnsi="Arial"/>
                <w:color w:val="000000"/>
                <w:szCs w:val="18"/>
              </w:rPr>
              <w:t>2,275 (99.8%)</w:t>
            </w:r>
          </w:p>
        </w:tc>
        <w:tc>
          <w:tcPr>
            <w:tcW w:w="0" w:type="auto"/>
            <w:hideMark/>
          </w:tcPr>
          <w:p w14:paraId="071F6C60" w14:textId="77777777" w:rsidR="00C22375" w:rsidRDefault="00C22375" w:rsidP="00876C59">
            <w:pPr>
              <w:pStyle w:val="PwCNormal-Single"/>
              <w:cnfStyle w:val="000000100000" w:firstRow="0" w:lastRow="0" w:firstColumn="0" w:lastColumn="0" w:oddVBand="0" w:evenVBand="0" w:oddHBand="1" w:evenHBand="0" w:firstRowFirstColumn="0" w:firstRowLastColumn="0" w:lastRowFirstColumn="0" w:lastRowLastColumn="0"/>
            </w:pPr>
            <w:r>
              <w:rPr>
                <w:rFonts w:ascii="Arial" w:hAnsi="Arial"/>
                <w:color w:val="000000"/>
                <w:szCs w:val="18"/>
              </w:rPr>
              <w:t>5 (0.2%)</w:t>
            </w:r>
          </w:p>
        </w:tc>
        <w:tc>
          <w:tcPr>
            <w:tcW w:w="0" w:type="auto"/>
            <w:hideMark/>
          </w:tcPr>
          <w:p w14:paraId="5B8D440A" w14:textId="77777777" w:rsidR="00C22375" w:rsidRDefault="00C22375" w:rsidP="00876C59">
            <w:pPr>
              <w:pStyle w:val="PwCNormal-Single"/>
              <w:cnfStyle w:val="000000100000" w:firstRow="0" w:lastRow="0" w:firstColumn="0" w:lastColumn="0" w:oddVBand="0" w:evenVBand="0" w:oddHBand="1" w:evenHBand="0" w:firstRowFirstColumn="0" w:firstRowLastColumn="0" w:lastRowFirstColumn="0" w:lastRowLastColumn="0"/>
            </w:pPr>
            <w:r>
              <w:rPr>
                <w:rFonts w:ascii="Arial" w:hAnsi="Arial"/>
                <w:color w:val="000000"/>
                <w:szCs w:val="18"/>
              </w:rPr>
              <w:t>-</w:t>
            </w:r>
          </w:p>
        </w:tc>
        <w:tc>
          <w:tcPr>
            <w:tcW w:w="0" w:type="auto"/>
            <w:hideMark/>
          </w:tcPr>
          <w:p w14:paraId="55781111" w14:textId="77777777" w:rsidR="00C22375" w:rsidRDefault="00C22375" w:rsidP="00876C59">
            <w:pPr>
              <w:pStyle w:val="PwCNormal-Single"/>
              <w:cnfStyle w:val="000000100000" w:firstRow="0" w:lastRow="0" w:firstColumn="0" w:lastColumn="0" w:oddVBand="0" w:evenVBand="0" w:oddHBand="1" w:evenHBand="0" w:firstRowFirstColumn="0" w:firstRowLastColumn="0" w:lastRowFirstColumn="0" w:lastRowLastColumn="0"/>
            </w:pPr>
            <w:r>
              <w:rPr>
                <w:rFonts w:ascii="Arial" w:hAnsi="Arial"/>
                <w:color w:val="000000"/>
                <w:szCs w:val="18"/>
              </w:rPr>
              <w:t>2,280</w:t>
            </w:r>
          </w:p>
        </w:tc>
      </w:tr>
      <w:tr w:rsidR="00C22375" w14:paraId="2002E303" w14:textId="77777777" w:rsidTr="00A77C50">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14:paraId="2A8450A2" w14:textId="77777777" w:rsidR="00C22375" w:rsidRPr="00A77C50" w:rsidRDefault="00C22375" w:rsidP="00876C59">
            <w:pPr>
              <w:pStyle w:val="PwCNormal-Single"/>
              <w:rPr>
                <w:color w:val="FFFFFF" w:themeColor="background1"/>
              </w:rPr>
            </w:pPr>
            <w:r w:rsidRPr="00A77C50">
              <w:rPr>
                <w:rFonts w:ascii="Arial" w:hAnsi="Arial"/>
                <w:color w:val="FFFFFF" w:themeColor="background1"/>
                <w:szCs w:val="18"/>
              </w:rPr>
              <w:t>NSW</w:t>
            </w:r>
          </w:p>
        </w:tc>
        <w:tc>
          <w:tcPr>
            <w:tcW w:w="0" w:type="auto"/>
            <w:hideMark/>
          </w:tcPr>
          <w:p w14:paraId="311610C6" w14:textId="77777777" w:rsidR="00C22375" w:rsidRDefault="00C22375" w:rsidP="00876C59">
            <w:pPr>
              <w:pStyle w:val="PwCNormal-Single"/>
              <w:cnfStyle w:val="000000000000" w:firstRow="0" w:lastRow="0" w:firstColumn="0" w:lastColumn="0" w:oddVBand="0" w:evenVBand="0" w:oddHBand="0" w:evenHBand="0" w:firstRowFirstColumn="0" w:firstRowLastColumn="0" w:lastRowFirstColumn="0" w:lastRowLastColumn="0"/>
            </w:pPr>
            <w:r>
              <w:rPr>
                <w:rFonts w:ascii="Arial" w:hAnsi="Arial"/>
                <w:color w:val="000000"/>
                <w:szCs w:val="18"/>
              </w:rPr>
              <w:t>28,125 (69.7%)</w:t>
            </w:r>
          </w:p>
        </w:tc>
        <w:tc>
          <w:tcPr>
            <w:tcW w:w="0" w:type="auto"/>
            <w:hideMark/>
          </w:tcPr>
          <w:p w14:paraId="368E3F11" w14:textId="77777777" w:rsidR="00C22375" w:rsidRDefault="00C22375" w:rsidP="00876C59">
            <w:pPr>
              <w:pStyle w:val="PwCNormal-Single"/>
              <w:cnfStyle w:val="000000000000" w:firstRow="0" w:lastRow="0" w:firstColumn="0" w:lastColumn="0" w:oddVBand="0" w:evenVBand="0" w:oddHBand="0" w:evenHBand="0" w:firstRowFirstColumn="0" w:firstRowLastColumn="0" w:lastRowFirstColumn="0" w:lastRowLastColumn="0"/>
            </w:pPr>
            <w:r>
              <w:rPr>
                <w:rFonts w:ascii="Arial" w:hAnsi="Arial"/>
                <w:color w:val="000000"/>
                <w:szCs w:val="18"/>
              </w:rPr>
              <w:t>12,215 (30.3%)</w:t>
            </w:r>
          </w:p>
        </w:tc>
        <w:tc>
          <w:tcPr>
            <w:tcW w:w="0" w:type="auto"/>
            <w:hideMark/>
          </w:tcPr>
          <w:p w14:paraId="0A163F6D" w14:textId="77777777" w:rsidR="00C22375" w:rsidRDefault="00C22375" w:rsidP="00876C59">
            <w:pPr>
              <w:pStyle w:val="PwCNormal-Single"/>
              <w:cnfStyle w:val="000000000000" w:firstRow="0" w:lastRow="0" w:firstColumn="0" w:lastColumn="0" w:oddVBand="0" w:evenVBand="0" w:oddHBand="0" w:evenHBand="0" w:firstRowFirstColumn="0" w:firstRowLastColumn="0" w:lastRowFirstColumn="0" w:lastRowLastColumn="0"/>
            </w:pPr>
            <w:r>
              <w:rPr>
                <w:rFonts w:ascii="Arial" w:hAnsi="Arial"/>
                <w:color w:val="000000"/>
                <w:szCs w:val="18"/>
              </w:rPr>
              <w:t>-</w:t>
            </w:r>
          </w:p>
        </w:tc>
        <w:tc>
          <w:tcPr>
            <w:tcW w:w="0" w:type="auto"/>
            <w:hideMark/>
          </w:tcPr>
          <w:p w14:paraId="128C00AF" w14:textId="77777777" w:rsidR="00C22375" w:rsidRDefault="00C22375" w:rsidP="00876C59">
            <w:pPr>
              <w:pStyle w:val="PwCNormal-Single"/>
              <w:cnfStyle w:val="000000000000" w:firstRow="0" w:lastRow="0" w:firstColumn="0" w:lastColumn="0" w:oddVBand="0" w:evenVBand="0" w:oddHBand="0" w:evenHBand="0" w:firstRowFirstColumn="0" w:firstRowLastColumn="0" w:lastRowFirstColumn="0" w:lastRowLastColumn="0"/>
            </w:pPr>
            <w:r>
              <w:rPr>
                <w:rFonts w:ascii="Arial" w:hAnsi="Arial"/>
                <w:color w:val="000000"/>
                <w:szCs w:val="18"/>
              </w:rPr>
              <w:t>40,340</w:t>
            </w:r>
          </w:p>
        </w:tc>
      </w:tr>
      <w:tr w:rsidR="00C22375" w14:paraId="439B40D2" w14:textId="77777777" w:rsidTr="00A77C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14:paraId="29CBAEBA" w14:textId="77777777" w:rsidR="00C22375" w:rsidRPr="00A77C50" w:rsidRDefault="00C22375" w:rsidP="00876C59">
            <w:pPr>
              <w:pStyle w:val="PwCNormal-Single"/>
              <w:rPr>
                <w:color w:val="FFFFFF" w:themeColor="background1"/>
              </w:rPr>
            </w:pPr>
            <w:r w:rsidRPr="00A77C50">
              <w:rPr>
                <w:rFonts w:ascii="Arial" w:hAnsi="Arial"/>
                <w:color w:val="FFFFFF" w:themeColor="background1"/>
                <w:szCs w:val="18"/>
              </w:rPr>
              <w:t>NT</w:t>
            </w:r>
          </w:p>
        </w:tc>
        <w:tc>
          <w:tcPr>
            <w:tcW w:w="0" w:type="auto"/>
            <w:hideMark/>
          </w:tcPr>
          <w:p w14:paraId="05FAD7BC" w14:textId="77777777" w:rsidR="00C22375" w:rsidRDefault="00C22375" w:rsidP="00876C59">
            <w:pPr>
              <w:pStyle w:val="PwCNormal-Single"/>
              <w:cnfStyle w:val="000000100000" w:firstRow="0" w:lastRow="0" w:firstColumn="0" w:lastColumn="0" w:oddVBand="0" w:evenVBand="0" w:oddHBand="1" w:evenHBand="0" w:firstRowFirstColumn="0" w:firstRowLastColumn="0" w:lastRowFirstColumn="0" w:lastRowLastColumn="0"/>
            </w:pPr>
            <w:r>
              <w:rPr>
                <w:rFonts w:ascii="Arial" w:hAnsi="Arial"/>
                <w:color w:val="000000"/>
                <w:szCs w:val="18"/>
              </w:rPr>
              <w:t>-</w:t>
            </w:r>
          </w:p>
        </w:tc>
        <w:tc>
          <w:tcPr>
            <w:tcW w:w="0" w:type="auto"/>
            <w:hideMark/>
          </w:tcPr>
          <w:p w14:paraId="033309B0" w14:textId="77777777" w:rsidR="00C22375" w:rsidRDefault="00C22375" w:rsidP="00876C59">
            <w:pPr>
              <w:pStyle w:val="PwCNormal-Single"/>
              <w:cnfStyle w:val="000000100000" w:firstRow="0" w:lastRow="0" w:firstColumn="0" w:lastColumn="0" w:oddVBand="0" w:evenVBand="0" w:oddHBand="1" w:evenHBand="0" w:firstRowFirstColumn="0" w:firstRowLastColumn="0" w:lastRowFirstColumn="0" w:lastRowLastColumn="0"/>
            </w:pPr>
            <w:r>
              <w:rPr>
                <w:rFonts w:ascii="Arial" w:hAnsi="Arial"/>
                <w:color w:val="000000"/>
                <w:szCs w:val="18"/>
              </w:rPr>
              <w:t>2,405 (100%)</w:t>
            </w:r>
          </w:p>
        </w:tc>
        <w:tc>
          <w:tcPr>
            <w:tcW w:w="0" w:type="auto"/>
            <w:hideMark/>
          </w:tcPr>
          <w:p w14:paraId="580755DD" w14:textId="77777777" w:rsidR="00C22375" w:rsidRDefault="00C22375" w:rsidP="00876C59">
            <w:pPr>
              <w:pStyle w:val="PwCNormal-Single"/>
              <w:cnfStyle w:val="000000100000" w:firstRow="0" w:lastRow="0" w:firstColumn="0" w:lastColumn="0" w:oddVBand="0" w:evenVBand="0" w:oddHBand="1" w:evenHBand="0" w:firstRowFirstColumn="0" w:firstRowLastColumn="0" w:lastRowFirstColumn="0" w:lastRowLastColumn="0"/>
            </w:pPr>
            <w:r>
              <w:rPr>
                <w:rFonts w:ascii="Arial" w:hAnsi="Arial"/>
                <w:color w:val="000000"/>
                <w:szCs w:val="18"/>
              </w:rPr>
              <w:t>-</w:t>
            </w:r>
          </w:p>
        </w:tc>
        <w:tc>
          <w:tcPr>
            <w:tcW w:w="0" w:type="auto"/>
            <w:hideMark/>
          </w:tcPr>
          <w:p w14:paraId="2C75F095" w14:textId="77777777" w:rsidR="00C22375" w:rsidRDefault="00C22375" w:rsidP="00876C59">
            <w:pPr>
              <w:pStyle w:val="PwCNormal-Single"/>
              <w:cnfStyle w:val="000000100000" w:firstRow="0" w:lastRow="0" w:firstColumn="0" w:lastColumn="0" w:oddVBand="0" w:evenVBand="0" w:oddHBand="1" w:evenHBand="0" w:firstRowFirstColumn="0" w:firstRowLastColumn="0" w:lastRowFirstColumn="0" w:lastRowLastColumn="0"/>
            </w:pPr>
            <w:r>
              <w:rPr>
                <w:rFonts w:ascii="Arial" w:hAnsi="Arial"/>
                <w:color w:val="000000"/>
                <w:szCs w:val="18"/>
              </w:rPr>
              <w:t>2,405</w:t>
            </w:r>
          </w:p>
        </w:tc>
      </w:tr>
      <w:tr w:rsidR="00C22375" w14:paraId="711B31AD" w14:textId="77777777" w:rsidTr="00A77C50">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14:paraId="36129713" w14:textId="77777777" w:rsidR="00C22375" w:rsidRPr="00A77C50" w:rsidRDefault="00C22375" w:rsidP="00876C59">
            <w:pPr>
              <w:pStyle w:val="PwCNormal-Single"/>
              <w:rPr>
                <w:color w:val="FFFFFF" w:themeColor="background1"/>
              </w:rPr>
            </w:pPr>
            <w:r w:rsidRPr="00A77C50">
              <w:rPr>
                <w:rFonts w:ascii="Arial" w:hAnsi="Arial"/>
                <w:color w:val="FFFFFF" w:themeColor="background1"/>
                <w:szCs w:val="18"/>
              </w:rPr>
              <w:t>Qld</w:t>
            </w:r>
          </w:p>
        </w:tc>
        <w:tc>
          <w:tcPr>
            <w:tcW w:w="0" w:type="auto"/>
            <w:hideMark/>
          </w:tcPr>
          <w:p w14:paraId="023A8521" w14:textId="77777777" w:rsidR="00C22375" w:rsidRDefault="00C22375" w:rsidP="00876C59">
            <w:pPr>
              <w:pStyle w:val="PwCNormal-Single"/>
              <w:cnfStyle w:val="000000000000" w:firstRow="0" w:lastRow="0" w:firstColumn="0" w:lastColumn="0" w:oddVBand="0" w:evenVBand="0" w:oddHBand="0" w:evenHBand="0" w:firstRowFirstColumn="0" w:firstRowLastColumn="0" w:lastRowFirstColumn="0" w:lastRowLastColumn="0"/>
            </w:pPr>
            <w:r>
              <w:rPr>
                <w:rFonts w:ascii="Arial" w:hAnsi="Arial"/>
                <w:color w:val="000000"/>
                <w:szCs w:val="18"/>
              </w:rPr>
              <w:t>53,130 (61.3%)</w:t>
            </w:r>
          </w:p>
        </w:tc>
        <w:tc>
          <w:tcPr>
            <w:tcW w:w="0" w:type="auto"/>
            <w:hideMark/>
          </w:tcPr>
          <w:p w14:paraId="1A11F292" w14:textId="77777777" w:rsidR="00C22375" w:rsidRDefault="00C22375" w:rsidP="00876C59">
            <w:pPr>
              <w:pStyle w:val="PwCNormal-Single"/>
              <w:cnfStyle w:val="000000000000" w:firstRow="0" w:lastRow="0" w:firstColumn="0" w:lastColumn="0" w:oddVBand="0" w:evenVBand="0" w:oddHBand="0" w:evenHBand="0" w:firstRowFirstColumn="0" w:firstRowLastColumn="0" w:lastRowFirstColumn="0" w:lastRowLastColumn="0"/>
            </w:pPr>
            <w:r>
              <w:rPr>
                <w:rFonts w:ascii="Arial" w:hAnsi="Arial"/>
                <w:color w:val="000000"/>
                <w:szCs w:val="18"/>
              </w:rPr>
              <w:t>33,595 (38.7%)</w:t>
            </w:r>
          </w:p>
        </w:tc>
        <w:tc>
          <w:tcPr>
            <w:tcW w:w="0" w:type="auto"/>
            <w:hideMark/>
          </w:tcPr>
          <w:p w14:paraId="3D938BA1" w14:textId="77777777" w:rsidR="00C22375" w:rsidRDefault="00C22375" w:rsidP="00876C59">
            <w:pPr>
              <w:pStyle w:val="PwCNormal-Single"/>
              <w:cnfStyle w:val="000000000000" w:firstRow="0" w:lastRow="0" w:firstColumn="0" w:lastColumn="0" w:oddVBand="0" w:evenVBand="0" w:oddHBand="0" w:evenHBand="0" w:firstRowFirstColumn="0" w:firstRowLastColumn="0" w:lastRowFirstColumn="0" w:lastRowLastColumn="0"/>
            </w:pPr>
            <w:r>
              <w:rPr>
                <w:rFonts w:ascii="Arial" w:hAnsi="Arial"/>
                <w:color w:val="000000"/>
                <w:szCs w:val="18"/>
              </w:rPr>
              <w:t>-</w:t>
            </w:r>
          </w:p>
        </w:tc>
        <w:tc>
          <w:tcPr>
            <w:tcW w:w="0" w:type="auto"/>
            <w:hideMark/>
          </w:tcPr>
          <w:p w14:paraId="60607FFF" w14:textId="77777777" w:rsidR="00C22375" w:rsidRDefault="00C22375" w:rsidP="00876C59">
            <w:pPr>
              <w:pStyle w:val="PwCNormal-Single"/>
              <w:cnfStyle w:val="000000000000" w:firstRow="0" w:lastRow="0" w:firstColumn="0" w:lastColumn="0" w:oddVBand="0" w:evenVBand="0" w:oddHBand="0" w:evenHBand="0" w:firstRowFirstColumn="0" w:firstRowLastColumn="0" w:lastRowFirstColumn="0" w:lastRowLastColumn="0"/>
            </w:pPr>
            <w:r>
              <w:rPr>
                <w:rFonts w:ascii="Arial" w:hAnsi="Arial"/>
                <w:color w:val="000000"/>
                <w:szCs w:val="18"/>
              </w:rPr>
              <w:t>86,725</w:t>
            </w:r>
          </w:p>
        </w:tc>
      </w:tr>
      <w:tr w:rsidR="00C22375" w14:paraId="4AFFDA31" w14:textId="77777777" w:rsidTr="00A77C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14:paraId="3B4DA419" w14:textId="77777777" w:rsidR="00C22375" w:rsidRPr="00A77C50" w:rsidRDefault="00C22375" w:rsidP="00876C59">
            <w:pPr>
              <w:pStyle w:val="PwCNormal-Single"/>
              <w:rPr>
                <w:color w:val="FFFFFF" w:themeColor="background1"/>
              </w:rPr>
            </w:pPr>
            <w:r w:rsidRPr="00A77C50">
              <w:rPr>
                <w:rFonts w:ascii="Arial" w:hAnsi="Arial"/>
                <w:color w:val="FFFFFF" w:themeColor="background1"/>
                <w:szCs w:val="18"/>
              </w:rPr>
              <w:t>SA</w:t>
            </w:r>
          </w:p>
        </w:tc>
        <w:tc>
          <w:tcPr>
            <w:tcW w:w="0" w:type="auto"/>
            <w:hideMark/>
          </w:tcPr>
          <w:p w14:paraId="2C9D1C70" w14:textId="77777777" w:rsidR="00C22375" w:rsidRDefault="00C22375" w:rsidP="00876C59">
            <w:pPr>
              <w:pStyle w:val="PwCNormal-Single"/>
              <w:cnfStyle w:val="000000100000" w:firstRow="0" w:lastRow="0" w:firstColumn="0" w:lastColumn="0" w:oddVBand="0" w:evenVBand="0" w:oddHBand="1" w:evenHBand="0" w:firstRowFirstColumn="0" w:firstRowLastColumn="0" w:lastRowFirstColumn="0" w:lastRowLastColumn="0"/>
            </w:pPr>
            <w:r>
              <w:rPr>
                <w:rFonts w:ascii="Arial" w:hAnsi="Arial"/>
                <w:color w:val="000000"/>
                <w:szCs w:val="18"/>
              </w:rPr>
              <w:t>5,525 (57.2%)</w:t>
            </w:r>
          </w:p>
        </w:tc>
        <w:tc>
          <w:tcPr>
            <w:tcW w:w="0" w:type="auto"/>
            <w:hideMark/>
          </w:tcPr>
          <w:p w14:paraId="2258C7DC" w14:textId="77777777" w:rsidR="00C22375" w:rsidRDefault="00C22375" w:rsidP="00876C59">
            <w:pPr>
              <w:pStyle w:val="PwCNormal-Single"/>
              <w:cnfStyle w:val="000000100000" w:firstRow="0" w:lastRow="0" w:firstColumn="0" w:lastColumn="0" w:oddVBand="0" w:evenVBand="0" w:oddHBand="1" w:evenHBand="0" w:firstRowFirstColumn="0" w:firstRowLastColumn="0" w:lastRowFirstColumn="0" w:lastRowLastColumn="0"/>
            </w:pPr>
            <w:r>
              <w:rPr>
                <w:rFonts w:ascii="Arial" w:hAnsi="Arial"/>
                <w:color w:val="000000"/>
                <w:szCs w:val="18"/>
              </w:rPr>
              <w:t>4,135 (42.8%)</w:t>
            </w:r>
          </w:p>
        </w:tc>
        <w:tc>
          <w:tcPr>
            <w:tcW w:w="0" w:type="auto"/>
            <w:hideMark/>
          </w:tcPr>
          <w:p w14:paraId="42F80E3A" w14:textId="77777777" w:rsidR="00C22375" w:rsidRDefault="00C22375" w:rsidP="00876C59">
            <w:pPr>
              <w:pStyle w:val="PwCNormal-Single"/>
              <w:cnfStyle w:val="000000100000" w:firstRow="0" w:lastRow="0" w:firstColumn="0" w:lastColumn="0" w:oddVBand="0" w:evenVBand="0" w:oddHBand="1" w:evenHBand="0" w:firstRowFirstColumn="0" w:firstRowLastColumn="0" w:lastRowFirstColumn="0" w:lastRowLastColumn="0"/>
            </w:pPr>
            <w:r>
              <w:rPr>
                <w:rFonts w:ascii="Arial" w:hAnsi="Arial"/>
                <w:color w:val="000000"/>
                <w:szCs w:val="18"/>
              </w:rPr>
              <w:t>-</w:t>
            </w:r>
          </w:p>
        </w:tc>
        <w:tc>
          <w:tcPr>
            <w:tcW w:w="0" w:type="auto"/>
            <w:hideMark/>
          </w:tcPr>
          <w:p w14:paraId="41468F9A" w14:textId="77777777" w:rsidR="00C22375" w:rsidRDefault="00C22375" w:rsidP="00876C59">
            <w:pPr>
              <w:pStyle w:val="PwCNormal-Single"/>
              <w:cnfStyle w:val="000000100000" w:firstRow="0" w:lastRow="0" w:firstColumn="0" w:lastColumn="0" w:oddVBand="0" w:evenVBand="0" w:oddHBand="1" w:evenHBand="0" w:firstRowFirstColumn="0" w:firstRowLastColumn="0" w:lastRowFirstColumn="0" w:lastRowLastColumn="0"/>
            </w:pPr>
            <w:r>
              <w:rPr>
                <w:rFonts w:ascii="Arial" w:hAnsi="Arial"/>
                <w:color w:val="000000"/>
                <w:szCs w:val="18"/>
              </w:rPr>
              <w:t>9,660</w:t>
            </w:r>
          </w:p>
        </w:tc>
      </w:tr>
      <w:tr w:rsidR="00C22375" w14:paraId="0ABE3E49" w14:textId="77777777" w:rsidTr="00A77C50">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14:paraId="54625C12" w14:textId="77777777" w:rsidR="00C22375" w:rsidRPr="00A77C50" w:rsidRDefault="00C22375" w:rsidP="00876C59">
            <w:pPr>
              <w:pStyle w:val="PwCNormal-Single"/>
              <w:rPr>
                <w:color w:val="FFFFFF" w:themeColor="background1"/>
              </w:rPr>
            </w:pPr>
            <w:r w:rsidRPr="00A77C50">
              <w:rPr>
                <w:rFonts w:ascii="Arial" w:hAnsi="Arial"/>
                <w:color w:val="FFFFFF" w:themeColor="background1"/>
                <w:szCs w:val="18"/>
              </w:rPr>
              <w:t>Tasmania</w:t>
            </w:r>
          </w:p>
        </w:tc>
        <w:tc>
          <w:tcPr>
            <w:tcW w:w="0" w:type="auto"/>
            <w:hideMark/>
          </w:tcPr>
          <w:p w14:paraId="5C73094F" w14:textId="77777777" w:rsidR="00C22375" w:rsidRDefault="00C22375" w:rsidP="00876C59">
            <w:pPr>
              <w:pStyle w:val="PwCNormal-Single"/>
              <w:cnfStyle w:val="000000000000" w:firstRow="0" w:lastRow="0" w:firstColumn="0" w:lastColumn="0" w:oddVBand="0" w:evenVBand="0" w:oddHBand="0" w:evenHBand="0" w:firstRowFirstColumn="0" w:firstRowLastColumn="0" w:lastRowFirstColumn="0" w:lastRowLastColumn="0"/>
            </w:pPr>
            <w:r>
              <w:rPr>
                <w:rFonts w:ascii="Arial" w:hAnsi="Arial"/>
                <w:color w:val="000000"/>
                <w:szCs w:val="18"/>
              </w:rPr>
              <w:t>-</w:t>
            </w:r>
          </w:p>
        </w:tc>
        <w:tc>
          <w:tcPr>
            <w:tcW w:w="0" w:type="auto"/>
            <w:hideMark/>
          </w:tcPr>
          <w:p w14:paraId="443915AF" w14:textId="77777777" w:rsidR="00C22375" w:rsidRDefault="00C22375" w:rsidP="00876C59">
            <w:pPr>
              <w:pStyle w:val="PwCNormal-Single"/>
              <w:cnfStyle w:val="000000000000" w:firstRow="0" w:lastRow="0" w:firstColumn="0" w:lastColumn="0" w:oddVBand="0" w:evenVBand="0" w:oddHBand="0" w:evenHBand="0" w:firstRowFirstColumn="0" w:firstRowLastColumn="0" w:lastRowFirstColumn="0" w:lastRowLastColumn="0"/>
            </w:pPr>
            <w:r>
              <w:rPr>
                <w:rFonts w:ascii="Arial" w:hAnsi="Arial"/>
                <w:color w:val="000000"/>
                <w:szCs w:val="18"/>
              </w:rPr>
              <w:t>2,560 (100%)</w:t>
            </w:r>
          </w:p>
        </w:tc>
        <w:tc>
          <w:tcPr>
            <w:tcW w:w="0" w:type="auto"/>
            <w:hideMark/>
          </w:tcPr>
          <w:p w14:paraId="5D01A953" w14:textId="77777777" w:rsidR="00C22375" w:rsidRDefault="00C22375" w:rsidP="00876C59">
            <w:pPr>
              <w:pStyle w:val="PwCNormal-Single"/>
              <w:cnfStyle w:val="000000000000" w:firstRow="0" w:lastRow="0" w:firstColumn="0" w:lastColumn="0" w:oddVBand="0" w:evenVBand="0" w:oddHBand="0" w:evenHBand="0" w:firstRowFirstColumn="0" w:firstRowLastColumn="0" w:lastRowFirstColumn="0" w:lastRowLastColumn="0"/>
            </w:pPr>
            <w:r>
              <w:rPr>
                <w:rFonts w:ascii="Arial" w:hAnsi="Arial"/>
                <w:color w:val="000000"/>
                <w:szCs w:val="18"/>
              </w:rPr>
              <w:t>-</w:t>
            </w:r>
          </w:p>
        </w:tc>
        <w:tc>
          <w:tcPr>
            <w:tcW w:w="0" w:type="auto"/>
            <w:hideMark/>
          </w:tcPr>
          <w:p w14:paraId="23C9AB52" w14:textId="77777777" w:rsidR="00C22375" w:rsidRDefault="00C22375" w:rsidP="00876C59">
            <w:pPr>
              <w:pStyle w:val="PwCNormal-Single"/>
              <w:cnfStyle w:val="000000000000" w:firstRow="0" w:lastRow="0" w:firstColumn="0" w:lastColumn="0" w:oddVBand="0" w:evenVBand="0" w:oddHBand="0" w:evenHBand="0" w:firstRowFirstColumn="0" w:firstRowLastColumn="0" w:lastRowFirstColumn="0" w:lastRowLastColumn="0"/>
            </w:pPr>
            <w:r>
              <w:rPr>
                <w:rFonts w:ascii="Arial" w:hAnsi="Arial"/>
                <w:color w:val="000000"/>
                <w:szCs w:val="18"/>
              </w:rPr>
              <w:t>2,560</w:t>
            </w:r>
          </w:p>
        </w:tc>
      </w:tr>
      <w:tr w:rsidR="00C22375" w14:paraId="557BD102" w14:textId="77777777" w:rsidTr="00A77C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14:paraId="3F6833A9" w14:textId="77777777" w:rsidR="00C22375" w:rsidRPr="00A77C50" w:rsidRDefault="00C22375" w:rsidP="00876C59">
            <w:pPr>
              <w:pStyle w:val="PwCNormal-Single"/>
              <w:rPr>
                <w:color w:val="FFFFFF" w:themeColor="background1"/>
              </w:rPr>
            </w:pPr>
            <w:r w:rsidRPr="00A77C50">
              <w:rPr>
                <w:rFonts w:ascii="Arial" w:hAnsi="Arial"/>
                <w:color w:val="FFFFFF" w:themeColor="background1"/>
                <w:szCs w:val="18"/>
              </w:rPr>
              <w:t>Victoria</w:t>
            </w:r>
          </w:p>
        </w:tc>
        <w:tc>
          <w:tcPr>
            <w:tcW w:w="0" w:type="auto"/>
            <w:hideMark/>
          </w:tcPr>
          <w:p w14:paraId="1B92BCA1" w14:textId="77777777" w:rsidR="00C22375" w:rsidRDefault="00C22375" w:rsidP="00876C59">
            <w:pPr>
              <w:pStyle w:val="PwCNormal-Single"/>
              <w:cnfStyle w:val="000000100000" w:firstRow="0" w:lastRow="0" w:firstColumn="0" w:lastColumn="0" w:oddVBand="0" w:evenVBand="0" w:oddHBand="1" w:evenHBand="0" w:firstRowFirstColumn="0" w:firstRowLastColumn="0" w:lastRowFirstColumn="0" w:lastRowLastColumn="0"/>
            </w:pPr>
            <w:r>
              <w:rPr>
                <w:rFonts w:ascii="Arial" w:hAnsi="Arial"/>
                <w:color w:val="000000"/>
                <w:szCs w:val="18"/>
              </w:rPr>
              <w:t>33,240 (65.9%)</w:t>
            </w:r>
          </w:p>
        </w:tc>
        <w:tc>
          <w:tcPr>
            <w:tcW w:w="0" w:type="auto"/>
            <w:hideMark/>
          </w:tcPr>
          <w:p w14:paraId="675B24FB" w14:textId="77777777" w:rsidR="00C22375" w:rsidRDefault="00C22375" w:rsidP="00876C59">
            <w:pPr>
              <w:pStyle w:val="PwCNormal-Single"/>
              <w:cnfStyle w:val="000000100000" w:firstRow="0" w:lastRow="0" w:firstColumn="0" w:lastColumn="0" w:oddVBand="0" w:evenVBand="0" w:oddHBand="1" w:evenHBand="0" w:firstRowFirstColumn="0" w:firstRowLastColumn="0" w:lastRowFirstColumn="0" w:lastRowLastColumn="0"/>
            </w:pPr>
            <w:r>
              <w:rPr>
                <w:rFonts w:ascii="Arial" w:hAnsi="Arial"/>
                <w:color w:val="000000"/>
                <w:szCs w:val="18"/>
              </w:rPr>
              <w:t>17,150 (34.0%)</w:t>
            </w:r>
          </w:p>
        </w:tc>
        <w:tc>
          <w:tcPr>
            <w:tcW w:w="0" w:type="auto"/>
            <w:hideMark/>
          </w:tcPr>
          <w:p w14:paraId="2EA6AFBD" w14:textId="77777777" w:rsidR="00C22375" w:rsidRDefault="00C22375" w:rsidP="00876C59">
            <w:pPr>
              <w:pStyle w:val="PwCNormal-Single"/>
              <w:cnfStyle w:val="000000100000" w:firstRow="0" w:lastRow="0" w:firstColumn="0" w:lastColumn="0" w:oddVBand="0" w:evenVBand="0" w:oddHBand="1" w:evenHBand="0" w:firstRowFirstColumn="0" w:firstRowLastColumn="0" w:lastRowFirstColumn="0" w:lastRowLastColumn="0"/>
            </w:pPr>
            <w:r>
              <w:rPr>
                <w:rFonts w:ascii="Arial" w:hAnsi="Arial"/>
                <w:color w:val="000000"/>
                <w:szCs w:val="18"/>
              </w:rPr>
              <w:t>-</w:t>
            </w:r>
          </w:p>
        </w:tc>
        <w:tc>
          <w:tcPr>
            <w:tcW w:w="0" w:type="auto"/>
            <w:hideMark/>
          </w:tcPr>
          <w:p w14:paraId="4BB0B77B" w14:textId="77777777" w:rsidR="00C22375" w:rsidRDefault="00C22375" w:rsidP="00876C59">
            <w:pPr>
              <w:pStyle w:val="PwCNormal-Single"/>
              <w:cnfStyle w:val="000000100000" w:firstRow="0" w:lastRow="0" w:firstColumn="0" w:lastColumn="0" w:oddVBand="0" w:evenVBand="0" w:oddHBand="1" w:evenHBand="0" w:firstRowFirstColumn="0" w:firstRowLastColumn="0" w:lastRowFirstColumn="0" w:lastRowLastColumn="0"/>
            </w:pPr>
            <w:r>
              <w:rPr>
                <w:rFonts w:ascii="Arial" w:hAnsi="Arial"/>
                <w:color w:val="000000"/>
                <w:szCs w:val="18"/>
              </w:rPr>
              <w:t>50,390</w:t>
            </w:r>
          </w:p>
        </w:tc>
      </w:tr>
      <w:tr w:rsidR="00C22375" w14:paraId="7AFDFC00" w14:textId="77777777" w:rsidTr="00A77C50">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14:paraId="0A0E2614" w14:textId="7A446CB4" w:rsidR="00C22375" w:rsidRPr="00A77C50" w:rsidRDefault="00C22375" w:rsidP="00876C59">
            <w:pPr>
              <w:pStyle w:val="PwCNormal-Single"/>
              <w:rPr>
                <w:color w:val="FFFFFF" w:themeColor="background1"/>
              </w:rPr>
            </w:pPr>
            <w:r w:rsidRPr="00A77C50">
              <w:rPr>
                <w:rFonts w:ascii="Arial" w:hAnsi="Arial"/>
                <w:color w:val="FFFFFF" w:themeColor="background1"/>
                <w:szCs w:val="18"/>
              </w:rPr>
              <w:t>WA</w:t>
            </w:r>
            <w:r w:rsidR="00C67496" w:rsidRPr="00A77C50">
              <w:rPr>
                <w:rStyle w:val="FootnoteReference"/>
                <w:rFonts w:ascii="Arial" w:hAnsi="Arial"/>
                <w:b w:val="0"/>
                <w:bCs w:val="0"/>
                <w:color w:val="FFFFFF" w:themeColor="background1"/>
                <w:szCs w:val="18"/>
              </w:rPr>
              <w:footnoteReference w:id="7"/>
            </w:r>
          </w:p>
        </w:tc>
        <w:tc>
          <w:tcPr>
            <w:tcW w:w="0" w:type="auto"/>
            <w:hideMark/>
          </w:tcPr>
          <w:p w14:paraId="5BD77367" w14:textId="77777777" w:rsidR="00C22375" w:rsidRDefault="00C22375" w:rsidP="00876C59">
            <w:pPr>
              <w:pStyle w:val="PwCNormal-Single"/>
              <w:cnfStyle w:val="000000000000" w:firstRow="0" w:lastRow="0" w:firstColumn="0" w:lastColumn="0" w:oddVBand="0" w:evenVBand="0" w:oddHBand="0" w:evenHBand="0" w:firstRowFirstColumn="0" w:firstRowLastColumn="0" w:lastRowFirstColumn="0" w:lastRowLastColumn="0"/>
            </w:pPr>
            <w:r>
              <w:rPr>
                <w:rFonts w:ascii="Arial" w:hAnsi="Arial"/>
                <w:color w:val="000000"/>
                <w:szCs w:val="18"/>
              </w:rPr>
              <w:t>10 (50%)</w:t>
            </w:r>
          </w:p>
        </w:tc>
        <w:tc>
          <w:tcPr>
            <w:tcW w:w="0" w:type="auto"/>
            <w:hideMark/>
          </w:tcPr>
          <w:p w14:paraId="737321B6" w14:textId="77777777" w:rsidR="00C22375" w:rsidRDefault="00C22375" w:rsidP="00876C59">
            <w:pPr>
              <w:pStyle w:val="PwCNormal-Single"/>
              <w:cnfStyle w:val="000000000000" w:firstRow="0" w:lastRow="0" w:firstColumn="0" w:lastColumn="0" w:oddVBand="0" w:evenVBand="0" w:oddHBand="0" w:evenHBand="0" w:firstRowFirstColumn="0" w:firstRowLastColumn="0" w:lastRowFirstColumn="0" w:lastRowLastColumn="0"/>
            </w:pPr>
            <w:r>
              <w:rPr>
                <w:rFonts w:ascii="Arial" w:hAnsi="Arial"/>
                <w:color w:val="000000"/>
                <w:szCs w:val="18"/>
              </w:rPr>
              <w:t>10 (50%)</w:t>
            </w:r>
          </w:p>
        </w:tc>
        <w:tc>
          <w:tcPr>
            <w:tcW w:w="0" w:type="auto"/>
            <w:hideMark/>
          </w:tcPr>
          <w:p w14:paraId="22E14785" w14:textId="77777777" w:rsidR="00C22375" w:rsidRDefault="00C22375" w:rsidP="00876C59">
            <w:pPr>
              <w:pStyle w:val="PwCNormal-Single"/>
              <w:cnfStyle w:val="000000000000" w:firstRow="0" w:lastRow="0" w:firstColumn="0" w:lastColumn="0" w:oddVBand="0" w:evenVBand="0" w:oddHBand="0" w:evenHBand="0" w:firstRowFirstColumn="0" w:firstRowLastColumn="0" w:lastRowFirstColumn="0" w:lastRowLastColumn="0"/>
            </w:pPr>
            <w:r>
              <w:rPr>
                <w:rFonts w:ascii="Arial" w:hAnsi="Arial"/>
                <w:color w:val="000000"/>
                <w:szCs w:val="18"/>
              </w:rPr>
              <w:t>-</w:t>
            </w:r>
          </w:p>
        </w:tc>
        <w:tc>
          <w:tcPr>
            <w:tcW w:w="0" w:type="auto"/>
            <w:hideMark/>
          </w:tcPr>
          <w:p w14:paraId="37816B4B" w14:textId="77777777" w:rsidR="00C22375" w:rsidRDefault="00C22375" w:rsidP="00876C59">
            <w:pPr>
              <w:pStyle w:val="PwCNormal-Single"/>
              <w:cnfStyle w:val="000000000000" w:firstRow="0" w:lastRow="0" w:firstColumn="0" w:lastColumn="0" w:oddVBand="0" w:evenVBand="0" w:oddHBand="0" w:evenHBand="0" w:firstRowFirstColumn="0" w:firstRowLastColumn="0" w:lastRowFirstColumn="0" w:lastRowLastColumn="0"/>
            </w:pPr>
            <w:r>
              <w:rPr>
                <w:rFonts w:ascii="Arial" w:hAnsi="Arial"/>
                <w:color w:val="000000"/>
                <w:szCs w:val="18"/>
              </w:rPr>
              <w:t>20</w:t>
            </w:r>
          </w:p>
        </w:tc>
      </w:tr>
      <w:tr w:rsidR="00C22375" w14:paraId="5B9ACE0F" w14:textId="77777777" w:rsidTr="00A77C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14:paraId="7CB99172" w14:textId="77777777" w:rsidR="00C22375" w:rsidRPr="00A77C50" w:rsidRDefault="00C22375" w:rsidP="00876C59">
            <w:pPr>
              <w:pStyle w:val="PwCNormal-Single"/>
              <w:rPr>
                <w:color w:val="FFFFFF" w:themeColor="background1"/>
              </w:rPr>
            </w:pPr>
            <w:r w:rsidRPr="00A77C50">
              <w:rPr>
                <w:rFonts w:ascii="Arial" w:hAnsi="Arial"/>
                <w:color w:val="FFFFFF" w:themeColor="background1"/>
                <w:szCs w:val="18"/>
              </w:rPr>
              <w:t>Not known</w:t>
            </w:r>
          </w:p>
        </w:tc>
        <w:tc>
          <w:tcPr>
            <w:tcW w:w="0" w:type="auto"/>
            <w:hideMark/>
          </w:tcPr>
          <w:p w14:paraId="760DAF95" w14:textId="77777777" w:rsidR="00C22375" w:rsidRDefault="00C22375" w:rsidP="00876C59">
            <w:pPr>
              <w:pStyle w:val="PwCNormal-Single"/>
              <w:cnfStyle w:val="000000100000" w:firstRow="0" w:lastRow="0" w:firstColumn="0" w:lastColumn="0" w:oddVBand="0" w:evenVBand="0" w:oddHBand="1" w:evenHBand="0" w:firstRowFirstColumn="0" w:firstRowLastColumn="0" w:lastRowFirstColumn="0" w:lastRowLastColumn="0"/>
            </w:pPr>
            <w:r>
              <w:rPr>
                <w:rFonts w:ascii="Arial" w:hAnsi="Arial"/>
                <w:color w:val="000000"/>
                <w:szCs w:val="18"/>
              </w:rPr>
              <w:t>-</w:t>
            </w:r>
          </w:p>
        </w:tc>
        <w:tc>
          <w:tcPr>
            <w:tcW w:w="0" w:type="auto"/>
            <w:hideMark/>
          </w:tcPr>
          <w:p w14:paraId="0615D9FF" w14:textId="77777777" w:rsidR="00C22375" w:rsidRDefault="00C22375" w:rsidP="00876C59">
            <w:pPr>
              <w:pStyle w:val="PwCNormal-Single"/>
              <w:cnfStyle w:val="000000100000" w:firstRow="0" w:lastRow="0" w:firstColumn="0" w:lastColumn="0" w:oddVBand="0" w:evenVBand="0" w:oddHBand="1" w:evenHBand="0" w:firstRowFirstColumn="0" w:firstRowLastColumn="0" w:lastRowFirstColumn="0" w:lastRowLastColumn="0"/>
            </w:pPr>
            <w:r>
              <w:rPr>
                <w:rFonts w:ascii="Arial" w:hAnsi="Arial"/>
                <w:color w:val="000000"/>
                <w:szCs w:val="18"/>
              </w:rPr>
              <w:t>-</w:t>
            </w:r>
          </w:p>
        </w:tc>
        <w:tc>
          <w:tcPr>
            <w:tcW w:w="0" w:type="auto"/>
            <w:hideMark/>
          </w:tcPr>
          <w:p w14:paraId="0F58D0A6" w14:textId="77777777" w:rsidR="00C22375" w:rsidRDefault="00C22375" w:rsidP="00876C59">
            <w:pPr>
              <w:pStyle w:val="PwCNormal-Single"/>
              <w:cnfStyle w:val="000000100000" w:firstRow="0" w:lastRow="0" w:firstColumn="0" w:lastColumn="0" w:oddVBand="0" w:evenVBand="0" w:oddHBand="1" w:evenHBand="0" w:firstRowFirstColumn="0" w:firstRowLastColumn="0" w:lastRowFirstColumn="0" w:lastRowLastColumn="0"/>
            </w:pPr>
            <w:r>
              <w:rPr>
                <w:rFonts w:ascii="Arial" w:hAnsi="Arial"/>
                <w:color w:val="000000"/>
                <w:szCs w:val="18"/>
              </w:rPr>
              <w:t>46,375</w:t>
            </w:r>
          </w:p>
        </w:tc>
        <w:tc>
          <w:tcPr>
            <w:tcW w:w="0" w:type="auto"/>
            <w:hideMark/>
          </w:tcPr>
          <w:p w14:paraId="5D492EF1" w14:textId="77777777" w:rsidR="00C22375" w:rsidRDefault="00C22375" w:rsidP="00876C59">
            <w:pPr>
              <w:pStyle w:val="PwCNormal-Single"/>
              <w:cnfStyle w:val="000000100000" w:firstRow="0" w:lastRow="0" w:firstColumn="0" w:lastColumn="0" w:oddVBand="0" w:evenVBand="0" w:oddHBand="1" w:evenHBand="0" w:firstRowFirstColumn="0" w:firstRowLastColumn="0" w:lastRowFirstColumn="0" w:lastRowLastColumn="0"/>
            </w:pPr>
            <w:r>
              <w:rPr>
                <w:rFonts w:ascii="Arial" w:hAnsi="Arial"/>
                <w:color w:val="000000"/>
                <w:szCs w:val="18"/>
              </w:rPr>
              <w:t>46,375</w:t>
            </w:r>
          </w:p>
        </w:tc>
      </w:tr>
      <w:tr w:rsidR="00C22375" w14:paraId="2F1A7A5B" w14:textId="77777777" w:rsidTr="00A77C50">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14:paraId="5CDFEE9D" w14:textId="77777777" w:rsidR="00C22375" w:rsidRPr="00A77C50" w:rsidRDefault="00C22375" w:rsidP="00876C59">
            <w:pPr>
              <w:pStyle w:val="PwCNormal-Single"/>
              <w:rPr>
                <w:color w:val="FFFFFF" w:themeColor="background1"/>
              </w:rPr>
            </w:pPr>
            <w:r w:rsidRPr="00A77C50">
              <w:rPr>
                <w:rFonts w:ascii="Arial" w:hAnsi="Arial"/>
                <w:color w:val="FFFFFF" w:themeColor="background1"/>
                <w:szCs w:val="18"/>
              </w:rPr>
              <w:t>Total</w:t>
            </w:r>
          </w:p>
        </w:tc>
        <w:tc>
          <w:tcPr>
            <w:tcW w:w="0" w:type="auto"/>
            <w:hideMark/>
          </w:tcPr>
          <w:p w14:paraId="15D1DCB9" w14:textId="77777777" w:rsidR="00C22375" w:rsidRDefault="00C22375" w:rsidP="00876C59">
            <w:pPr>
              <w:pStyle w:val="PwCNormal-Single"/>
              <w:cnfStyle w:val="000000000000" w:firstRow="0" w:lastRow="0" w:firstColumn="0" w:lastColumn="0" w:oddVBand="0" w:evenVBand="0" w:oddHBand="0" w:evenHBand="0" w:firstRowFirstColumn="0" w:firstRowLastColumn="0" w:lastRowFirstColumn="0" w:lastRowLastColumn="0"/>
            </w:pPr>
            <w:r>
              <w:rPr>
                <w:rFonts w:ascii="Arial" w:hAnsi="Arial"/>
                <w:color w:val="000000"/>
                <w:szCs w:val="18"/>
              </w:rPr>
              <w:t>122,305 (50.7%)</w:t>
            </w:r>
          </w:p>
        </w:tc>
        <w:tc>
          <w:tcPr>
            <w:tcW w:w="0" w:type="auto"/>
            <w:hideMark/>
          </w:tcPr>
          <w:p w14:paraId="2F0D56F6" w14:textId="77777777" w:rsidR="00C22375" w:rsidRDefault="00C22375" w:rsidP="00876C59">
            <w:pPr>
              <w:pStyle w:val="PwCNormal-Single"/>
              <w:cnfStyle w:val="000000000000" w:firstRow="0" w:lastRow="0" w:firstColumn="0" w:lastColumn="0" w:oddVBand="0" w:evenVBand="0" w:oddHBand="0" w:evenHBand="0" w:firstRowFirstColumn="0" w:firstRowLastColumn="0" w:lastRowFirstColumn="0" w:lastRowLastColumn="0"/>
            </w:pPr>
            <w:r>
              <w:rPr>
                <w:rFonts w:ascii="Arial" w:hAnsi="Arial"/>
                <w:color w:val="000000"/>
                <w:szCs w:val="18"/>
              </w:rPr>
              <w:t>72,090 (29.9%)</w:t>
            </w:r>
          </w:p>
        </w:tc>
        <w:tc>
          <w:tcPr>
            <w:tcW w:w="0" w:type="auto"/>
            <w:hideMark/>
          </w:tcPr>
          <w:p w14:paraId="2DCDE639" w14:textId="77777777" w:rsidR="00C22375" w:rsidRDefault="00C22375" w:rsidP="00876C59">
            <w:pPr>
              <w:pStyle w:val="PwCNormal-Single"/>
              <w:cnfStyle w:val="000000000000" w:firstRow="0" w:lastRow="0" w:firstColumn="0" w:lastColumn="0" w:oddVBand="0" w:evenVBand="0" w:oddHBand="0" w:evenHBand="0" w:firstRowFirstColumn="0" w:firstRowLastColumn="0" w:lastRowFirstColumn="0" w:lastRowLastColumn="0"/>
            </w:pPr>
            <w:r>
              <w:rPr>
                <w:rFonts w:ascii="Arial" w:hAnsi="Arial"/>
                <w:color w:val="000000"/>
                <w:szCs w:val="18"/>
              </w:rPr>
              <w:t>46,375 (19.3%)</w:t>
            </w:r>
          </w:p>
        </w:tc>
        <w:tc>
          <w:tcPr>
            <w:tcW w:w="0" w:type="auto"/>
            <w:hideMark/>
          </w:tcPr>
          <w:p w14:paraId="4F05DDCA" w14:textId="77777777" w:rsidR="00C22375" w:rsidRDefault="00C22375" w:rsidP="00876C59">
            <w:pPr>
              <w:pStyle w:val="PwCNormal-Single"/>
              <w:cnfStyle w:val="000000000000" w:firstRow="0" w:lastRow="0" w:firstColumn="0" w:lastColumn="0" w:oddVBand="0" w:evenVBand="0" w:oddHBand="0" w:evenHBand="0" w:firstRowFirstColumn="0" w:firstRowLastColumn="0" w:lastRowFirstColumn="0" w:lastRowLastColumn="0"/>
            </w:pPr>
            <w:r>
              <w:rPr>
                <w:rFonts w:ascii="Arial" w:hAnsi="Arial"/>
                <w:color w:val="000000"/>
                <w:szCs w:val="18"/>
              </w:rPr>
              <w:t>240,770</w:t>
            </w:r>
          </w:p>
        </w:tc>
      </w:tr>
    </w:tbl>
    <w:p w14:paraId="25D4C515" w14:textId="77777777" w:rsidR="00C22375" w:rsidRDefault="00C22375" w:rsidP="00C22375"/>
    <w:p w14:paraId="6E99902A" w14:textId="77777777" w:rsidR="00C22375" w:rsidRDefault="00C22375" w:rsidP="00876C59">
      <w:pPr>
        <w:pStyle w:val="PwCNormal"/>
      </w:pPr>
      <w:r>
        <w:t xml:space="preserve">The VET in Schools Collection also collects information on students who identify as Indigenous or as having a disability - see </w:t>
      </w:r>
      <w:r>
        <w:rPr>
          <w:b/>
          <w:bCs/>
        </w:rPr>
        <w:t xml:space="preserve">Table 3 </w:t>
      </w:r>
      <w:r>
        <w:t>for a summary of this information.</w:t>
      </w:r>
    </w:p>
    <w:p w14:paraId="143C9DC9" w14:textId="51E4290B" w:rsidR="00C22375" w:rsidRDefault="00C22375" w:rsidP="00876C59">
      <w:pPr>
        <w:pStyle w:val="Minorheading"/>
      </w:pPr>
      <w:r>
        <w:t>Table 3 - Breakdown of VET in Schools students by Indigenous status, disability status and remoteness region (VET in Schools 2020 Collection)</w:t>
      </w:r>
      <w:r w:rsidR="00C67496">
        <w:rPr>
          <w:rStyle w:val="FootnoteReference"/>
        </w:rPr>
        <w:footnoteReference w:id="8"/>
      </w:r>
    </w:p>
    <w:tbl>
      <w:tblPr>
        <w:tblStyle w:val="GridTable4-Accent1"/>
        <w:tblW w:w="9914" w:type="dxa"/>
        <w:tblLook w:val="04A0" w:firstRow="1" w:lastRow="0" w:firstColumn="1" w:lastColumn="0" w:noHBand="0" w:noVBand="1"/>
      </w:tblPr>
      <w:tblGrid>
        <w:gridCol w:w="3108"/>
        <w:gridCol w:w="1760"/>
        <w:gridCol w:w="1710"/>
        <w:gridCol w:w="1892"/>
        <w:gridCol w:w="1444"/>
      </w:tblGrid>
      <w:tr w:rsidR="00C22375" w14:paraId="79F6C975" w14:textId="77777777" w:rsidTr="00A77C50">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01DCFF20" w14:textId="68CBAE45" w:rsidR="00C22375" w:rsidRPr="00A77C50" w:rsidRDefault="00A77C50" w:rsidP="00876C59">
            <w:pPr>
              <w:pStyle w:val="PwCNormal-Single"/>
              <w:rPr>
                <w:color w:val="FFFFFF" w:themeColor="background1"/>
              </w:rPr>
            </w:pPr>
            <w:r w:rsidRPr="00A77C50">
              <w:rPr>
                <w:color w:val="FFFFFF" w:themeColor="background1"/>
              </w:rPr>
              <w:t>Disability status</w:t>
            </w:r>
          </w:p>
        </w:tc>
        <w:tc>
          <w:tcPr>
            <w:tcW w:w="0" w:type="auto"/>
            <w:hideMark/>
          </w:tcPr>
          <w:p w14:paraId="1634289F" w14:textId="77777777" w:rsidR="00C22375" w:rsidRPr="00A77C50" w:rsidRDefault="00C22375" w:rsidP="00876C59">
            <w:pPr>
              <w:pStyle w:val="PwCNormal-Single"/>
              <w:cnfStyle w:val="100000000000" w:firstRow="1" w:lastRow="0" w:firstColumn="0" w:lastColumn="0" w:oddVBand="0" w:evenVBand="0" w:oddHBand="0" w:evenHBand="0" w:firstRowFirstColumn="0" w:firstRowLastColumn="0" w:lastRowFirstColumn="0" w:lastRowLastColumn="0"/>
              <w:rPr>
                <w:color w:val="FFFFFF" w:themeColor="background1"/>
              </w:rPr>
            </w:pPr>
            <w:r w:rsidRPr="00A77C50">
              <w:rPr>
                <w:color w:val="FFFFFF" w:themeColor="background1"/>
              </w:rPr>
              <w:t>Major city</w:t>
            </w:r>
          </w:p>
        </w:tc>
        <w:tc>
          <w:tcPr>
            <w:tcW w:w="0" w:type="auto"/>
            <w:hideMark/>
          </w:tcPr>
          <w:p w14:paraId="6A0725DE" w14:textId="77777777" w:rsidR="00C22375" w:rsidRPr="00A77C50" w:rsidRDefault="00C22375" w:rsidP="00876C59">
            <w:pPr>
              <w:pStyle w:val="PwCNormal-Single"/>
              <w:cnfStyle w:val="100000000000" w:firstRow="1" w:lastRow="0" w:firstColumn="0" w:lastColumn="0" w:oddVBand="0" w:evenVBand="0" w:oddHBand="0" w:evenHBand="0" w:firstRowFirstColumn="0" w:firstRowLastColumn="0" w:lastRowFirstColumn="0" w:lastRowLastColumn="0"/>
              <w:rPr>
                <w:color w:val="FFFFFF" w:themeColor="background1"/>
              </w:rPr>
            </w:pPr>
            <w:r w:rsidRPr="00A77C50">
              <w:rPr>
                <w:color w:val="FFFFFF" w:themeColor="background1"/>
              </w:rPr>
              <w:t>RRR area</w:t>
            </w:r>
          </w:p>
        </w:tc>
        <w:tc>
          <w:tcPr>
            <w:tcW w:w="0" w:type="auto"/>
            <w:hideMark/>
          </w:tcPr>
          <w:p w14:paraId="2F4498C8" w14:textId="77777777" w:rsidR="00C22375" w:rsidRPr="00A77C50" w:rsidRDefault="00C22375" w:rsidP="00876C59">
            <w:pPr>
              <w:pStyle w:val="PwCNormal-Single"/>
              <w:cnfStyle w:val="100000000000" w:firstRow="1" w:lastRow="0" w:firstColumn="0" w:lastColumn="0" w:oddVBand="0" w:evenVBand="0" w:oddHBand="0" w:evenHBand="0" w:firstRowFirstColumn="0" w:firstRowLastColumn="0" w:lastRowFirstColumn="0" w:lastRowLastColumn="0"/>
              <w:rPr>
                <w:color w:val="FFFFFF" w:themeColor="background1"/>
              </w:rPr>
            </w:pPr>
            <w:r w:rsidRPr="00A77C50">
              <w:rPr>
                <w:color w:val="FFFFFF" w:themeColor="background1"/>
              </w:rPr>
              <w:t>Not known</w:t>
            </w:r>
          </w:p>
        </w:tc>
        <w:tc>
          <w:tcPr>
            <w:tcW w:w="0" w:type="auto"/>
            <w:hideMark/>
          </w:tcPr>
          <w:p w14:paraId="75A5F00B" w14:textId="77777777" w:rsidR="00C22375" w:rsidRPr="00A77C50" w:rsidRDefault="00C22375" w:rsidP="00876C59">
            <w:pPr>
              <w:pStyle w:val="PwCNormal-Single"/>
              <w:cnfStyle w:val="100000000000" w:firstRow="1" w:lastRow="0" w:firstColumn="0" w:lastColumn="0" w:oddVBand="0" w:evenVBand="0" w:oddHBand="0" w:evenHBand="0" w:firstRowFirstColumn="0" w:firstRowLastColumn="0" w:lastRowFirstColumn="0" w:lastRowLastColumn="0"/>
              <w:rPr>
                <w:color w:val="FFFFFF" w:themeColor="background1"/>
              </w:rPr>
            </w:pPr>
            <w:r w:rsidRPr="00A77C50">
              <w:rPr>
                <w:color w:val="FFFFFF" w:themeColor="background1"/>
              </w:rPr>
              <w:t>Total</w:t>
            </w:r>
          </w:p>
        </w:tc>
      </w:tr>
      <w:tr w:rsidR="00C22375" w14:paraId="22B5E33F" w14:textId="77777777" w:rsidTr="00A77C5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0B9B8A43" w14:textId="77777777" w:rsidR="00C22375" w:rsidRDefault="00C22375" w:rsidP="00876C59">
            <w:pPr>
              <w:pStyle w:val="PwCNormal-Single"/>
            </w:pPr>
            <w:r>
              <w:rPr>
                <w:color w:val="000000"/>
              </w:rPr>
              <w:t>With a disability</w:t>
            </w:r>
          </w:p>
        </w:tc>
        <w:tc>
          <w:tcPr>
            <w:tcW w:w="0" w:type="auto"/>
            <w:hideMark/>
          </w:tcPr>
          <w:p w14:paraId="6913F073" w14:textId="77777777" w:rsidR="00C22375" w:rsidRDefault="00C22375" w:rsidP="00876C59">
            <w:pPr>
              <w:pStyle w:val="PwCNormal-Single"/>
              <w:cnfStyle w:val="000000100000" w:firstRow="0" w:lastRow="0" w:firstColumn="0" w:lastColumn="0" w:oddVBand="0" w:evenVBand="0" w:oddHBand="1" w:evenHBand="0" w:firstRowFirstColumn="0" w:firstRowLastColumn="0" w:lastRowFirstColumn="0" w:lastRowLastColumn="0"/>
            </w:pPr>
            <w:r>
              <w:rPr>
                <w:color w:val="000000"/>
              </w:rPr>
              <w:t>3,695</w:t>
            </w:r>
          </w:p>
        </w:tc>
        <w:tc>
          <w:tcPr>
            <w:tcW w:w="0" w:type="auto"/>
            <w:hideMark/>
          </w:tcPr>
          <w:p w14:paraId="3CFC49E3" w14:textId="77777777" w:rsidR="00C22375" w:rsidRDefault="00C22375" w:rsidP="00876C59">
            <w:pPr>
              <w:pStyle w:val="PwCNormal-Single"/>
              <w:cnfStyle w:val="000000100000" w:firstRow="0" w:lastRow="0" w:firstColumn="0" w:lastColumn="0" w:oddVBand="0" w:evenVBand="0" w:oddHBand="1" w:evenHBand="0" w:firstRowFirstColumn="0" w:firstRowLastColumn="0" w:lastRowFirstColumn="0" w:lastRowLastColumn="0"/>
            </w:pPr>
            <w:r>
              <w:rPr>
                <w:color w:val="000000"/>
              </w:rPr>
              <w:t>2,145</w:t>
            </w:r>
          </w:p>
        </w:tc>
        <w:tc>
          <w:tcPr>
            <w:tcW w:w="0" w:type="auto"/>
            <w:hideMark/>
          </w:tcPr>
          <w:p w14:paraId="35AB68B3" w14:textId="77777777" w:rsidR="00C22375" w:rsidRDefault="00C22375" w:rsidP="00876C59">
            <w:pPr>
              <w:pStyle w:val="PwCNormal-Single"/>
              <w:cnfStyle w:val="000000100000" w:firstRow="0" w:lastRow="0" w:firstColumn="0" w:lastColumn="0" w:oddVBand="0" w:evenVBand="0" w:oddHBand="1" w:evenHBand="0" w:firstRowFirstColumn="0" w:firstRowLastColumn="0" w:lastRowFirstColumn="0" w:lastRowLastColumn="0"/>
            </w:pPr>
            <w:r>
              <w:rPr>
                <w:color w:val="000000"/>
              </w:rPr>
              <w:t>5</w:t>
            </w:r>
          </w:p>
        </w:tc>
        <w:tc>
          <w:tcPr>
            <w:tcW w:w="0" w:type="auto"/>
            <w:hideMark/>
          </w:tcPr>
          <w:p w14:paraId="0BDC6FB3" w14:textId="77777777" w:rsidR="00C22375" w:rsidRDefault="00C22375" w:rsidP="00876C59">
            <w:pPr>
              <w:pStyle w:val="PwCNormal-Single"/>
              <w:cnfStyle w:val="000000100000" w:firstRow="0" w:lastRow="0" w:firstColumn="0" w:lastColumn="0" w:oddVBand="0" w:evenVBand="0" w:oddHBand="1" w:evenHBand="0" w:firstRowFirstColumn="0" w:firstRowLastColumn="0" w:lastRowFirstColumn="0" w:lastRowLastColumn="0"/>
            </w:pPr>
            <w:r>
              <w:rPr>
                <w:color w:val="000000"/>
              </w:rPr>
              <w:t>5,845</w:t>
            </w:r>
          </w:p>
        </w:tc>
      </w:tr>
      <w:tr w:rsidR="00C22375" w14:paraId="1CDCA9ED" w14:textId="77777777" w:rsidTr="00A77C50">
        <w:trPr>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36DBAAB9" w14:textId="77777777" w:rsidR="00C22375" w:rsidRDefault="00C22375" w:rsidP="00876C59">
            <w:pPr>
              <w:pStyle w:val="PwCNormal-Single"/>
            </w:pPr>
            <w:r>
              <w:rPr>
                <w:color w:val="000000"/>
              </w:rPr>
              <w:t>Without a disability</w:t>
            </w:r>
          </w:p>
        </w:tc>
        <w:tc>
          <w:tcPr>
            <w:tcW w:w="0" w:type="auto"/>
            <w:hideMark/>
          </w:tcPr>
          <w:p w14:paraId="243155F2" w14:textId="77777777" w:rsidR="00C22375" w:rsidRDefault="00C22375" w:rsidP="00876C59">
            <w:pPr>
              <w:pStyle w:val="PwCNormal-Single"/>
              <w:cnfStyle w:val="000000000000" w:firstRow="0" w:lastRow="0" w:firstColumn="0" w:lastColumn="0" w:oddVBand="0" w:evenVBand="0" w:oddHBand="0" w:evenHBand="0" w:firstRowFirstColumn="0" w:firstRowLastColumn="0" w:lastRowFirstColumn="0" w:lastRowLastColumn="0"/>
            </w:pPr>
            <w:r>
              <w:rPr>
                <w:color w:val="000000"/>
              </w:rPr>
              <w:t>53,625</w:t>
            </w:r>
          </w:p>
        </w:tc>
        <w:tc>
          <w:tcPr>
            <w:tcW w:w="0" w:type="auto"/>
            <w:hideMark/>
          </w:tcPr>
          <w:p w14:paraId="13BAFD7B" w14:textId="77777777" w:rsidR="00C22375" w:rsidRDefault="00C22375" w:rsidP="00876C59">
            <w:pPr>
              <w:pStyle w:val="PwCNormal-Single"/>
              <w:cnfStyle w:val="000000000000" w:firstRow="0" w:lastRow="0" w:firstColumn="0" w:lastColumn="0" w:oddVBand="0" w:evenVBand="0" w:oddHBand="0" w:evenHBand="0" w:firstRowFirstColumn="0" w:firstRowLastColumn="0" w:lastRowFirstColumn="0" w:lastRowLastColumn="0"/>
            </w:pPr>
            <w:r>
              <w:rPr>
                <w:color w:val="000000"/>
              </w:rPr>
              <w:t>38,270</w:t>
            </w:r>
          </w:p>
        </w:tc>
        <w:tc>
          <w:tcPr>
            <w:tcW w:w="0" w:type="auto"/>
            <w:hideMark/>
          </w:tcPr>
          <w:p w14:paraId="079B25FD" w14:textId="77777777" w:rsidR="00C22375" w:rsidRDefault="00C22375" w:rsidP="00876C59">
            <w:pPr>
              <w:pStyle w:val="PwCNormal-Single"/>
              <w:cnfStyle w:val="000000000000" w:firstRow="0" w:lastRow="0" w:firstColumn="0" w:lastColumn="0" w:oddVBand="0" w:evenVBand="0" w:oddHBand="0" w:evenHBand="0" w:firstRowFirstColumn="0" w:firstRowLastColumn="0" w:lastRowFirstColumn="0" w:lastRowLastColumn="0"/>
            </w:pPr>
            <w:r>
              <w:rPr>
                <w:color w:val="000000"/>
              </w:rPr>
              <w:t>280</w:t>
            </w:r>
          </w:p>
        </w:tc>
        <w:tc>
          <w:tcPr>
            <w:tcW w:w="0" w:type="auto"/>
            <w:hideMark/>
          </w:tcPr>
          <w:p w14:paraId="660D0744" w14:textId="77777777" w:rsidR="00C22375" w:rsidRDefault="00C22375" w:rsidP="00876C59">
            <w:pPr>
              <w:pStyle w:val="PwCNormal-Single"/>
              <w:cnfStyle w:val="000000000000" w:firstRow="0" w:lastRow="0" w:firstColumn="0" w:lastColumn="0" w:oddVBand="0" w:evenVBand="0" w:oddHBand="0" w:evenHBand="0" w:firstRowFirstColumn="0" w:firstRowLastColumn="0" w:lastRowFirstColumn="0" w:lastRowLastColumn="0"/>
            </w:pPr>
            <w:r>
              <w:rPr>
                <w:color w:val="000000"/>
              </w:rPr>
              <w:t>92,175</w:t>
            </w:r>
          </w:p>
        </w:tc>
      </w:tr>
      <w:tr w:rsidR="00C22375" w14:paraId="7221D3E8" w14:textId="77777777" w:rsidTr="00A77C5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586FA3FD" w14:textId="77777777" w:rsidR="00C22375" w:rsidRDefault="00C22375" w:rsidP="00876C59">
            <w:pPr>
              <w:pStyle w:val="PwCNormal-Single"/>
            </w:pPr>
            <w:r>
              <w:rPr>
                <w:color w:val="000000"/>
              </w:rPr>
              <w:t>Not known</w:t>
            </w:r>
          </w:p>
        </w:tc>
        <w:tc>
          <w:tcPr>
            <w:tcW w:w="0" w:type="auto"/>
            <w:hideMark/>
          </w:tcPr>
          <w:p w14:paraId="4DF31845" w14:textId="77777777" w:rsidR="00C22375" w:rsidRDefault="00C22375" w:rsidP="00876C59">
            <w:pPr>
              <w:pStyle w:val="PwCNormal-Single"/>
              <w:cnfStyle w:val="000000100000" w:firstRow="0" w:lastRow="0" w:firstColumn="0" w:lastColumn="0" w:oddVBand="0" w:evenVBand="0" w:oddHBand="1" w:evenHBand="0" w:firstRowFirstColumn="0" w:firstRowLastColumn="0" w:lastRowFirstColumn="0" w:lastRowLastColumn="0"/>
            </w:pPr>
            <w:r>
              <w:rPr>
                <w:color w:val="000000"/>
              </w:rPr>
              <w:t>64,985</w:t>
            </w:r>
          </w:p>
        </w:tc>
        <w:tc>
          <w:tcPr>
            <w:tcW w:w="0" w:type="auto"/>
            <w:hideMark/>
          </w:tcPr>
          <w:p w14:paraId="01F6F679" w14:textId="77777777" w:rsidR="00C22375" w:rsidRDefault="00C22375" w:rsidP="00876C59">
            <w:pPr>
              <w:pStyle w:val="PwCNormal-Single"/>
              <w:cnfStyle w:val="000000100000" w:firstRow="0" w:lastRow="0" w:firstColumn="0" w:lastColumn="0" w:oddVBand="0" w:evenVBand="0" w:oddHBand="1" w:evenHBand="0" w:firstRowFirstColumn="0" w:firstRowLastColumn="0" w:lastRowFirstColumn="0" w:lastRowLastColumn="0"/>
            </w:pPr>
            <w:r>
              <w:rPr>
                <w:color w:val="000000"/>
              </w:rPr>
              <w:t>31,675</w:t>
            </w:r>
          </w:p>
        </w:tc>
        <w:tc>
          <w:tcPr>
            <w:tcW w:w="0" w:type="auto"/>
            <w:hideMark/>
          </w:tcPr>
          <w:p w14:paraId="7A5A268B" w14:textId="77777777" w:rsidR="00C22375" w:rsidRDefault="00C22375" w:rsidP="00876C59">
            <w:pPr>
              <w:pStyle w:val="PwCNormal-Single"/>
              <w:cnfStyle w:val="000000100000" w:firstRow="0" w:lastRow="0" w:firstColumn="0" w:lastColumn="0" w:oddVBand="0" w:evenVBand="0" w:oddHBand="1" w:evenHBand="0" w:firstRowFirstColumn="0" w:firstRowLastColumn="0" w:lastRowFirstColumn="0" w:lastRowLastColumn="0"/>
            </w:pPr>
            <w:r>
              <w:rPr>
                <w:color w:val="000000"/>
              </w:rPr>
              <w:t>46,090</w:t>
            </w:r>
          </w:p>
        </w:tc>
        <w:tc>
          <w:tcPr>
            <w:tcW w:w="0" w:type="auto"/>
            <w:hideMark/>
          </w:tcPr>
          <w:p w14:paraId="6F85913D" w14:textId="77777777" w:rsidR="00C22375" w:rsidRDefault="00C22375" w:rsidP="00876C59">
            <w:pPr>
              <w:pStyle w:val="PwCNormal-Single"/>
              <w:cnfStyle w:val="000000100000" w:firstRow="0" w:lastRow="0" w:firstColumn="0" w:lastColumn="0" w:oddVBand="0" w:evenVBand="0" w:oddHBand="1" w:evenHBand="0" w:firstRowFirstColumn="0" w:firstRowLastColumn="0" w:lastRowFirstColumn="0" w:lastRowLastColumn="0"/>
            </w:pPr>
            <w:r>
              <w:rPr>
                <w:color w:val="000000"/>
              </w:rPr>
              <w:t>142,750</w:t>
            </w:r>
          </w:p>
        </w:tc>
      </w:tr>
      <w:tr w:rsidR="00C22375" w14:paraId="5455A9DB" w14:textId="77777777" w:rsidTr="00A77C50">
        <w:trPr>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16CB6A23" w14:textId="77777777" w:rsidR="00C22375" w:rsidRDefault="00C22375" w:rsidP="00876C59">
            <w:pPr>
              <w:pStyle w:val="PwCNormal-Single"/>
            </w:pPr>
            <w:r>
              <w:rPr>
                <w:color w:val="000000"/>
              </w:rPr>
              <w:t>Total</w:t>
            </w:r>
          </w:p>
        </w:tc>
        <w:tc>
          <w:tcPr>
            <w:tcW w:w="0" w:type="auto"/>
            <w:hideMark/>
          </w:tcPr>
          <w:p w14:paraId="14B38820" w14:textId="77777777" w:rsidR="00C22375" w:rsidRDefault="00C22375" w:rsidP="00876C59">
            <w:pPr>
              <w:pStyle w:val="PwCNormal-Single"/>
              <w:cnfStyle w:val="000000000000" w:firstRow="0" w:lastRow="0" w:firstColumn="0" w:lastColumn="0" w:oddVBand="0" w:evenVBand="0" w:oddHBand="0" w:evenHBand="0" w:firstRowFirstColumn="0" w:firstRowLastColumn="0" w:lastRowFirstColumn="0" w:lastRowLastColumn="0"/>
            </w:pPr>
            <w:r>
              <w:rPr>
                <w:color w:val="000000"/>
              </w:rPr>
              <w:t>122,305</w:t>
            </w:r>
          </w:p>
        </w:tc>
        <w:tc>
          <w:tcPr>
            <w:tcW w:w="0" w:type="auto"/>
            <w:hideMark/>
          </w:tcPr>
          <w:p w14:paraId="4679EB12" w14:textId="77777777" w:rsidR="00C22375" w:rsidRDefault="00C22375" w:rsidP="00876C59">
            <w:pPr>
              <w:pStyle w:val="PwCNormal-Single"/>
              <w:cnfStyle w:val="000000000000" w:firstRow="0" w:lastRow="0" w:firstColumn="0" w:lastColumn="0" w:oddVBand="0" w:evenVBand="0" w:oddHBand="0" w:evenHBand="0" w:firstRowFirstColumn="0" w:firstRowLastColumn="0" w:lastRowFirstColumn="0" w:lastRowLastColumn="0"/>
            </w:pPr>
            <w:r>
              <w:rPr>
                <w:color w:val="000000"/>
              </w:rPr>
              <w:t>72,090</w:t>
            </w:r>
          </w:p>
        </w:tc>
        <w:tc>
          <w:tcPr>
            <w:tcW w:w="0" w:type="auto"/>
            <w:hideMark/>
          </w:tcPr>
          <w:p w14:paraId="4E3BFB43" w14:textId="77777777" w:rsidR="00C22375" w:rsidRDefault="00C22375" w:rsidP="00876C59">
            <w:pPr>
              <w:pStyle w:val="PwCNormal-Single"/>
              <w:cnfStyle w:val="000000000000" w:firstRow="0" w:lastRow="0" w:firstColumn="0" w:lastColumn="0" w:oddVBand="0" w:evenVBand="0" w:oddHBand="0" w:evenHBand="0" w:firstRowFirstColumn="0" w:firstRowLastColumn="0" w:lastRowFirstColumn="0" w:lastRowLastColumn="0"/>
            </w:pPr>
            <w:r>
              <w:rPr>
                <w:color w:val="000000"/>
              </w:rPr>
              <w:t>46,375</w:t>
            </w:r>
          </w:p>
        </w:tc>
        <w:tc>
          <w:tcPr>
            <w:tcW w:w="0" w:type="auto"/>
            <w:hideMark/>
          </w:tcPr>
          <w:p w14:paraId="6E231E7E" w14:textId="77777777" w:rsidR="00C22375" w:rsidRDefault="00C22375" w:rsidP="00876C59">
            <w:pPr>
              <w:pStyle w:val="PwCNormal-Single"/>
              <w:cnfStyle w:val="000000000000" w:firstRow="0" w:lastRow="0" w:firstColumn="0" w:lastColumn="0" w:oddVBand="0" w:evenVBand="0" w:oddHBand="0" w:evenHBand="0" w:firstRowFirstColumn="0" w:firstRowLastColumn="0" w:lastRowFirstColumn="0" w:lastRowLastColumn="0"/>
            </w:pPr>
            <w:r>
              <w:rPr>
                <w:color w:val="000000"/>
              </w:rPr>
              <w:t>240,770</w:t>
            </w:r>
          </w:p>
        </w:tc>
      </w:tr>
      <w:tr w:rsidR="00A77C50" w14:paraId="2DD14AD9" w14:textId="77777777" w:rsidTr="00A77C5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shd w:val="clear" w:color="auto" w:fill="D04A02" w:themeFill="accent1"/>
            <w:hideMark/>
          </w:tcPr>
          <w:p w14:paraId="4B93EBDC" w14:textId="15DA07F9" w:rsidR="00A77C50" w:rsidRPr="00A77C50" w:rsidRDefault="00A77C50" w:rsidP="00A77C50">
            <w:pPr>
              <w:pStyle w:val="PwCNormal-Single"/>
              <w:rPr>
                <w:color w:val="FFFFFF" w:themeColor="background1"/>
              </w:rPr>
            </w:pPr>
            <w:r w:rsidRPr="00A77C50">
              <w:rPr>
                <w:color w:val="FFFFFF" w:themeColor="background1"/>
              </w:rPr>
              <w:t>Indigenous status</w:t>
            </w:r>
          </w:p>
        </w:tc>
        <w:tc>
          <w:tcPr>
            <w:tcW w:w="0" w:type="auto"/>
            <w:shd w:val="clear" w:color="auto" w:fill="D04A02" w:themeFill="accent1"/>
            <w:hideMark/>
          </w:tcPr>
          <w:p w14:paraId="04CC45AB" w14:textId="77777777" w:rsidR="00A77C50" w:rsidRPr="00A77C50" w:rsidRDefault="00A77C50" w:rsidP="00A77C50">
            <w:pPr>
              <w:pStyle w:val="PwCNormal-Single"/>
              <w:cnfStyle w:val="000000100000" w:firstRow="0" w:lastRow="0" w:firstColumn="0" w:lastColumn="0" w:oddVBand="0" w:evenVBand="0" w:oddHBand="1" w:evenHBand="0" w:firstRowFirstColumn="0" w:firstRowLastColumn="0" w:lastRowFirstColumn="0" w:lastRowLastColumn="0"/>
              <w:rPr>
                <w:color w:val="FFFFFF" w:themeColor="background1"/>
              </w:rPr>
            </w:pPr>
            <w:r w:rsidRPr="00A77C50">
              <w:rPr>
                <w:color w:val="FFFFFF" w:themeColor="background1"/>
              </w:rPr>
              <w:t>Major city</w:t>
            </w:r>
          </w:p>
        </w:tc>
        <w:tc>
          <w:tcPr>
            <w:tcW w:w="0" w:type="auto"/>
            <w:shd w:val="clear" w:color="auto" w:fill="D04A02" w:themeFill="accent1"/>
            <w:hideMark/>
          </w:tcPr>
          <w:p w14:paraId="2B99766E" w14:textId="77777777" w:rsidR="00A77C50" w:rsidRPr="00A77C50" w:rsidRDefault="00A77C50" w:rsidP="00A77C50">
            <w:pPr>
              <w:pStyle w:val="PwCNormal-Single"/>
              <w:cnfStyle w:val="000000100000" w:firstRow="0" w:lastRow="0" w:firstColumn="0" w:lastColumn="0" w:oddVBand="0" w:evenVBand="0" w:oddHBand="1" w:evenHBand="0" w:firstRowFirstColumn="0" w:firstRowLastColumn="0" w:lastRowFirstColumn="0" w:lastRowLastColumn="0"/>
              <w:rPr>
                <w:color w:val="FFFFFF" w:themeColor="background1"/>
              </w:rPr>
            </w:pPr>
            <w:r w:rsidRPr="00A77C50">
              <w:rPr>
                <w:color w:val="FFFFFF" w:themeColor="background1"/>
              </w:rPr>
              <w:t>RRR area</w:t>
            </w:r>
          </w:p>
        </w:tc>
        <w:tc>
          <w:tcPr>
            <w:tcW w:w="0" w:type="auto"/>
            <w:shd w:val="clear" w:color="auto" w:fill="D04A02" w:themeFill="accent1"/>
            <w:hideMark/>
          </w:tcPr>
          <w:p w14:paraId="3961347A" w14:textId="77777777" w:rsidR="00A77C50" w:rsidRPr="00A77C50" w:rsidRDefault="00A77C50" w:rsidP="00A77C50">
            <w:pPr>
              <w:pStyle w:val="PwCNormal-Single"/>
              <w:cnfStyle w:val="000000100000" w:firstRow="0" w:lastRow="0" w:firstColumn="0" w:lastColumn="0" w:oddVBand="0" w:evenVBand="0" w:oddHBand="1" w:evenHBand="0" w:firstRowFirstColumn="0" w:firstRowLastColumn="0" w:lastRowFirstColumn="0" w:lastRowLastColumn="0"/>
              <w:rPr>
                <w:color w:val="FFFFFF" w:themeColor="background1"/>
              </w:rPr>
            </w:pPr>
            <w:r w:rsidRPr="00A77C50">
              <w:rPr>
                <w:color w:val="FFFFFF" w:themeColor="background1"/>
              </w:rPr>
              <w:t>Not known</w:t>
            </w:r>
          </w:p>
        </w:tc>
        <w:tc>
          <w:tcPr>
            <w:tcW w:w="0" w:type="auto"/>
            <w:shd w:val="clear" w:color="auto" w:fill="D04A02" w:themeFill="accent1"/>
            <w:hideMark/>
          </w:tcPr>
          <w:p w14:paraId="6126EFFB" w14:textId="77777777" w:rsidR="00A77C50" w:rsidRPr="00A77C50" w:rsidRDefault="00A77C50" w:rsidP="00A77C50">
            <w:pPr>
              <w:pStyle w:val="PwCNormal-Single"/>
              <w:cnfStyle w:val="000000100000" w:firstRow="0" w:lastRow="0" w:firstColumn="0" w:lastColumn="0" w:oddVBand="0" w:evenVBand="0" w:oddHBand="1" w:evenHBand="0" w:firstRowFirstColumn="0" w:firstRowLastColumn="0" w:lastRowFirstColumn="0" w:lastRowLastColumn="0"/>
              <w:rPr>
                <w:color w:val="FFFFFF" w:themeColor="background1"/>
              </w:rPr>
            </w:pPr>
            <w:r w:rsidRPr="00A77C50">
              <w:rPr>
                <w:color w:val="FFFFFF" w:themeColor="background1"/>
              </w:rPr>
              <w:t>Total</w:t>
            </w:r>
          </w:p>
        </w:tc>
      </w:tr>
      <w:tr w:rsidR="00A77C50" w14:paraId="386A6488" w14:textId="77777777" w:rsidTr="00A77C50">
        <w:trPr>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5131386E" w14:textId="77777777" w:rsidR="00A77C50" w:rsidRDefault="00A77C50" w:rsidP="00A77C50">
            <w:pPr>
              <w:pStyle w:val="PwCNormal-Single"/>
            </w:pPr>
            <w:r>
              <w:rPr>
                <w:color w:val="000000"/>
              </w:rPr>
              <w:t>Indigenous</w:t>
            </w:r>
          </w:p>
        </w:tc>
        <w:tc>
          <w:tcPr>
            <w:tcW w:w="0" w:type="auto"/>
            <w:hideMark/>
          </w:tcPr>
          <w:p w14:paraId="684EA661" w14:textId="77777777" w:rsidR="00A77C50" w:rsidRDefault="00A77C50" w:rsidP="00A77C50">
            <w:pPr>
              <w:pStyle w:val="PwCNormal-Single"/>
              <w:cnfStyle w:val="000000000000" w:firstRow="0" w:lastRow="0" w:firstColumn="0" w:lastColumn="0" w:oddVBand="0" w:evenVBand="0" w:oddHBand="0" w:evenHBand="0" w:firstRowFirstColumn="0" w:firstRowLastColumn="0" w:lastRowFirstColumn="0" w:lastRowLastColumn="0"/>
            </w:pPr>
            <w:r>
              <w:rPr>
                <w:color w:val="000000"/>
              </w:rPr>
              <w:t>4,040</w:t>
            </w:r>
          </w:p>
        </w:tc>
        <w:tc>
          <w:tcPr>
            <w:tcW w:w="0" w:type="auto"/>
            <w:hideMark/>
          </w:tcPr>
          <w:p w14:paraId="2C51CFF3" w14:textId="77777777" w:rsidR="00A77C50" w:rsidRDefault="00A77C50" w:rsidP="00A77C50">
            <w:pPr>
              <w:pStyle w:val="PwCNormal-Single"/>
              <w:cnfStyle w:val="000000000000" w:firstRow="0" w:lastRow="0" w:firstColumn="0" w:lastColumn="0" w:oddVBand="0" w:evenVBand="0" w:oddHBand="0" w:evenHBand="0" w:firstRowFirstColumn="0" w:firstRowLastColumn="0" w:lastRowFirstColumn="0" w:lastRowLastColumn="0"/>
            </w:pPr>
            <w:r>
              <w:rPr>
                <w:color w:val="000000"/>
              </w:rPr>
              <w:t>7,390</w:t>
            </w:r>
          </w:p>
        </w:tc>
        <w:tc>
          <w:tcPr>
            <w:tcW w:w="0" w:type="auto"/>
            <w:hideMark/>
          </w:tcPr>
          <w:p w14:paraId="59A368A7" w14:textId="77777777" w:rsidR="00A77C50" w:rsidRDefault="00A77C50" w:rsidP="00A77C50">
            <w:pPr>
              <w:pStyle w:val="PwCNormal-Single"/>
              <w:cnfStyle w:val="000000000000" w:firstRow="0" w:lastRow="0" w:firstColumn="0" w:lastColumn="0" w:oddVBand="0" w:evenVBand="0" w:oddHBand="0" w:evenHBand="0" w:firstRowFirstColumn="0" w:firstRowLastColumn="0" w:lastRowFirstColumn="0" w:lastRowLastColumn="0"/>
            </w:pPr>
            <w:r>
              <w:rPr>
                <w:color w:val="000000"/>
              </w:rPr>
              <w:t>1,045</w:t>
            </w:r>
          </w:p>
        </w:tc>
        <w:tc>
          <w:tcPr>
            <w:tcW w:w="0" w:type="auto"/>
            <w:hideMark/>
          </w:tcPr>
          <w:p w14:paraId="6CF2C487" w14:textId="77777777" w:rsidR="00A77C50" w:rsidRDefault="00A77C50" w:rsidP="00A77C50">
            <w:pPr>
              <w:pStyle w:val="PwCNormal-Single"/>
              <w:cnfStyle w:val="000000000000" w:firstRow="0" w:lastRow="0" w:firstColumn="0" w:lastColumn="0" w:oddVBand="0" w:evenVBand="0" w:oddHBand="0" w:evenHBand="0" w:firstRowFirstColumn="0" w:firstRowLastColumn="0" w:lastRowFirstColumn="0" w:lastRowLastColumn="0"/>
            </w:pPr>
            <w:r>
              <w:rPr>
                <w:color w:val="000000"/>
              </w:rPr>
              <w:t>12,475</w:t>
            </w:r>
          </w:p>
        </w:tc>
      </w:tr>
      <w:tr w:rsidR="00A77C50" w14:paraId="67BEBF4F" w14:textId="77777777" w:rsidTr="00A77C5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649F880D" w14:textId="77777777" w:rsidR="00A77C50" w:rsidRDefault="00A77C50" w:rsidP="00A77C50">
            <w:pPr>
              <w:pStyle w:val="PwCNormal-Single"/>
            </w:pPr>
            <w:r>
              <w:rPr>
                <w:color w:val="000000"/>
              </w:rPr>
              <w:t>Non-Indigenous</w:t>
            </w:r>
          </w:p>
        </w:tc>
        <w:tc>
          <w:tcPr>
            <w:tcW w:w="0" w:type="auto"/>
            <w:hideMark/>
          </w:tcPr>
          <w:p w14:paraId="573341F9" w14:textId="77777777" w:rsidR="00A77C50" w:rsidRDefault="00A77C50" w:rsidP="00A77C50">
            <w:pPr>
              <w:pStyle w:val="PwCNormal-Single"/>
              <w:cnfStyle w:val="000000100000" w:firstRow="0" w:lastRow="0" w:firstColumn="0" w:lastColumn="0" w:oddVBand="0" w:evenVBand="0" w:oddHBand="1" w:evenHBand="0" w:firstRowFirstColumn="0" w:firstRowLastColumn="0" w:lastRowFirstColumn="0" w:lastRowLastColumn="0"/>
            </w:pPr>
            <w:r>
              <w:rPr>
                <w:color w:val="000000"/>
              </w:rPr>
              <w:t>112,870</w:t>
            </w:r>
          </w:p>
        </w:tc>
        <w:tc>
          <w:tcPr>
            <w:tcW w:w="0" w:type="auto"/>
            <w:hideMark/>
          </w:tcPr>
          <w:p w14:paraId="6476D2D5" w14:textId="77777777" w:rsidR="00A77C50" w:rsidRDefault="00A77C50" w:rsidP="00A77C50">
            <w:pPr>
              <w:pStyle w:val="PwCNormal-Single"/>
              <w:cnfStyle w:val="000000100000" w:firstRow="0" w:lastRow="0" w:firstColumn="0" w:lastColumn="0" w:oddVBand="0" w:evenVBand="0" w:oddHBand="1" w:evenHBand="0" w:firstRowFirstColumn="0" w:firstRowLastColumn="0" w:lastRowFirstColumn="0" w:lastRowLastColumn="0"/>
            </w:pPr>
            <w:r>
              <w:rPr>
                <w:color w:val="000000"/>
              </w:rPr>
              <w:t>61,710</w:t>
            </w:r>
          </w:p>
        </w:tc>
        <w:tc>
          <w:tcPr>
            <w:tcW w:w="0" w:type="auto"/>
            <w:hideMark/>
          </w:tcPr>
          <w:p w14:paraId="3D832C5E" w14:textId="77777777" w:rsidR="00A77C50" w:rsidRDefault="00A77C50" w:rsidP="00A77C50">
            <w:pPr>
              <w:pStyle w:val="PwCNormal-Single"/>
              <w:cnfStyle w:val="000000100000" w:firstRow="0" w:lastRow="0" w:firstColumn="0" w:lastColumn="0" w:oddVBand="0" w:evenVBand="0" w:oddHBand="1" w:evenHBand="0" w:firstRowFirstColumn="0" w:firstRowLastColumn="0" w:lastRowFirstColumn="0" w:lastRowLastColumn="0"/>
            </w:pPr>
            <w:r>
              <w:rPr>
                <w:color w:val="000000"/>
              </w:rPr>
              <w:t>8,755</w:t>
            </w:r>
          </w:p>
        </w:tc>
        <w:tc>
          <w:tcPr>
            <w:tcW w:w="0" w:type="auto"/>
            <w:hideMark/>
          </w:tcPr>
          <w:p w14:paraId="6C49D6B5" w14:textId="77777777" w:rsidR="00A77C50" w:rsidRDefault="00A77C50" w:rsidP="00A77C50">
            <w:pPr>
              <w:pStyle w:val="PwCNormal-Single"/>
              <w:cnfStyle w:val="000000100000" w:firstRow="0" w:lastRow="0" w:firstColumn="0" w:lastColumn="0" w:oddVBand="0" w:evenVBand="0" w:oddHBand="1" w:evenHBand="0" w:firstRowFirstColumn="0" w:firstRowLastColumn="0" w:lastRowFirstColumn="0" w:lastRowLastColumn="0"/>
            </w:pPr>
            <w:r>
              <w:rPr>
                <w:color w:val="000000"/>
              </w:rPr>
              <w:t>183,335</w:t>
            </w:r>
          </w:p>
        </w:tc>
      </w:tr>
      <w:tr w:rsidR="00A77C50" w14:paraId="5ABC4BCF" w14:textId="77777777" w:rsidTr="00A77C50">
        <w:trPr>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1BBE26B9" w14:textId="77777777" w:rsidR="00A77C50" w:rsidRDefault="00A77C50" w:rsidP="00A77C50">
            <w:pPr>
              <w:pStyle w:val="PwCNormal-Single"/>
            </w:pPr>
            <w:r>
              <w:rPr>
                <w:color w:val="000000"/>
              </w:rPr>
              <w:t>Not known</w:t>
            </w:r>
          </w:p>
        </w:tc>
        <w:tc>
          <w:tcPr>
            <w:tcW w:w="0" w:type="auto"/>
            <w:hideMark/>
          </w:tcPr>
          <w:p w14:paraId="68E045B2" w14:textId="77777777" w:rsidR="00A77C50" w:rsidRDefault="00A77C50" w:rsidP="00A77C50">
            <w:pPr>
              <w:pStyle w:val="PwCNormal-Single"/>
              <w:cnfStyle w:val="000000000000" w:firstRow="0" w:lastRow="0" w:firstColumn="0" w:lastColumn="0" w:oddVBand="0" w:evenVBand="0" w:oddHBand="0" w:evenHBand="0" w:firstRowFirstColumn="0" w:firstRowLastColumn="0" w:lastRowFirstColumn="0" w:lastRowLastColumn="0"/>
            </w:pPr>
            <w:r>
              <w:rPr>
                <w:color w:val="000000"/>
              </w:rPr>
              <w:t>5,395</w:t>
            </w:r>
          </w:p>
        </w:tc>
        <w:tc>
          <w:tcPr>
            <w:tcW w:w="0" w:type="auto"/>
            <w:hideMark/>
          </w:tcPr>
          <w:p w14:paraId="7EDEAA3B" w14:textId="77777777" w:rsidR="00A77C50" w:rsidRDefault="00A77C50" w:rsidP="00A77C50">
            <w:pPr>
              <w:pStyle w:val="PwCNormal-Single"/>
              <w:cnfStyle w:val="000000000000" w:firstRow="0" w:lastRow="0" w:firstColumn="0" w:lastColumn="0" w:oddVBand="0" w:evenVBand="0" w:oddHBand="0" w:evenHBand="0" w:firstRowFirstColumn="0" w:firstRowLastColumn="0" w:lastRowFirstColumn="0" w:lastRowLastColumn="0"/>
            </w:pPr>
            <w:r>
              <w:rPr>
                <w:color w:val="000000"/>
              </w:rPr>
              <w:t>2,990</w:t>
            </w:r>
          </w:p>
        </w:tc>
        <w:tc>
          <w:tcPr>
            <w:tcW w:w="0" w:type="auto"/>
            <w:hideMark/>
          </w:tcPr>
          <w:p w14:paraId="3F35A134" w14:textId="77777777" w:rsidR="00A77C50" w:rsidRDefault="00A77C50" w:rsidP="00A77C50">
            <w:pPr>
              <w:pStyle w:val="PwCNormal-Single"/>
              <w:cnfStyle w:val="000000000000" w:firstRow="0" w:lastRow="0" w:firstColumn="0" w:lastColumn="0" w:oddVBand="0" w:evenVBand="0" w:oddHBand="0" w:evenHBand="0" w:firstRowFirstColumn="0" w:firstRowLastColumn="0" w:lastRowFirstColumn="0" w:lastRowLastColumn="0"/>
            </w:pPr>
            <w:r>
              <w:rPr>
                <w:color w:val="000000"/>
              </w:rPr>
              <w:t>36,575</w:t>
            </w:r>
          </w:p>
        </w:tc>
        <w:tc>
          <w:tcPr>
            <w:tcW w:w="0" w:type="auto"/>
            <w:hideMark/>
          </w:tcPr>
          <w:p w14:paraId="077626D4" w14:textId="77777777" w:rsidR="00A77C50" w:rsidRDefault="00A77C50" w:rsidP="00A77C50">
            <w:pPr>
              <w:pStyle w:val="PwCNormal-Single"/>
              <w:cnfStyle w:val="000000000000" w:firstRow="0" w:lastRow="0" w:firstColumn="0" w:lastColumn="0" w:oddVBand="0" w:evenVBand="0" w:oddHBand="0" w:evenHBand="0" w:firstRowFirstColumn="0" w:firstRowLastColumn="0" w:lastRowFirstColumn="0" w:lastRowLastColumn="0"/>
            </w:pPr>
            <w:r>
              <w:rPr>
                <w:color w:val="000000"/>
              </w:rPr>
              <w:t>4,4960</w:t>
            </w:r>
          </w:p>
        </w:tc>
      </w:tr>
      <w:tr w:rsidR="00A77C50" w14:paraId="2BB39585" w14:textId="77777777" w:rsidTr="00A77C5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04B53844" w14:textId="77777777" w:rsidR="00A77C50" w:rsidRDefault="00A77C50" w:rsidP="00A77C50">
            <w:pPr>
              <w:pStyle w:val="PwCNormal-Single"/>
            </w:pPr>
            <w:r>
              <w:rPr>
                <w:color w:val="000000"/>
              </w:rPr>
              <w:t>Total</w:t>
            </w:r>
          </w:p>
        </w:tc>
        <w:tc>
          <w:tcPr>
            <w:tcW w:w="0" w:type="auto"/>
            <w:hideMark/>
          </w:tcPr>
          <w:p w14:paraId="373C4A0B" w14:textId="77777777" w:rsidR="00A77C50" w:rsidRDefault="00A77C50" w:rsidP="00A77C50">
            <w:pPr>
              <w:pStyle w:val="PwCNormal-Single"/>
              <w:cnfStyle w:val="000000100000" w:firstRow="0" w:lastRow="0" w:firstColumn="0" w:lastColumn="0" w:oddVBand="0" w:evenVBand="0" w:oddHBand="1" w:evenHBand="0" w:firstRowFirstColumn="0" w:firstRowLastColumn="0" w:lastRowFirstColumn="0" w:lastRowLastColumn="0"/>
            </w:pPr>
            <w:r>
              <w:rPr>
                <w:color w:val="000000"/>
              </w:rPr>
              <w:t>122,305</w:t>
            </w:r>
          </w:p>
        </w:tc>
        <w:tc>
          <w:tcPr>
            <w:tcW w:w="0" w:type="auto"/>
            <w:hideMark/>
          </w:tcPr>
          <w:p w14:paraId="1EF14A76" w14:textId="77777777" w:rsidR="00A77C50" w:rsidRDefault="00A77C50" w:rsidP="00A77C50">
            <w:pPr>
              <w:pStyle w:val="PwCNormal-Single"/>
              <w:cnfStyle w:val="000000100000" w:firstRow="0" w:lastRow="0" w:firstColumn="0" w:lastColumn="0" w:oddVBand="0" w:evenVBand="0" w:oddHBand="1" w:evenHBand="0" w:firstRowFirstColumn="0" w:firstRowLastColumn="0" w:lastRowFirstColumn="0" w:lastRowLastColumn="0"/>
            </w:pPr>
            <w:r>
              <w:rPr>
                <w:color w:val="000000"/>
              </w:rPr>
              <w:t>72,090</w:t>
            </w:r>
          </w:p>
        </w:tc>
        <w:tc>
          <w:tcPr>
            <w:tcW w:w="0" w:type="auto"/>
            <w:hideMark/>
          </w:tcPr>
          <w:p w14:paraId="29C248C4" w14:textId="77777777" w:rsidR="00A77C50" w:rsidRDefault="00A77C50" w:rsidP="00A77C50">
            <w:pPr>
              <w:pStyle w:val="PwCNormal-Single"/>
              <w:cnfStyle w:val="000000100000" w:firstRow="0" w:lastRow="0" w:firstColumn="0" w:lastColumn="0" w:oddVBand="0" w:evenVBand="0" w:oddHBand="1" w:evenHBand="0" w:firstRowFirstColumn="0" w:firstRowLastColumn="0" w:lastRowFirstColumn="0" w:lastRowLastColumn="0"/>
            </w:pPr>
            <w:r>
              <w:rPr>
                <w:color w:val="000000"/>
              </w:rPr>
              <w:t>46,375</w:t>
            </w:r>
          </w:p>
        </w:tc>
        <w:tc>
          <w:tcPr>
            <w:tcW w:w="0" w:type="auto"/>
            <w:hideMark/>
          </w:tcPr>
          <w:p w14:paraId="1D6E4E03" w14:textId="77777777" w:rsidR="00A77C50" w:rsidRDefault="00A77C50" w:rsidP="00A77C50">
            <w:pPr>
              <w:pStyle w:val="PwCNormal-Single"/>
              <w:cnfStyle w:val="000000100000" w:firstRow="0" w:lastRow="0" w:firstColumn="0" w:lastColumn="0" w:oddVBand="0" w:evenVBand="0" w:oddHBand="1" w:evenHBand="0" w:firstRowFirstColumn="0" w:firstRowLastColumn="0" w:lastRowFirstColumn="0" w:lastRowLastColumn="0"/>
            </w:pPr>
            <w:r>
              <w:rPr>
                <w:color w:val="000000"/>
              </w:rPr>
              <w:t>240,770</w:t>
            </w:r>
          </w:p>
        </w:tc>
      </w:tr>
    </w:tbl>
    <w:p w14:paraId="237BCD49" w14:textId="77777777" w:rsidR="00C22375" w:rsidRDefault="00C22375" w:rsidP="00C22375"/>
    <w:p w14:paraId="257B98FC" w14:textId="77777777" w:rsidR="00876C59" w:rsidRDefault="00C22375" w:rsidP="00876C59">
      <w:pPr>
        <w:pStyle w:val="Minorheading2"/>
      </w:pPr>
      <w:r>
        <w:t xml:space="preserve">B. There is no one dominant delivery model for VETDSS in RRR areas. Rather, the delivery model used within a particular state or territory is driven by their local circumstances. </w:t>
      </w:r>
    </w:p>
    <w:p w14:paraId="5F7F2550" w14:textId="7371650F" w:rsidR="00C22375" w:rsidRDefault="00C22375" w:rsidP="00876C59">
      <w:pPr>
        <w:pStyle w:val="PwCNormal"/>
      </w:pPr>
      <w:r>
        <w:t xml:space="preserve">For example, as shown in </w:t>
      </w:r>
      <w:r>
        <w:rPr>
          <w:b/>
          <w:bCs/>
        </w:rPr>
        <w:t xml:space="preserve">Figure </w:t>
      </w:r>
      <w:r w:rsidR="00D906AE">
        <w:rPr>
          <w:b/>
          <w:bCs/>
        </w:rPr>
        <w:t>5</w:t>
      </w:r>
      <w:r>
        <w:t>, survey respondents from RRR areas identified a variety of methods by which their students engage in VET, including through school-based RTOs, system RTOs and third</w:t>
      </w:r>
      <w:r w:rsidR="00EA0549">
        <w:t>-</w:t>
      </w:r>
      <w:r>
        <w:t>party arrangements. </w:t>
      </w:r>
    </w:p>
    <w:p w14:paraId="2BC745F4" w14:textId="135E6D33" w:rsidR="00C22375" w:rsidRDefault="00C22375" w:rsidP="00876C59">
      <w:pPr>
        <w:pStyle w:val="Minorheading"/>
      </w:pPr>
      <w:r>
        <w:lastRenderedPageBreak/>
        <w:t xml:space="preserve">Figure </w:t>
      </w:r>
      <w:r w:rsidR="00D906AE">
        <w:t>5</w:t>
      </w:r>
      <w:r>
        <w:t xml:space="preserve"> - Survey question: Which of the following statements best describes how you deliver or offer VET to secondary students? Please select the option that characterises how </w:t>
      </w:r>
      <w:proofErr w:type="gramStart"/>
      <w:r>
        <w:t>the majority of</w:t>
      </w:r>
      <w:proofErr w:type="gramEnd"/>
      <w:r>
        <w:t xml:space="preserve"> students engage in VET (n=350).</w:t>
      </w:r>
      <w:r w:rsidR="00C67496">
        <w:rPr>
          <w:rStyle w:val="FootnoteReference"/>
        </w:rPr>
        <w:footnoteReference w:id="9"/>
      </w:r>
      <w:r>
        <w:t> </w:t>
      </w:r>
    </w:p>
    <w:p w14:paraId="16D37DF5" w14:textId="4B51FEBC" w:rsidR="00C22375" w:rsidRDefault="00C22375" w:rsidP="00C22375">
      <w:pPr>
        <w:pStyle w:val="NormalWeb"/>
        <w:spacing w:before="0" w:beforeAutospacing="0" w:after="0" w:afterAutospacing="0"/>
        <w:jc w:val="center"/>
      </w:pPr>
      <w:r>
        <w:rPr>
          <w:rFonts w:asciiTheme="minorHAnsi" w:hAnsiTheme="minorHAnsi" w:cs="Arial"/>
          <w:noProof/>
          <w:snapToGrid w:val="0"/>
          <w:color w:val="000000" w:themeColor="text1"/>
          <w:sz w:val="18"/>
          <w:szCs w:val="20"/>
        </w:rPr>
        <w:drawing>
          <wp:inline distT="0" distB="0" distL="0" distR="0" wp14:anchorId="100902BC" wp14:editId="1374A06F">
            <wp:extent cx="5254625" cy="3684905"/>
            <wp:effectExtent l="0" t="0" r="3175" b="0"/>
            <wp:docPr id="42" name="Picture 42" descr="The bar chart shows responses to the survey question. The top three responses were: 1. 'School delivering VET as part of a system RTO', 2. 'A school-based RTO' and 3. 'School that offers VET to its students through another school or R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The bar chart shows responses to the survey question. The top three responses were: 1. 'School delivering VET as part of a system RTO', 2. 'A school-based RTO' and 3. 'School that offers VET to its students through another school or RTO'."/>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254625" cy="3684905"/>
                    </a:xfrm>
                    <a:prstGeom prst="rect">
                      <a:avLst/>
                    </a:prstGeom>
                    <a:noFill/>
                    <a:ln>
                      <a:noFill/>
                    </a:ln>
                  </pic:spPr>
                </pic:pic>
              </a:graphicData>
            </a:graphic>
          </wp:inline>
        </w:drawing>
      </w:r>
    </w:p>
    <w:p w14:paraId="3544BA75" w14:textId="7381D115" w:rsidR="00C22375" w:rsidRPr="00AD31AC" w:rsidRDefault="00C22375" w:rsidP="00C22375">
      <w:pPr>
        <w:pStyle w:val="PwCNormal"/>
      </w:pPr>
      <w:r>
        <w:t>The factors commonly cited as drivers for a particular delivery model include funding, staff availability, class sizes, existing relationships</w:t>
      </w:r>
      <w:r w:rsidR="006359E8">
        <w:t>,</w:t>
      </w:r>
      <w:r>
        <w:t xml:space="preserve"> and location. In the Northern Territory, for example, some very remote communities are inaccessible by road for up to six months of the year. In these communities, a full-time VET trainer and assessor is ‘embedded’ at the school to live onsite and deliver training, as travelling in and out of the community is not feasible. Conversely, in South Australia, VET is delivered to secondary students in RRR areas through six regional hubs across the state. Each of the hubs is centred around a TAFE or a trade training centre, with varying degrees of accessibility. Some of the hubs (e.g. Mt Gambier), are well supported by public transport, allowing students to commute as needed to access the training. Other hubs (e.g. Whyalla) are less central and deliver VET in block training, allowing students to board at the nearby University of South Australia accommodation for the duration of the block period. </w:t>
      </w:r>
    </w:p>
    <w:p w14:paraId="73E0D16D" w14:textId="77777777" w:rsidR="00876C59" w:rsidRDefault="00C22375" w:rsidP="00876C59">
      <w:pPr>
        <w:pStyle w:val="Minorheading2"/>
      </w:pPr>
      <w:r>
        <w:t xml:space="preserve">C. Some jurisdictions have policies relating to the delivery of VET in RRR areas, including South Australia and Tasmania. </w:t>
      </w:r>
    </w:p>
    <w:p w14:paraId="28B1EF53" w14:textId="3EE11BDA" w:rsidR="00C22375" w:rsidRDefault="00C22375" w:rsidP="00876C59">
      <w:pPr>
        <w:pStyle w:val="PwCNormal"/>
      </w:pPr>
      <w:r>
        <w:t xml:space="preserve">For example, the South Australian Group Training Program (SAGTP) Funding Guidelines describe how training organisations can employ school-based apprentices and trainees in regional </w:t>
      </w:r>
      <w:r w:rsidR="00221FC9">
        <w:t>areas and</w:t>
      </w:r>
      <w:r>
        <w:t xml:space="preserve"> outlines the different regional loading that applies for different geographical areas. Remote and very remote areas attract a 200% adjustment value, whereas moderately accessible areas attract only a 70% adjustment value.</w:t>
      </w:r>
      <w:r w:rsidR="00C67496">
        <w:rPr>
          <w:rStyle w:val="FootnoteReference"/>
        </w:rPr>
        <w:footnoteReference w:id="10"/>
      </w:r>
      <w:r>
        <w:t xml:space="preserve"> In New South Wales, whilst there is no specific policy for VETDSS in RRR areas, the</w:t>
      </w:r>
      <w:r>
        <w:rPr>
          <w:i/>
          <w:iCs/>
        </w:rPr>
        <w:t xml:space="preserve"> Rural and Remote Education Strategy</w:t>
      </w:r>
      <w:r>
        <w:t xml:space="preserve"> references VET, career learning and pathways. A key vision outlined in this strategy is the enabling of “stronger partnerships with higher education providers, vocational education suppliers and local industry.”</w:t>
      </w:r>
      <w:r w:rsidR="00C67496">
        <w:rPr>
          <w:rStyle w:val="FootnoteReference"/>
        </w:rPr>
        <w:footnoteReference w:id="11"/>
      </w:r>
      <w:r>
        <w:t xml:space="preserve"> In Tasmania, the overarching policy that guides VETDSS is the </w:t>
      </w:r>
      <w:r>
        <w:rPr>
          <w:i/>
          <w:iCs/>
        </w:rPr>
        <w:t xml:space="preserve">Vocational </w:t>
      </w:r>
      <w:r>
        <w:rPr>
          <w:i/>
          <w:iCs/>
        </w:rPr>
        <w:lastRenderedPageBreak/>
        <w:t>Learning and VET to 2030.</w:t>
      </w:r>
      <w:r w:rsidR="00C67496">
        <w:rPr>
          <w:rStyle w:val="FootnoteReference"/>
          <w:i/>
          <w:iCs/>
        </w:rPr>
        <w:footnoteReference w:id="12"/>
      </w:r>
      <w:r>
        <w:rPr>
          <w:i/>
          <w:iCs/>
        </w:rPr>
        <w:t xml:space="preserve"> </w:t>
      </w:r>
      <w:r>
        <w:t xml:space="preserve">Interestingly, the state has also implemented the </w:t>
      </w:r>
      <w:r>
        <w:rPr>
          <w:i/>
          <w:iCs/>
        </w:rPr>
        <w:t>Tasmanian Agriculture Education Framework</w:t>
      </w:r>
      <w:r>
        <w:t xml:space="preserve"> (the Framework) to guide learning about agriculture in RRR areas, beginning from primary school and continuing through to completion of senior secondary school.</w:t>
      </w:r>
      <w:r w:rsidR="00C67496">
        <w:rPr>
          <w:rStyle w:val="FootnoteReference"/>
        </w:rPr>
        <w:footnoteReference w:id="13"/>
      </w:r>
      <w:r>
        <w:t xml:space="preserve"> The Framework helps to ensure that by the time the student is enrolling in VETDSS, they have a sound understanding of the industry, and have had opportunities to explore career options through work-based learning. Other industries are following this approach and starting to implement exposure programs in the years leading up to senior secondary school. </w:t>
      </w:r>
    </w:p>
    <w:p w14:paraId="4D370E4E" w14:textId="3B8AD154" w:rsidR="00C22375" w:rsidRDefault="00C22375" w:rsidP="00876C59">
      <w:pPr>
        <w:pStyle w:val="PwCNormal"/>
      </w:pPr>
      <w:r>
        <w:t>Additionally, some jurisdictions may also have specific advisory councils for RRR areas. For example, the Rural and Remote Education Advisory Council (RREAC), who seek to support educational initiatives that promote strong outcomes for regional Western Australian students. The RREAC reports to the Minister for Education on advice for the ongoing provision of quality education and training to rural and remote Western Australians.</w:t>
      </w:r>
      <w:r w:rsidR="00C67496">
        <w:rPr>
          <w:rStyle w:val="FootnoteReference"/>
        </w:rPr>
        <w:footnoteReference w:id="14"/>
      </w:r>
      <w:r>
        <w:t> </w:t>
      </w:r>
    </w:p>
    <w:p w14:paraId="1BEF04BD" w14:textId="77777777" w:rsidR="00876C59" w:rsidRDefault="00C22375" w:rsidP="00876C59">
      <w:pPr>
        <w:pStyle w:val="Minorheading2"/>
      </w:pPr>
      <w:r>
        <w:t xml:space="preserve">D. Stakeholders highlighted the differences between jurisdictions regarding RRR status. In some states, a regional city is 115 kilometres from a metropolitan city (e.g. Ballarat in Victoria) and in other states, a regional city could be as far as 415 kilometres from a metropolitan city (e.g. Geraldton in Western Australia). </w:t>
      </w:r>
    </w:p>
    <w:p w14:paraId="542CA74B" w14:textId="7A1BEA0E" w:rsidR="00C22375" w:rsidRDefault="00C22375" w:rsidP="00876C59">
      <w:pPr>
        <w:pStyle w:val="PwCNormal"/>
      </w:pPr>
      <w:r>
        <w:t>These differences in distance can drive the types of delivery models used for VETDSS. For example, in Victoria, a ‘hub’ model is feasible because schools are situated close enough to co-locate for VET programs. However, in jurisdictions where regional towns are further apart, including Queensland and WA, ‘hub’ models may not always be appropriate. The vast distances between schools and RTOs may make this model impractical, and schools may be more reliant on auspicing arrangements or purchase models. </w:t>
      </w:r>
    </w:p>
    <w:p w14:paraId="343083A3" w14:textId="77777777" w:rsidR="00876C59" w:rsidRDefault="00C22375" w:rsidP="00876C59">
      <w:pPr>
        <w:pStyle w:val="Minorheading2"/>
      </w:pPr>
      <w:r>
        <w:t xml:space="preserve">E. In some jurisdictions, including Queensland and Victoria, schools in RRR areas reported collaboration across the three school sectors. </w:t>
      </w:r>
    </w:p>
    <w:p w14:paraId="501AC3BC" w14:textId="2EBE59EF" w:rsidR="00C22375" w:rsidRDefault="00C22375" w:rsidP="00876C59">
      <w:pPr>
        <w:pStyle w:val="PwCNormal"/>
      </w:pPr>
      <w:r>
        <w:t xml:space="preserve">Stakeholders highlighted the value of collaboration and cluster arrangements between schools to increase VETDSS opportunities, however, </w:t>
      </w:r>
      <w:r w:rsidR="006359E8">
        <w:t>it was noted</w:t>
      </w:r>
      <w:r>
        <w:t xml:space="preserve"> that cross-sector collaboration is not maximised. Clusters are an effective way in which schools can share resources to optimise outcomes for students, as they allow for schools to increase class sizes, improve the diversity of offerings, address trainer shortages </w:t>
      </w:r>
      <w:r w:rsidR="006359E8">
        <w:t>and</w:t>
      </w:r>
      <w:r>
        <w:t xml:space="preserve"> share resources. For example, </w:t>
      </w:r>
      <w:r w:rsidR="00EA0549">
        <w:t xml:space="preserve">a </w:t>
      </w:r>
      <w:r>
        <w:t xml:space="preserve">stakeholder noted that Longreach State High School (a school-based RTO) has started a cluster model which enables students in smaller surrounding schools to participate in VETDSS programs. </w:t>
      </w:r>
      <w:r w:rsidR="00EA0549">
        <w:t>Another</w:t>
      </w:r>
      <w:r>
        <w:t xml:space="preserve"> stakeholder cited the Lower Hume VET Cluster as a strong example of collaboration, stating that relationships between schools in the cluster are strong and outcomes are optimised for students. The schools involved in the cluster have worked to build relationships within the region and support each other as required.</w:t>
      </w:r>
    </w:p>
    <w:p w14:paraId="2DD3D4D2" w14:textId="4DCC685D" w:rsidR="00C22375" w:rsidRDefault="00C22375" w:rsidP="00876C59">
      <w:pPr>
        <w:pStyle w:val="PwCNormal"/>
      </w:pPr>
      <w:r>
        <w:t xml:space="preserve">Cross-sector collaboration, however, is not widespread, and </w:t>
      </w:r>
      <w:r w:rsidR="00EA0549">
        <w:t xml:space="preserve">some </w:t>
      </w:r>
      <w:r>
        <w:t>stakeholders noted that</w:t>
      </w:r>
      <w:r w:rsidR="00EA0549">
        <w:t>,</w:t>
      </w:r>
      <w:r>
        <w:t xml:space="preserve"> whilst there are increasing opportunities for collaboration</w:t>
      </w:r>
      <w:r w:rsidR="00EA0549">
        <w:t xml:space="preserve">, it </w:t>
      </w:r>
      <w:r>
        <w:t xml:space="preserve">remains limited across school sectors. </w:t>
      </w:r>
      <w:r w:rsidR="00EA0549">
        <w:t xml:space="preserve">A stakeholder noted </w:t>
      </w:r>
      <w:r>
        <w:t xml:space="preserve">that a possible reason for this could be difficulties in coordinating schools across sectors. For example, it can be challenging logistically to coordinate clustering arrangements, including transporting students to different </w:t>
      </w:r>
      <w:proofErr w:type="gramStart"/>
      <w:r>
        <w:t>locations</w:t>
      </w:r>
      <w:proofErr w:type="gramEnd"/>
      <w:r>
        <w:t xml:space="preserve"> and identifying a location that is central for all parties. </w:t>
      </w:r>
      <w:r>
        <w:rPr>
          <w:b/>
          <w:bCs/>
        </w:rPr>
        <w:t xml:space="preserve">Case Study 1 </w:t>
      </w:r>
      <w:r>
        <w:t xml:space="preserve">below, focused on the Drones in Schools Project led by Marist College, is one example of strong cross-sector collaboration. This project involves </w:t>
      </w:r>
      <w:r w:rsidR="00CE21B1">
        <w:t xml:space="preserve">Twelve </w:t>
      </w:r>
      <w:r w:rsidR="00EA0549">
        <w:t xml:space="preserve">State, </w:t>
      </w:r>
      <w:r>
        <w:t xml:space="preserve">Catholic and Independent schools across the Central Highlands and Isaac regions in Queensland, who collaborate to deliver training to students. Another example of cross-sector collaboration highlighted by stakeholders is the Bunbury Regional Trade Training Centre in WA, as outlined in </w:t>
      </w:r>
      <w:r>
        <w:rPr>
          <w:b/>
          <w:bCs/>
        </w:rPr>
        <w:t>Case Study 3</w:t>
      </w:r>
      <w:r>
        <w:t xml:space="preserve"> in </w:t>
      </w:r>
      <w:r>
        <w:rPr>
          <w:b/>
          <w:bCs/>
        </w:rPr>
        <w:t>Part 2</w:t>
      </w:r>
      <w:r>
        <w:t xml:space="preserve"> of this report. </w:t>
      </w:r>
    </w:p>
    <w:p w14:paraId="35CC9D9D" w14:textId="1E5F3D81" w:rsidR="0021109C" w:rsidRDefault="0021109C" w:rsidP="0021109C">
      <w:pPr>
        <w:pStyle w:val="PwCNormal"/>
        <w:numPr>
          <w:ilvl w:val="0"/>
          <w:numId w:val="0"/>
        </w:numPr>
      </w:pPr>
    </w:p>
    <w:p w14:paraId="46C73EFA" w14:textId="77777777" w:rsidR="0021109C" w:rsidRDefault="0021109C" w:rsidP="0021109C">
      <w:pPr>
        <w:pStyle w:val="PwCNormal"/>
        <w:numPr>
          <w:ilvl w:val="0"/>
          <w:numId w:val="0"/>
        </w:numPr>
      </w:pPr>
    </w:p>
    <w:tbl>
      <w:tblPr>
        <w:tblStyle w:val="GridTable5Dark-Accent4"/>
        <w:tblW w:w="9868" w:type="dxa"/>
        <w:tblLook w:val="0620" w:firstRow="1" w:lastRow="0" w:firstColumn="0" w:lastColumn="0" w:noHBand="1" w:noVBand="1"/>
      </w:tblPr>
      <w:tblGrid>
        <w:gridCol w:w="9868"/>
      </w:tblGrid>
      <w:tr w:rsidR="00876C59" w14:paraId="55F2D2C4" w14:textId="77777777" w:rsidTr="0021109C">
        <w:trPr>
          <w:cnfStyle w:val="100000000000" w:firstRow="1" w:lastRow="0" w:firstColumn="0" w:lastColumn="0" w:oddVBand="0" w:evenVBand="0" w:oddHBand="0" w:evenHBand="0" w:firstRowFirstColumn="0" w:firstRowLastColumn="0" w:lastRowFirstColumn="0" w:lastRowLastColumn="0"/>
          <w:trHeight w:val="275"/>
        </w:trPr>
        <w:tc>
          <w:tcPr>
            <w:tcW w:w="9868" w:type="dxa"/>
          </w:tcPr>
          <w:p w14:paraId="3390D2C6" w14:textId="74FD9BD7" w:rsidR="00876C59" w:rsidRPr="00A77C50" w:rsidRDefault="00876C59" w:rsidP="00ED57F9">
            <w:pPr>
              <w:pStyle w:val="PwCNormal"/>
              <w:rPr>
                <w:color w:val="auto"/>
              </w:rPr>
            </w:pPr>
            <w:r w:rsidRPr="00A77C50">
              <w:rPr>
                <w:color w:val="auto"/>
              </w:rPr>
              <w:lastRenderedPageBreak/>
              <w:t>Case Study 1 – Cross-sector collaboration with the Drones in Schools Project </w:t>
            </w:r>
          </w:p>
        </w:tc>
      </w:tr>
      <w:tr w:rsidR="00876C59" w14:paraId="2CD9AB2D" w14:textId="77777777" w:rsidTr="0021109C">
        <w:trPr>
          <w:trHeight w:val="2679"/>
        </w:trPr>
        <w:tc>
          <w:tcPr>
            <w:tcW w:w="9868" w:type="dxa"/>
          </w:tcPr>
          <w:p w14:paraId="084A1C46" w14:textId="77777777" w:rsidR="00ED57F9" w:rsidRDefault="00ED57F9" w:rsidP="00ED57F9">
            <w:pPr>
              <w:pStyle w:val="PwCNormal"/>
              <w:rPr>
                <w:rFonts w:ascii="Calibri" w:hAnsi="Calibri" w:cs="Calibri"/>
                <w:snapToGrid/>
                <w:sz w:val="22"/>
                <w:lang w:eastAsia="en-AU"/>
              </w:rPr>
            </w:pPr>
            <w:r>
              <w:rPr>
                <w:lang w:eastAsia="en-AU"/>
              </w:rPr>
              <w:t xml:space="preserve">Twelve State, </w:t>
            </w:r>
            <w:proofErr w:type="gramStart"/>
            <w:r>
              <w:rPr>
                <w:lang w:eastAsia="en-AU"/>
              </w:rPr>
              <w:t>Catholic</w:t>
            </w:r>
            <w:proofErr w:type="gramEnd"/>
            <w:r>
              <w:rPr>
                <w:lang w:eastAsia="en-AU"/>
              </w:rPr>
              <w:t xml:space="preserve"> and Independent schools across the Isaac, Central Highlands</w:t>
            </w:r>
            <w:r>
              <w:t xml:space="preserve"> and </w:t>
            </w:r>
            <w:r>
              <w:rPr>
                <w:lang w:eastAsia="en-AU"/>
              </w:rPr>
              <w:t xml:space="preserve">Woorabinda Aboriginal Shire regions in Queensland collaborate on the Drones in Schools Project, led by Marist College in Emerald. Participating schools have combined to deliver a </w:t>
            </w:r>
            <w:r w:rsidRPr="0021109C">
              <w:rPr>
                <w:i/>
                <w:iCs/>
                <w:lang w:eastAsia="en-AU"/>
              </w:rPr>
              <w:t>Certificate III in Aviation</w:t>
            </w:r>
            <w:r>
              <w:rPr>
                <w:lang w:eastAsia="en-AU"/>
              </w:rPr>
              <w:t xml:space="preserve"> and collaborate with local partners to provide students with strong industry experience. One representative from the Drones in Schools Project noted that it seeks “...to build graduate capability, enhance community capacity and develop a self-sustaining training model that can be replicated across the country.” Members of the Project work together to achieve:</w:t>
            </w:r>
          </w:p>
          <w:p w14:paraId="1E2B5783" w14:textId="77777777" w:rsidR="00ED57F9" w:rsidRDefault="00ED57F9" w:rsidP="00ED57F9">
            <w:pPr>
              <w:pStyle w:val="ListBullet"/>
              <w:rPr>
                <w:lang w:eastAsia="en-AU"/>
              </w:rPr>
            </w:pPr>
            <w:r>
              <w:rPr>
                <w:lang w:eastAsia="en-AU"/>
              </w:rPr>
              <w:t>A broadening of educational opportunities for regional/remote students</w:t>
            </w:r>
          </w:p>
          <w:p w14:paraId="7FC90B43" w14:textId="77777777" w:rsidR="00ED57F9" w:rsidRDefault="00ED57F9" w:rsidP="00ED57F9">
            <w:pPr>
              <w:pStyle w:val="ListBullet"/>
              <w:rPr>
                <w:lang w:eastAsia="en-AU"/>
              </w:rPr>
            </w:pPr>
            <w:r>
              <w:rPr>
                <w:lang w:eastAsia="en-AU"/>
              </w:rPr>
              <w:t>The development of vocational STEM skills for the future of work in a global economy</w:t>
            </w:r>
          </w:p>
          <w:p w14:paraId="5EC1FEE7" w14:textId="77777777" w:rsidR="00ED57F9" w:rsidRDefault="00ED57F9" w:rsidP="00ED57F9">
            <w:pPr>
              <w:pStyle w:val="ListBullet"/>
              <w:rPr>
                <w:lang w:eastAsia="en-AU"/>
              </w:rPr>
            </w:pPr>
            <w:r>
              <w:rPr>
                <w:lang w:eastAsia="en-AU"/>
              </w:rPr>
              <w:t>A commitment to community engagement and exposure to local enterprise</w:t>
            </w:r>
          </w:p>
          <w:p w14:paraId="535CBD9B" w14:textId="77777777" w:rsidR="00ED57F9" w:rsidRDefault="00ED57F9" w:rsidP="00ED57F9">
            <w:pPr>
              <w:pStyle w:val="ListBullet"/>
              <w:rPr>
                <w:lang w:eastAsia="en-AU"/>
              </w:rPr>
            </w:pPr>
            <w:r>
              <w:rPr>
                <w:lang w:eastAsia="en-AU"/>
              </w:rPr>
              <w:t>Addressing skills shortages and emerging economic opportunities within industry</w:t>
            </w:r>
          </w:p>
          <w:p w14:paraId="42EEF06A" w14:textId="7E288290" w:rsidR="00ED57F9" w:rsidRPr="00ED57F9" w:rsidRDefault="00ED57F9" w:rsidP="00ED57F9">
            <w:pPr>
              <w:pStyle w:val="ListBullet"/>
              <w:rPr>
                <w:lang w:eastAsia="en-AU"/>
              </w:rPr>
            </w:pPr>
            <w:r>
              <w:rPr>
                <w:lang w:eastAsia="en-AU"/>
              </w:rPr>
              <w:t>Preparing students with the enterprise skills needed for workforce participation.</w:t>
            </w:r>
          </w:p>
          <w:p w14:paraId="6389DFFB" w14:textId="77777777" w:rsidR="00ED57F9" w:rsidRDefault="00ED57F9" w:rsidP="00ED57F9">
            <w:pPr>
              <w:pStyle w:val="PwCNormal"/>
              <w:rPr>
                <w:lang w:eastAsia="en-AU"/>
              </w:rPr>
            </w:pPr>
            <w:r>
              <w:rPr>
                <w:lang w:eastAsia="en-AU"/>
              </w:rPr>
              <w:t>There are five key phases to the project:</w:t>
            </w:r>
          </w:p>
          <w:p w14:paraId="3B629958" w14:textId="77777777" w:rsidR="00ED57F9" w:rsidRPr="00ED57F9" w:rsidRDefault="00ED57F9" w:rsidP="00ED57F9">
            <w:pPr>
              <w:pStyle w:val="ListNumber"/>
            </w:pPr>
            <w:r w:rsidRPr="00ED57F9">
              <w:t>The VET in Schools Phase: delivering nationally recognised training in schools</w:t>
            </w:r>
          </w:p>
          <w:p w14:paraId="50A193CB" w14:textId="77777777" w:rsidR="00ED57F9" w:rsidRPr="00ED57F9" w:rsidRDefault="00ED57F9" w:rsidP="00ED57F9">
            <w:pPr>
              <w:pStyle w:val="ListNumber"/>
            </w:pPr>
            <w:r w:rsidRPr="00ED57F9">
              <w:t>Imagine Innovation Phase: engaging students in industry opportunities and events at a local, state, and international level</w:t>
            </w:r>
          </w:p>
          <w:p w14:paraId="61AFAFE1" w14:textId="77777777" w:rsidR="00ED57F9" w:rsidRPr="00ED57F9" w:rsidRDefault="00ED57F9" w:rsidP="00ED57F9">
            <w:pPr>
              <w:pStyle w:val="ListNumber"/>
            </w:pPr>
            <w:r w:rsidRPr="00ED57F9">
              <w:t>Developing Communities Phase: building local capacity through the development of educator skills</w:t>
            </w:r>
          </w:p>
          <w:p w14:paraId="2BFB427A" w14:textId="77777777" w:rsidR="00ED57F9" w:rsidRPr="00ED57F9" w:rsidRDefault="00ED57F9" w:rsidP="00ED57F9">
            <w:pPr>
              <w:pStyle w:val="ListNumber"/>
            </w:pPr>
            <w:r w:rsidRPr="00ED57F9">
              <w:t>Advanced Drone Training Phase: specialised industry skills development (for selected students)</w:t>
            </w:r>
          </w:p>
          <w:p w14:paraId="5F8C8510" w14:textId="5512CE18" w:rsidR="00876C59" w:rsidRPr="00ED57F9" w:rsidRDefault="00ED57F9" w:rsidP="00ED57F9">
            <w:pPr>
              <w:pStyle w:val="ListNumber"/>
              <w:rPr>
                <w:lang w:eastAsia="en-AU"/>
              </w:rPr>
            </w:pPr>
            <w:r w:rsidRPr="00ED57F9">
              <w:t>Industry Pathways Phase: path to industry mentoring program, including work experience and internship support.</w:t>
            </w:r>
          </w:p>
        </w:tc>
      </w:tr>
    </w:tbl>
    <w:p w14:paraId="1649B4CB" w14:textId="77777777" w:rsidR="00ED57F9" w:rsidRDefault="00C22375" w:rsidP="00ED57F9">
      <w:pPr>
        <w:pStyle w:val="Minorheading2"/>
      </w:pPr>
      <w:r>
        <w:t xml:space="preserve">F. Schools in RRR areas may use online learning for some components of their VETDSS program, as they may be too geographically distant to access face-to-face learning opportunities. </w:t>
      </w:r>
    </w:p>
    <w:p w14:paraId="17051A7E" w14:textId="58A89D7B" w:rsidR="00C22375" w:rsidRDefault="00C22375" w:rsidP="00ED57F9">
      <w:pPr>
        <w:pStyle w:val="PwCNormal"/>
      </w:pPr>
      <w:r>
        <w:t xml:space="preserve">Stakeholders frequently highlighted an increase in the use of online learning, noting that it can be an effective way to increase VET offerings for students at schools in RRR areas. Most commonly stakeholders noted the use of online learning as part of a hybrid model of VET delivery, which incorporates online theory with blocks of practical study. For example, </w:t>
      </w:r>
      <w:r w:rsidR="00CE21B1">
        <w:t xml:space="preserve">an RTO </w:t>
      </w:r>
      <w:r>
        <w:t xml:space="preserve">stakeholder noted that they are currently delivering a </w:t>
      </w:r>
      <w:r>
        <w:rPr>
          <w:i/>
          <w:iCs/>
        </w:rPr>
        <w:t>Certificate II in Electrotechnology</w:t>
      </w:r>
      <w:r>
        <w:t xml:space="preserve"> in RRR areas, with the majority of learning taking place online each week and a </w:t>
      </w:r>
      <w:r w:rsidR="00221FC9">
        <w:t>three-day</w:t>
      </w:r>
      <w:r>
        <w:t xml:space="preserve"> practical face-to-face block of delivery timetabled for each term. This stakeholder noted that online delivery can increase opportunities for students in RRR areas. Further, stakeholders noted that the types of online learning opportunities are also expanding. For example, </w:t>
      </w:r>
      <w:r w:rsidR="00CE21B1">
        <w:t xml:space="preserve">a stakeholder cited </w:t>
      </w:r>
      <w:r>
        <w:t>that they “have a wider range of delivery options for students in RRR areas including mobile training units and digitally-enabled spaces, where students can tap into practical training, online learning and simulations and access our teachers and support services without leaving their local community.” </w:t>
      </w:r>
    </w:p>
    <w:p w14:paraId="39D61EC7" w14:textId="250003E7" w:rsidR="00C22375" w:rsidRDefault="00C22375" w:rsidP="00ED57F9">
      <w:pPr>
        <w:pStyle w:val="PwCNormal"/>
      </w:pPr>
      <w:r>
        <w:t xml:space="preserve">However, there are challenges with online delivery. </w:t>
      </w:r>
      <w:r w:rsidR="00CE21B1">
        <w:t xml:space="preserve">It was </w:t>
      </w:r>
      <w:r>
        <w:t xml:space="preserve">noted that online learning can be a “black hole” for students who require more support, and that online learning can create a greater divide between the “high performing” and “low performing” students. Consultation </w:t>
      </w:r>
      <w:r w:rsidR="00CE21B1">
        <w:t>highlighted</w:t>
      </w:r>
      <w:r>
        <w:t xml:space="preserve"> that online learning is</w:t>
      </w:r>
      <w:r w:rsidR="00CE21B1">
        <w:t xml:space="preserve"> particularly</w:t>
      </w:r>
      <w:r>
        <w:t xml:space="preserve"> challenging for students with disability, as they </w:t>
      </w:r>
      <w:r w:rsidR="00AD31AC">
        <w:t>may</w:t>
      </w:r>
      <w:r>
        <w:t xml:space="preserve"> require more individualised support. Further, stakeholders frequently noted that online delivery can be difficult to access in some RRR areas where there is not a stable internet connection. For example, one stakeholder from a remote RTO noted they deliver “online and virtually to students in RRR areas where computers and internet capacity or satellite connectivity permit, but different locations may still experience significant communication or technology barriers to engaging in VETDSS.</w:t>
      </w:r>
      <w:r w:rsidR="0021109C">
        <w:t>”</w:t>
      </w:r>
      <w:r>
        <w:t xml:space="preserve"> This stakeholder further noted that their RTO delivered VET to a secondary school class in a remote location, and the class had to share one computer as other</w:t>
      </w:r>
      <w:r w:rsidR="00AD31AC">
        <w:t>s</w:t>
      </w:r>
      <w:r>
        <w:t xml:space="preserve"> were not available at school or home</w:t>
      </w:r>
      <w:r w:rsidR="00AD31AC">
        <w:t>.</w:t>
      </w:r>
      <w:r>
        <w:t> </w:t>
      </w:r>
    </w:p>
    <w:p w14:paraId="66678B50" w14:textId="4D16CBD2" w:rsidR="00C22375" w:rsidRDefault="00C22375" w:rsidP="00ED57F9">
      <w:pPr>
        <w:pStyle w:val="PwCNormal"/>
      </w:pPr>
      <w:r>
        <w:t xml:space="preserve">Stakeholders suggested that online learning is effective when it utilises technology in an innovative way and engages students in RRR areas. One example of this is the School of Isolated and Distance Education (SIDE) RTO - see </w:t>
      </w:r>
      <w:r>
        <w:rPr>
          <w:b/>
          <w:bCs/>
        </w:rPr>
        <w:t xml:space="preserve">Case Study 2 </w:t>
      </w:r>
      <w:r>
        <w:t>below. Based in WA, SIDE RTO delivers training for students in RRR areas. Stakeholders noted that the SIDE RTO began with 50 students and has now increased to 250, showing that there is an appetite for access to this type of VET program. These stakeholders noted that SIDE RTO continues to look to expand its scope by considering needs and workforce shortages, ensuring that the VET qualifications being delivered are relevant to the region. </w:t>
      </w:r>
    </w:p>
    <w:tbl>
      <w:tblPr>
        <w:tblStyle w:val="GridTable5Dark-Accent4"/>
        <w:tblW w:w="0" w:type="auto"/>
        <w:tblLook w:val="0620" w:firstRow="1" w:lastRow="0" w:firstColumn="0" w:lastColumn="0" w:noHBand="1" w:noVBand="1"/>
      </w:tblPr>
      <w:tblGrid>
        <w:gridCol w:w="9855"/>
      </w:tblGrid>
      <w:tr w:rsidR="00ED57F9" w14:paraId="73B7B404" w14:textId="77777777" w:rsidTr="00A77C50">
        <w:trPr>
          <w:cnfStyle w:val="100000000000" w:firstRow="1" w:lastRow="0" w:firstColumn="0" w:lastColumn="0" w:oddVBand="0" w:evenVBand="0" w:oddHBand="0" w:evenHBand="0" w:firstRowFirstColumn="0" w:firstRowLastColumn="0" w:lastRowFirstColumn="0" w:lastRowLastColumn="0"/>
        </w:trPr>
        <w:tc>
          <w:tcPr>
            <w:tcW w:w="9855" w:type="dxa"/>
          </w:tcPr>
          <w:p w14:paraId="49D10B9F" w14:textId="3AF797F2" w:rsidR="00ED57F9" w:rsidRPr="00A77C50" w:rsidRDefault="00ED57F9" w:rsidP="00153D8A">
            <w:pPr>
              <w:pStyle w:val="PwCNormal"/>
              <w:rPr>
                <w:color w:val="auto"/>
              </w:rPr>
            </w:pPr>
            <w:r w:rsidRPr="00A77C50">
              <w:rPr>
                <w:color w:val="auto"/>
              </w:rPr>
              <w:lastRenderedPageBreak/>
              <w:t>Case Study 2 – Online learning with the School of Isolated and Distance Education (SIDE) RTO</w:t>
            </w:r>
          </w:p>
        </w:tc>
      </w:tr>
      <w:tr w:rsidR="00ED57F9" w14:paraId="78CFD3FA" w14:textId="77777777" w:rsidTr="00A77C50">
        <w:tc>
          <w:tcPr>
            <w:tcW w:w="9855" w:type="dxa"/>
          </w:tcPr>
          <w:p w14:paraId="570F8C9C" w14:textId="562FC644" w:rsidR="00ED57F9" w:rsidRPr="00ED57F9" w:rsidRDefault="00ED57F9" w:rsidP="00ED57F9">
            <w:pPr>
              <w:pStyle w:val="PwCNormal"/>
              <w:rPr>
                <w:rFonts w:ascii="Calibri" w:hAnsi="Calibri" w:cs="Calibri"/>
                <w:snapToGrid/>
                <w:color w:val="auto"/>
                <w:sz w:val="22"/>
                <w:lang w:eastAsia="en-AU"/>
              </w:rPr>
            </w:pPr>
            <w:r>
              <w:t xml:space="preserve">SIDE RTO is a Department of Education (WA) funded RTO that uses digital technology to deliver VET classes for Government school </w:t>
            </w:r>
            <w:r w:rsidRPr="00ED57F9">
              <w:rPr>
                <w:color w:val="auto"/>
              </w:rPr>
              <w:t>students in regional, rural</w:t>
            </w:r>
            <w:r w:rsidR="0021109C">
              <w:rPr>
                <w:color w:val="auto"/>
              </w:rPr>
              <w:t>,</w:t>
            </w:r>
            <w:r w:rsidRPr="00ED57F9">
              <w:rPr>
                <w:color w:val="auto"/>
              </w:rPr>
              <w:t xml:space="preserve"> and remote areas. When establishing a partnership with a school, a SIDE member will communicate with the school and discuss needs and challenges with VET staff. The communication ensures that SIDE </w:t>
            </w:r>
            <w:proofErr w:type="gramStart"/>
            <w:r w:rsidRPr="00ED57F9">
              <w:rPr>
                <w:color w:val="auto"/>
              </w:rPr>
              <w:t>has an understanding of</w:t>
            </w:r>
            <w:proofErr w:type="gramEnd"/>
            <w:r w:rsidRPr="00ED57F9">
              <w:rPr>
                <w:color w:val="auto"/>
              </w:rPr>
              <w:t xml:space="preserve"> what is happening on the ground and a school's individual needs. Depending on the school and their needs, SIDE offers one of three models:</w:t>
            </w:r>
          </w:p>
          <w:p w14:paraId="0A922AE5" w14:textId="77777777" w:rsidR="00ED57F9" w:rsidRPr="00ED57F9" w:rsidRDefault="00ED57F9" w:rsidP="00ED57F9">
            <w:pPr>
              <w:pStyle w:val="ListNumber"/>
              <w:numPr>
                <w:ilvl w:val="0"/>
                <w:numId w:val="91"/>
              </w:numPr>
            </w:pPr>
            <w:r w:rsidRPr="00ED57F9">
              <w:t>A fee-for-service delivery (SIDE RTO delivers training online through Webex)</w:t>
            </w:r>
          </w:p>
          <w:p w14:paraId="24844E16" w14:textId="77777777" w:rsidR="00ED57F9" w:rsidRDefault="00ED57F9" w:rsidP="00ED57F9">
            <w:pPr>
              <w:pStyle w:val="ListNumber"/>
            </w:pPr>
            <w:r w:rsidRPr="00ED57F9">
              <w:t>An auspicing arrangement (where a local trainer delivers on</w:t>
            </w:r>
            <w:r>
              <w:t>-site)</w:t>
            </w:r>
          </w:p>
          <w:p w14:paraId="02B472FE" w14:textId="585E7845" w:rsidR="00ED57F9" w:rsidRDefault="00ED57F9" w:rsidP="00ED57F9">
            <w:pPr>
              <w:pStyle w:val="ListNumber"/>
            </w:pPr>
            <w:r>
              <w:t xml:space="preserve">A blended model of delivery (training is carried out locally by a trainer and assessor but assessment is carried out by SIDE RTO). This blended model may also include instances where the delivery is mainly carried out online, but </w:t>
            </w:r>
            <w:proofErr w:type="gramStart"/>
            <w:r>
              <w:t>particular assessments</w:t>
            </w:r>
            <w:proofErr w:type="gramEnd"/>
            <w:r>
              <w:t xml:space="preserve"> are done in person, and may require the SIDE RTO trainer to visit the school and do a block of training. </w:t>
            </w:r>
          </w:p>
          <w:p w14:paraId="6D1FD233" w14:textId="7B293705" w:rsidR="00ED57F9" w:rsidRPr="00ED57F9" w:rsidRDefault="00ED57F9" w:rsidP="00ED57F9">
            <w:pPr>
              <w:pStyle w:val="PwCNormal"/>
              <w:rPr>
                <w:rFonts w:eastAsiaTheme="minorHAnsi"/>
              </w:rPr>
            </w:pPr>
            <w:r>
              <w:t xml:space="preserve">SIDE RTO has a small range of qualifications on scope selected through previous research and discussion prior to the RTO being established. SIDE RTO’s online delivery through the Webex platform works well in regional areas, catering for smaller cohorts and a range of qualifications. </w:t>
            </w:r>
            <w:proofErr w:type="gramStart"/>
            <w:r>
              <w:t>In particular, SIDE</w:t>
            </w:r>
            <w:proofErr w:type="gramEnd"/>
            <w:r>
              <w:t xml:space="preserve"> members noted in consultation that delivery works best when there is also a dedicated supervisor in the classroom to ensure that students are engaged. However, this supervisor does not need to be qualified as a teacher or trainer and assessor, which makes this option more viable for RRR schools to engage students and encourage ongoing participation.</w:t>
            </w:r>
          </w:p>
        </w:tc>
      </w:tr>
    </w:tbl>
    <w:p w14:paraId="46D862CE" w14:textId="77777777" w:rsidR="00ED57F9" w:rsidRDefault="00ED57F9" w:rsidP="00ED57F9">
      <w:pPr>
        <w:pStyle w:val="PwCNormal"/>
      </w:pPr>
    </w:p>
    <w:p w14:paraId="2D585FCB" w14:textId="0CA29D6E" w:rsidR="00ED57F9" w:rsidRDefault="00ED57F9">
      <w:pPr>
        <w:kinsoku/>
        <w:overflowPunct/>
        <w:autoSpaceDE/>
        <w:autoSpaceDN/>
        <w:adjustRightInd/>
        <w:snapToGrid/>
        <w:spacing w:line="240" w:lineRule="auto"/>
        <w:rPr>
          <w:rFonts w:ascii="Times New Roman" w:eastAsiaTheme="minorEastAsia" w:hAnsi="Times New Roman" w:cs="Times New Roman"/>
          <w:snapToGrid/>
          <w:sz w:val="24"/>
          <w:szCs w:val="24"/>
          <w:lang w:val="en-US"/>
        </w:rPr>
      </w:pPr>
      <w:r>
        <w:br w:type="page"/>
      </w:r>
    </w:p>
    <w:p w14:paraId="053775A5" w14:textId="77777777" w:rsidR="00C22375" w:rsidRDefault="00C22375" w:rsidP="00ED57F9">
      <w:pPr>
        <w:pStyle w:val="Bodyheadline"/>
        <w:rPr>
          <w:rFonts w:ascii="Times New Roman" w:hAnsi="Times New Roman" w:cs="Times New Roman"/>
          <w:sz w:val="36"/>
          <w:lang w:eastAsia="en-AU"/>
        </w:rPr>
      </w:pPr>
      <w:r>
        <w:lastRenderedPageBreak/>
        <w:t>Part 2: The challenges of delivery of high quality VETDSS in RRR areas</w:t>
      </w:r>
    </w:p>
    <w:p w14:paraId="3BA8F469" w14:textId="4E3E9CDC" w:rsidR="00C22375" w:rsidRDefault="00C22375" w:rsidP="00ED57F9">
      <w:pPr>
        <w:pStyle w:val="PwCNormal"/>
      </w:pPr>
      <w:r>
        <w:t xml:space="preserve">As shown in </w:t>
      </w:r>
      <w:r>
        <w:rPr>
          <w:b/>
          <w:bCs/>
        </w:rPr>
        <w:t xml:space="preserve">Figure </w:t>
      </w:r>
      <w:r w:rsidR="00D906AE">
        <w:rPr>
          <w:b/>
          <w:bCs/>
        </w:rPr>
        <w:t>6</w:t>
      </w:r>
      <w:r>
        <w:rPr>
          <w:b/>
          <w:bCs/>
        </w:rPr>
        <w:t xml:space="preserve">, </w:t>
      </w:r>
      <w:r>
        <w:t>89.8% of survey respondents (n=415) agreed that the experiences of delivering VET to secondary students in RRR areas are different from those in metropolitan areas. This section explores some of the challenges and barriers faced by stakeholders when delivering VET to students in these settings. </w:t>
      </w:r>
    </w:p>
    <w:p w14:paraId="5BB54632" w14:textId="4F48650A" w:rsidR="00C22375" w:rsidRDefault="00C22375" w:rsidP="00ED57F9">
      <w:pPr>
        <w:pStyle w:val="Minorheading"/>
      </w:pPr>
      <w:r>
        <w:t xml:space="preserve">Figure </w:t>
      </w:r>
      <w:r w:rsidR="00D906AE">
        <w:t>6</w:t>
      </w:r>
      <w:r>
        <w:t xml:space="preserve"> - Survey question: Do you believe the experiences of delivering VET to secondary students in RRR areas are different from those in metropolitan areas? (n=462)</w:t>
      </w:r>
    </w:p>
    <w:p w14:paraId="5452D523" w14:textId="1979524C" w:rsidR="00C22375" w:rsidRDefault="00C22375" w:rsidP="00C22375">
      <w:pPr>
        <w:pStyle w:val="NormalWeb"/>
        <w:spacing w:before="0" w:beforeAutospacing="0" w:after="200" w:afterAutospacing="0"/>
        <w:jc w:val="center"/>
      </w:pPr>
      <w:r>
        <w:rPr>
          <w:rFonts w:asciiTheme="minorHAnsi" w:hAnsiTheme="minorHAnsi" w:cs="Arial"/>
          <w:noProof/>
          <w:snapToGrid w:val="0"/>
          <w:color w:val="000000" w:themeColor="text1"/>
          <w:sz w:val="18"/>
          <w:szCs w:val="20"/>
        </w:rPr>
        <w:drawing>
          <wp:inline distT="0" distB="0" distL="0" distR="0" wp14:anchorId="3DE07A04" wp14:editId="35C8869C">
            <wp:extent cx="6141720" cy="1771650"/>
            <wp:effectExtent l="0" t="0" r="0" b="0"/>
            <wp:docPr id="53" name="Picture 53" descr="The bar chart shows responses to the survey question. Most respondents answered 'yes' to the question and only a small number of respondents answered 'no' to the 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The bar chart shows responses to the survey question. Most respondents answered 'yes' to the question and only a small number of respondents answered 'no' to the question."/>
                    <pic:cNvPicPr>
                      <a:picLocks noChangeAspect="1" noChangeArrowheads="1"/>
                    </pic:cNvPicPr>
                  </pic:nvPicPr>
                  <pic:blipFill rotWithShape="1">
                    <a:blip r:embed="rId38">
                      <a:extLst>
                        <a:ext uri="{28A0092B-C50C-407E-A947-70E740481C1C}">
                          <a14:useLocalDpi xmlns:a14="http://schemas.microsoft.com/office/drawing/2010/main" val="0"/>
                        </a:ext>
                      </a:extLst>
                    </a:blip>
                    <a:srcRect b="13462"/>
                    <a:stretch/>
                  </pic:blipFill>
                  <pic:spPr bwMode="auto">
                    <a:xfrm>
                      <a:off x="0" y="0"/>
                      <a:ext cx="6141720" cy="1771650"/>
                    </a:xfrm>
                    <a:prstGeom prst="rect">
                      <a:avLst/>
                    </a:prstGeom>
                    <a:noFill/>
                    <a:ln>
                      <a:noFill/>
                    </a:ln>
                    <a:extLst>
                      <a:ext uri="{53640926-AAD7-44D8-BBD7-CCE9431645EC}">
                        <a14:shadowObscured xmlns:a14="http://schemas.microsoft.com/office/drawing/2010/main"/>
                      </a:ext>
                    </a:extLst>
                  </pic:spPr>
                </pic:pic>
              </a:graphicData>
            </a:graphic>
          </wp:inline>
        </w:drawing>
      </w:r>
    </w:p>
    <w:p w14:paraId="08C78BEA" w14:textId="514C1E90" w:rsidR="00C22375" w:rsidRDefault="00C22375" w:rsidP="00ED57F9">
      <w:pPr>
        <w:pStyle w:val="Minorheading"/>
      </w:pPr>
      <w:r>
        <w:t xml:space="preserve">Figure </w:t>
      </w:r>
      <w:r w:rsidR="00D906AE">
        <w:t>7</w:t>
      </w:r>
      <w:r>
        <w:t xml:space="preserve"> - Key findings for Part 2 </w:t>
      </w:r>
    </w:p>
    <w:tbl>
      <w:tblPr>
        <w:tblStyle w:val="TableGrid"/>
        <w:tblW w:w="9421"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1181"/>
        <w:gridCol w:w="8240"/>
      </w:tblGrid>
      <w:tr w:rsidR="00ED57F9" w14:paraId="4635991D" w14:textId="77777777" w:rsidTr="00DF08D8">
        <w:trPr>
          <w:trHeight w:val="523"/>
        </w:trPr>
        <w:tc>
          <w:tcPr>
            <w:tcW w:w="1181" w:type="dxa"/>
            <w:shd w:val="clear" w:color="auto" w:fill="EB8C00" w:themeFill="accent4"/>
          </w:tcPr>
          <w:p w14:paraId="581167E2" w14:textId="77777777" w:rsidR="00ED57F9" w:rsidRPr="00A77C50" w:rsidRDefault="00ED57F9" w:rsidP="00153D8A">
            <w:pPr>
              <w:spacing w:beforeLines="50" w:before="120" w:afterLines="50" w:after="120"/>
              <w:jc w:val="center"/>
              <w:rPr>
                <w:b/>
                <w:bCs/>
                <w:sz w:val="40"/>
                <w:szCs w:val="40"/>
              </w:rPr>
            </w:pPr>
            <w:r w:rsidRPr="00A77C50">
              <w:rPr>
                <w:b/>
                <w:bCs/>
                <w:sz w:val="40"/>
                <w:szCs w:val="40"/>
              </w:rPr>
              <w:t>A</w:t>
            </w:r>
          </w:p>
        </w:tc>
        <w:tc>
          <w:tcPr>
            <w:tcW w:w="8240" w:type="dxa"/>
            <w:shd w:val="clear" w:color="auto" w:fill="DEDEDE" w:themeFill="background2"/>
          </w:tcPr>
          <w:p w14:paraId="2ECB3ED1" w14:textId="77777777" w:rsidR="00ED57F9" w:rsidRPr="00A21A8E" w:rsidRDefault="00ED57F9" w:rsidP="00CE21B1">
            <w:pPr>
              <w:pStyle w:val="PwCNormal"/>
            </w:pPr>
            <w:r>
              <w:t>The challenges experienced by all stakeholders in delivering high quality VETDSS are amplified in RRR settings.</w:t>
            </w:r>
          </w:p>
        </w:tc>
      </w:tr>
      <w:tr w:rsidR="00ED57F9" w14:paraId="1F93C1B8" w14:textId="77777777" w:rsidTr="00DF08D8">
        <w:trPr>
          <w:trHeight w:val="523"/>
        </w:trPr>
        <w:tc>
          <w:tcPr>
            <w:tcW w:w="1181" w:type="dxa"/>
            <w:shd w:val="clear" w:color="auto" w:fill="EB8C00" w:themeFill="accent4"/>
          </w:tcPr>
          <w:p w14:paraId="113FC86D" w14:textId="77777777" w:rsidR="00ED57F9" w:rsidRPr="00A77C50" w:rsidRDefault="00ED57F9" w:rsidP="00153D8A">
            <w:pPr>
              <w:spacing w:beforeLines="50" w:before="120" w:afterLines="50" w:after="120"/>
              <w:jc w:val="center"/>
              <w:rPr>
                <w:b/>
                <w:bCs/>
                <w:sz w:val="40"/>
                <w:szCs w:val="40"/>
              </w:rPr>
            </w:pPr>
            <w:r w:rsidRPr="00A77C50">
              <w:rPr>
                <w:b/>
                <w:bCs/>
                <w:sz w:val="40"/>
                <w:szCs w:val="40"/>
              </w:rPr>
              <w:t>B</w:t>
            </w:r>
          </w:p>
        </w:tc>
        <w:tc>
          <w:tcPr>
            <w:tcW w:w="8240" w:type="dxa"/>
            <w:shd w:val="clear" w:color="auto" w:fill="DEDEDE" w:themeFill="background2"/>
          </w:tcPr>
          <w:p w14:paraId="56F8BDBC" w14:textId="77777777" w:rsidR="00ED57F9" w:rsidRPr="00A21A8E" w:rsidRDefault="00ED57F9" w:rsidP="00CE21B1">
            <w:pPr>
              <w:pStyle w:val="PwCNormal"/>
            </w:pPr>
            <w:r>
              <w:t>Access to qualified trainers and assessors was reported by most stakeholders as a significant challenge.</w:t>
            </w:r>
          </w:p>
        </w:tc>
      </w:tr>
      <w:tr w:rsidR="00ED57F9" w14:paraId="04A9B193" w14:textId="77777777" w:rsidTr="00DF08D8">
        <w:trPr>
          <w:trHeight w:val="523"/>
        </w:trPr>
        <w:tc>
          <w:tcPr>
            <w:tcW w:w="1181" w:type="dxa"/>
            <w:shd w:val="clear" w:color="auto" w:fill="EB8C00" w:themeFill="accent4"/>
          </w:tcPr>
          <w:p w14:paraId="027B8351" w14:textId="77777777" w:rsidR="00ED57F9" w:rsidRPr="00A77C50" w:rsidRDefault="00ED57F9" w:rsidP="00153D8A">
            <w:pPr>
              <w:spacing w:beforeLines="50" w:before="120" w:afterLines="50" w:after="120"/>
              <w:jc w:val="center"/>
              <w:rPr>
                <w:b/>
                <w:bCs/>
                <w:sz w:val="40"/>
                <w:szCs w:val="40"/>
              </w:rPr>
            </w:pPr>
            <w:r w:rsidRPr="00A77C50">
              <w:rPr>
                <w:b/>
                <w:bCs/>
                <w:sz w:val="40"/>
                <w:szCs w:val="40"/>
              </w:rPr>
              <w:t>C</w:t>
            </w:r>
          </w:p>
        </w:tc>
        <w:tc>
          <w:tcPr>
            <w:tcW w:w="8240" w:type="dxa"/>
            <w:shd w:val="clear" w:color="auto" w:fill="DEDEDE" w:themeFill="background2"/>
          </w:tcPr>
          <w:p w14:paraId="57697B3D" w14:textId="77777777" w:rsidR="00ED57F9" w:rsidRPr="00A21A8E" w:rsidRDefault="00ED57F9" w:rsidP="00CE21B1">
            <w:pPr>
              <w:pStyle w:val="PwCNormal"/>
            </w:pPr>
            <w:r>
              <w:t>Stakeholders consistently raised lack of funding as a challenge of VETDSS in RRR areas.</w:t>
            </w:r>
          </w:p>
        </w:tc>
      </w:tr>
      <w:tr w:rsidR="00ED57F9" w14:paraId="1B45B57B" w14:textId="77777777" w:rsidTr="00DF08D8">
        <w:trPr>
          <w:trHeight w:val="523"/>
        </w:trPr>
        <w:tc>
          <w:tcPr>
            <w:tcW w:w="1181" w:type="dxa"/>
            <w:shd w:val="clear" w:color="auto" w:fill="EB8C00" w:themeFill="accent4"/>
          </w:tcPr>
          <w:p w14:paraId="7D0E19C8" w14:textId="77777777" w:rsidR="00ED57F9" w:rsidRPr="00A77C50" w:rsidRDefault="00ED57F9" w:rsidP="00153D8A">
            <w:pPr>
              <w:spacing w:beforeLines="50" w:before="120" w:afterLines="50" w:after="120"/>
              <w:jc w:val="center"/>
              <w:rPr>
                <w:b/>
                <w:bCs/>
                <w:sz w:val="40"/>
                <w:szCs w:val="40"/>
              </w:rPr>
            </w:pPr>
            <w:r w:rsidRPr="00A77C50">
              <w:rPr>
                <w:b/>
                <w:bCs/>
                <w:sz w:val="40"/>
                <w:szCs w:val="40"/>
              </w:rPr>
              <w:t>D</w:t>
            </w:r>
          </w:p>
        </w:tc>
        <w:tc>
          <w:tcPr>
            <w:tcW w:w="8240" w:type="dxa"/>
            <w:shd w:val="clear" w:color="auto" w:fill="DEDEDE" w:themeFill="background2"/>
          </w:tcPr>
          <w:p w14:paraId="21001581" w14:textId="77777777" w:rsidR="00ED57F9" w:rsidRPr="00A21A8E" w:rsidRDefault="00ED57F9" w:rsidP="00CE21B1">
            <w:pPr>
              <w:pStyle w:val="PwCNormal"/>
            </w:pPr>
            <w:r>
              <w:t>Because of their locations, some stakeholders reported challenges with geographical access to VET programs.</w:t>
            </w:r>
          </w:p>
        </w:tc>
      </w:tr>
      <w:tr w:rsidR="00ED57F9" w14:paraId="07D54327" w14:textId="77777777" w:rsidTr="00DF08D8">
        <w:trPr>
          <w:trHeight w:val="523"/>
        </w:trPr>
        <w:tc>
          <w:tcPr>
            <w:tcW w:w="1181" w:type="dxa"/>
            <w:shd w:val="clear" w:color="auto" w:fill="EB8C00" w:themeFill="accent4"/>
          </w:tcPr>
          <w:p w14:paraId="5C4FEB53" w14:textId="77777777" w:rsidR="00ED57F9" w:rsidRPr="00A77C50" w:rsidRDefault="00ED57F9" w:rsidP="00153D8A">
            <w:pPr>
              <w:spacing w:beforeLines="50" w:before="120" w:afterLines="50" w:after="120"/>
              <w:jc w:val="center"/>
              <w:rPr>
                <w:b/>
                <w:bCs/>
                <w:sz w:val="40"/>
                <w:szCs w:val="40"/>
              </w:rPr>
            </w:pPr>
            <w:r w:rsidRPr="00A77C50">
              <w:rPr>
                <w:b/>
                <w:bCs/>
                <w:sz w:val="40"/>
                <w:szCs w:val="40"/>
              </w:rPr>
              <w:t>E</w:t>
            </w:r>
          </w:p>
        </w:tc>
        <w:tc>
          <w:tcPr>
            <w:tcW w:w="8240" w:type="dxa"/>
            <w:shd w:val="clear" w:color="auto" w:fill="DEDEDE" w:themeFill="background2"/>
          </w:tcPr>
          <w:p w14:paraId="0103BF79" w14:textId="77777777" w:rsidR="00ED57F9" w:rsidRPr="00A21A8E" w:rsidRDefault="00ED57F9" w:rsidP="00CE21B1">
            <w:pPr>
              <w:pStyle w:val="PwCNormal"/>
            </w:pPr>
            <w:r>
              <w:t>In some areas, there are insufficient student numbers to form classes.</w:t>
            </w:r>
          </w:p>
        </w:tc>
      </w:tr>
      <w:tr w:rsidR="00ED57F9" w14:paraId="224516EA" w14:textId="77777777" w:rsidTr="00DF08D8">
        <w:trPr>
          <w:trHeight w:val="523"/>
        </w:trPr>
        <w:tc>
          <w:tcPr>
            <w:tcW w:w="1181" w:type="dxa"/>
            <w:shd w:val="clear" w:color="auto" w:fill="EB8C00" w:themeFill="accent4"/>
          </w:tcPr>
          <w:p w14:paraId="1B7DD982" w14:textId="77777777" w:rsidR="00ED57F9" w:rsidRPr="00A77C50" w:rsidRDefault="00ED57F9" w:rsidP="00153D8A">
            <w:pPr>
              <w:spacing w:beforeLines="50" w:before="120" w:afterLines="50" w:after="120"/>
              <w:jc w:val="center"/>
              <w:rPr>
                <w:b/>
                <w:bCs/>
                <w:sz w:val="40"/>
                <w:szCs w:val="40"/>
              </w:rPr>
            </w:pPr>
            <w:r w:rsidRPr="00A77C50">
              <w:rPr>
                <w:b/>
                <w:bCs/>
                <w:sz w:val="40"/>
                <w:szCs w:val="40"/>
              </w:rPr>
              <w:t>F</w:t>
            </w:r>
          </w:p>
        </w:tc>
        <w:tc>
          <w:tcPr>
            <w:tcW w:w="8240" w:type="dxa"/>
            <w:shd w:val="clear" w:color="auto" w:fill="DEDEDE" w:themeFill="background2"/>
          </w:tcPr>
          <w:p w14:paraId="460E00E4" w14:textId="77777777" w:rsidR="00ED57F9" w:rsidRPr="00A21A8E" w:rsidRDefault="00ED57F9" w:rsidP="00CE21B1">
            <w:pPr>
              <w:pStyle w:val="PwCNormal"/>
            </w:pPr>
            <w:r>
              <w:t>Stakeholders suggested that some delivery arrangements, for example, solely online learning, may restrict the delivery of high quality VETDSS in RRR settings as students lack the face-to-face connection.</w:t>
            </w:r>
          </w:p>
        </w:tc>
      </w:tr>
      <w:tr w:rsidR="00ED57F9" w14:paraId="64566942" w14:textId="77777777" w:rsidTr="00DF08D8">
        <w:trPr>
          <w:trHeight w:val="523"/>
        </w:trPr>
        <w:tc>
          <w:tcPr>
            <w:tcW w:w="1181" w:type="dxa"/>
            <w:shd w:val="clear" w:color="auto" w:fill="EB8C00" w:themeFill="accent4"/>
          </w:tcPr>
          <w:p w14:paraId="4F8CD657" w14:textId="77777777" w:rsidR="00ED57F9" w:rsidRPr="00A77C50" w:rsidRDefault="00ED57F9" w:rsidP="00153D8A">
            <w:pPr>
              <w:spacing w:beforeLines="50" w:before="120" w:afterLines="50" w:after="120"/>
              <w:jc w:val="center"/>
              <w:rPr>
                <w:b/>
                <w:bCs/>
                <w:sz w:val="40"/>
                <w:szCs w:val="40"/>
              </w:rPr>
            </w:pPr>
            <w:r w:rsidRPr="00A77C50">
              <w:rPr>
                <w:b/>
                <w:bCs/>
                <w:sz w:val="40"/>
                <w:szCs w:val="40"/>
              </w:rPr>
              <w:t>G</w:t>
            </w:r>
          </w:p>
        </w:tc>
        <w:tc>
          <w:tcPr>
            <w:tcW w:w="8240" w:type="dxa"/>
            <w:shd w:val="clear" w:color="auto" w:fill="DEDEDE" w:themeFill="background2"/>
          </w:tcPr>
          <w:p w14:paraId="69079E72" w14:textId="77777777" w:rsidR="00ED57F9" w:rsidRPr="00A21A8E" w:rsidRDefault="00ED57F9" w:rsidP="00CE21B1">
            <w:pPr>
              <w:pStyle w:val="PwCNormal"/>
            </w:pPr>
            <w:r>
              <w:t>Stakeholders noted challenges with equipment and resources, including internet access in RRR settings.</w:t>
            </w:r>
          </w:p>
        </w:tc>
      </w:tr>
      <w:tr w:rsidR="00ED57F9" w14:paraId="7FA25401" w14:textId="77777777" w:rsidTr="00DF08D8">
        <w:trPr>
          <w:trHeight w:val="523"/>
        </w:trPr>
        <w:tc>
          <w:tcPr>
            <w:tcW w:w="1181" w:type="dxa"/>
            <w:shd w:val="clear" w:color="auto" w:fill="EB8C00" w:themeFill="accent4"/>
          </w:tcPr>
          <w:p w14:paraId="6210EDC1" w14:textId="77777777" w:rsidR="00ED57F9" w:rsidRPr="00A77C50" w:rsidRDefault="00ED57F9" w:rsidP="00153D8A">
            <w:pPr>
              <w:spacing w:beforeLines="50" w:before="120" w:afterLines="50" w:after="120"/>
              <w:jc w:val="center"/>
              <w:rPr>
                <w:b/>
                <w:bCs/>
                <w:sz w:val="40"/>
                <w:szCs w:val="40"/>
              </w:rPr>
            </w:pPr>
            <w:r w:rsidRPr="00A77C50">
              <w:rPr>
                <w:b/>
                <w:bCs/>
                <w:sz w:val="40"/>
                <w:szCs w:val="40"/>
              </w:rPr>
              <w:t>H</w:t>
            </w:r>
          </w:p>
        </w:tc>
        <w:tc>
          <w:tcPr>
            <w:tcW w:w="8240" w:type="dxa"/>
            <w:shd w:val="clear" w:color="auto" w:fill="DEDEDE" w:themeFill="background2"/>
          </w:tcPr>
          <w:p w14:paraId="3E7DEAB7" w14:textId="77777777" w:rsidR="00ED57F9" w:rsidRPr="00A21A8E" w:rsidRDefault="00ED57F9" w:rsidP="00CE21B1">
            <w:pPr>
              <w:pStyle w:val="PwCNormal"/>
            </w:pPr>
            <w:r>
              <w:t>Some stakeholders suggested that gaining industry experience can be challenging in RRR settings, due to the limited number of work placement opportunities.</w:t>
            </w:r>
          </w:p>
        </w:tc>
      </w:tr>
    </w:tbl>
    <w:p w14:paraId="6A4F4E92" w14:textId="0A59D0E7" w:rsidR="00C22375" w:rsidRDefault="00C22375" w:rsidP="00ED57F9">
      <w:pPr>
        <w:pStyle w:val="PwCNormal"/>
      </w:pPr>
    </w:p>
    <w:p w14:paraId="7FA0F54E" w14:textId="77777777" w:rsidR="00ED57F9" w:rsidRDefault="00C22375" w:rsidP="00ED57F9">
      <w:pPr>
        <w:pStyle w:val="Minorheading2"/>
      </w:pPr>
      <w:r>
        <w:lastRenderedPageBreak/>
        <w:t xml:space="preserve">A. The challenges experienced by all stakeholders in delivering high quality VETDSS are amplified in RRR settings. </w:t>
      </w:r>
    </w:p>
    <w:p w14:paraId="7F862A93" w14:textId="7F90B0B7" w:rsidR="00C22375" w:rsidRDefault="00C22375" w:rsidP="00ED57F9">
      <w:pPr>
        <w:pStyle w:val="PwCNormal"/>
      </w:pPr>
      <w:r>
        <w:t>Our analysis indicates that the challenges and barriers to delivering high quality VETDSS are consistent across all locations. However, these challenges can be amplified in RRR areas</w:t>
      </w:r>
      <w:r w:rsidR="00221FC9">
        <w:t>,</w:t>
      </w:r>
      <w:r>
        <w:t xml:space="preserve"> and some challenges may be experienced to a higher degree. As one survey respondent from an RTO suggested, “the content and service we provide is the same, but there are additional costs (both time and dollars) involved in regional delivery.” </w:t>
      </w:r>
    </w:p>
    <w:p w14:paraId="73CF00B9" w14:textId="77777777" w:rsidR="00ED57F9" w:rsidRDefault="00C22375" w:rsidP="00ED57F9">
      <w:pPr>
        <w:pStyle w:val="Minorheading2"/>
      </w:pPr>
      <w:r>
        <w:t xml:space="preserve">B. Access to qualified trainers and assessors was reported by most stakeholders as a significant challenge. </w:t>
      </w:r>
    </w:p>
    <w:p w14:paraId="591C4D0D" w14:textId="75C0E28C" w:rsidR="00C22375" w:rsidRDefault="00C22375" w:rsidP="00ED57F9">
      <w:pPr>
        <w:pStyle w:val="PwCNormal"/>
      </w:pPr>
      <w:r>
        <w:t xml:space="preserve">In fact, 21.79% of survey respondents (n=90) indicated that the availability of qualified trainers and assessors was the most significant challenge of VETDSS in RRR areas, more than any other challenge - see </w:t>
      </w:r>
      <w:r>
        <w:rPr>
          <w:b/>
          <w:bCs/>
        </w:rPr>
        <w:t xml:space="preserve">Figure </w:t>
      </w:r>
      <w:r w:rsidR="00D906AE">
        <w:rPr>
          <w:b/>
          <w:bCs/>
        </w:rPr>
        <w:t>8</w:t>
      </w:r>
      <w:r>
        <w:rPr>
          <w:b/>
          <w:bCs/>
        </w:rPr>
        <w:t>. </w:t>
      </w:r>
    </w:p>
    <w:p w14:paraId="2DC4CB1C" w14:textId="02207F5C" w:rsidR="00C22375" w:rsidRDefault="00C22375" w:rsidP="00ED57F9">
      <w:pPr>
        <w:pStyle w:val="Minorheading"/>
      </w:pPr>
      <w:r>
        <w:t xml:space="preserve">Figure </w:t>
      </w:r>
      <w:r w:rsidR="00D906AE">
        <w:t>8</w:t>
      </w:r>
      <w:r>
        <w:t xml:space="preserve"> - Survey question: Rank the following challenges in the delivery of VET to secondary students in RRR areas, in order of most significant challenge to least significant challenge (n=413). </w:t>
      </w:r>
      <w:r>
        <w:rPr>
          <w:i/>
          <w:iCs/>
        </w:rPr>
        <w:t>Note - this graph shows the count of survey respondents who ranked each option #1. </w:t>
      </w:r>
    </w:p>
    <w:p w14:paraId="71B0AD69" w14:textId="730ABBBD" w:rsidR="00C22375" w:rsidRDefault="00C22375" w:rsidP="00C22375">
      <w:pPr>
        <w:pStyle w:val="NormalWeb"/>
        <w:spacing w:before="0" w:beforeAutospacing="0" w:after="200" w:afterAutospacing="0"/>
      </w:pPr>
      <w:r>
        <w:rPr>
          <w:rFonts w:asciiTheme="minorHAnsi" w:hAnsiTheme="minorHAnsi" w:cs="Arial"/>
          <w:noProof/>
          <w:snapToGrid w:val="0"/>
          <w:color w:val="000000" w:themeColor="text1"/>
          <w:sz w:val="18"/>
          <w:szCs w:val="20"/>
        </w:rPr>
        <w:drawing>
          <wp:inline distT="0" distB="0" distL="0" distR="0" wp14:anchorId="449511F3" wp14:editId="47D703F7">
            <wp:extent cx="6264275" cy="3848735"/>
            <wp:effectExtent l="0" t="0" r="3175" b="0"/>
            <wp:docPr id="51" name="Picture 51" descr="The bar chart shows responses to the survey question. The top three challenges identified by respondents were: 1. 'Availability of qualified trainers', 2. 'Lack of funding, and 3. 'Geographical access to VET progr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The bar chart shows responses to the survey question. The top three challenges identified by respondents were: 1. 'Availability of qualified trainers', 2. 'Lack of funding, and 3. 'Geographical access to VET programs'."/>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264275" cy="3848735"/>
                    </a:xfrm>
                    <a:prstGeom prst="rect">
                      <a:avLst/>
                    </a:prstGeom>
                    <a:noFill/>
                    <a:ln>
                      <a:noFill/>
                    </a:ln>
                  </pic:spPr>
                </pic:pic>
              </a:graphicData>
            </a:graphic>
          </wp:inline>
        </w:drawing>
      </w:r>
    </w:p>
    <w:p w14:paraId="21F996D9" w14:textId="21F2F4CA" w:rsidR="00C22375" w:rsidRDefault="00C22375" w:rsidP="00ED57F9">
      <w:pPr>
        <w:pStyle w:val="PwCNormal"/>
      </w:pPr>
      <w:r>
        <w:t>As</w:t>
      </w:r>
      <w:r w:rsidR="00B36E26">
        <w:t xml:space="preserve"> summarised by</w:t>
      </w:r>
      <w:r>
        <w:t xml:space="preserve"> stakeholders, the availability of qualified trainers and assessors is a challenge being faced across the VET sector. However, for those delivering VETDSS in RRR areas, this challenge is especially pertinent. It can be difficult to attract trainers and assessors to these areas, particularly the more remote communities. Stakeholders explained that some communities may have trainer and assessor roles vacant for up to two years.</w:t>
      </w:r>
    </w:p>
    <w:p w14:paraId="7F1CC67D" w14:textId="0D5BFC11" w:rsidR="00C22375" w:rsidRDefault="00C22375" w:rsidP="00ED57F9">
      <w:pPr>
        <w:pStyle w:val="PwCNormal"/>
      </w:pPr>
      <w:r>
        <w:t>Results from the survey indicate that the limited access to qualified trainers and assessors can lead to an ongoing shortage of staff in an area which impacts the quality, volume</w:t>
      </w:r>
      <w:r w:rsidR="00204B5E">
        <w:t>,</w:t>
      </w:r>
      <w:r>
        <w:t xml:space="preserve"> and flexibility of course delivery. One respondent from a remote school explained that having “qualified staff to deliver programs is the main barrier as it greatly limits what can be offered at either a TAFE or school level.”</w:t>
      </w:r>
    </w:p>
    <w:p w14:paraId="0DF7AA71" w14:textId="1B358EFE" w:rsidR="00C22375" w:rsidRDefault="00C22375" w:rsidP="00ED57F9">
      <w:pPr>
        <w:pStyle w:val="PwCNormal"/>
      </w:pPr>
      <w:r>
        <w:t>Stakeholders also noted that it can be challenging to retain trainers and assessors in these areas. If the individual is not local, they may not stay in their role long-term as it can be an isolating experience to be based in a remote community. Stakeholders also suggested that VET trainers and assessors often leave their roles at schools/RTOs to seek opportunities for greater remuneration in their qualified trade, e.g. mining or electrical roles. Once there is a staff vacancy, it is challenging to find an appropriate replacement, even as a short-term solution. As one survey respondent from a remote school noted, “we don't have relief teachers nor qualified VET teachers with the necessary training qualification.” To overcome this issue,</w:t>
      </w:r>
      <w:r w:rsidR="00B36E26">
        <w:t xml:space="preserve"> </w:t>
      </w:r>
      <w:r w:rsidR="00B36E26">
        <w:lastRenderedPageBreak/>
        <w:t>some</w:t>
      </w:r>
      <w:r>
        <w:t xml:space="preserve"> stakeholders offer employed VET trainers and assessors flexible working arrangements as an incentive to stay in the RRR area. For example, they may offer the individual a 4-day working week or provide an allowance for living in the region. </w:t>
      </w:r>
    </w:p>
    <w:p w14:paraId="71525C6E" w14:textId="77777777" w:rsidR="00C22375" w:rsidRDefault="00C22375" w:rsidP="00ED57F9">
      <w:pPr>
        <w:pStyle w:val="PwCNormal"/>
      </w:pPr>
      <w:r>
        <w:t xml:space="preserve">Additionally, stakeholders suggested that meeting the requirements of the </w:t>
      </w:r>
      <w:r>
        <w:rPr>
          <w:i/>
          <w:iCs/>
        </w:rPr>
        <w:t>Standards for RTOs</w:t>
      </w:r>
      <w:r>
        <w:t xml:space="preserve"> and/or the teacher registration requirements can be more burdensome in RRR areas. This is because there may be limited access to face-to-face professional development opportunities to ensure staff are adequately trained to deliver programs and to remain industry current and competent. If a VET teacher is required to travel to access professional development opportunities, because of their unique skill set, there is often no qualified replacement teacher to cover the classes.  </w:t>
      </w:r>
    </w:p>
    <w:p w14:paraId="7FB0EEAE" w14:textId="2A73A9B6" w:rsidR="00C22375" w:rsidRDefault="00C22375" w:rsidP="00ED57F9">
      <w:pPr>
        <w:pStyle w:val="PwCNormal"/>
      </w:pPr>
      <w:r>
        <w:t xml:space="preserve">Some of these workforce challenges are not unique to RRR areas, though they may be exacerbated by the geographic distance or limited number of available staff. </w:t>
      </w:r>
    </w:p>
    <w:p w14:paraId="034A5033" w14:textId="77777777" w:rsidR="00ED57F9" w:rsidRDefault="00C22375" w:rsidP="00ED57F9">
      <w:pPr>
        <w:pStyle w:val="Minorheading2"/>
      </w:pPr>
      <w:r>
        <w:t xml:space="preserve">C. Stakeholders consistently raised lack of funding as a challenge of VETDSS in RRR areas. </w:t>
      </w:r>
    </w:p>
    <w:p w14:paraId="41C179D4" w14:textId="07605B7C" w:rsidR="00C22375" w:rsidRDefault="00C22375" w:rsidP="00ED57F9">
      <w:pPr>
        <w:pStyle w:val="PwCNormal"/>
      </w:pPr>
      <w:r>
        <w:t>18.4% of survey respondents (n=76) cited lack of funding as the most significant challenge in the delivery of VET in RRR settings.</w:t>
      </w:r>
      <w:r w:rsidR="00B36E26">
        <w:t xml:space="preserve"> </w:t>
      </w:r>
      <w:r>
        <w:t xml:space="preserve">This is consistent with the findings of the </w:t>
      </w:r>
      <w:r>
        <w:rPr>
          <w:i/>
          <w:iCs/>
        </w:rPr>
        <w:t xml:space="preserve">Education in Remote and Complex Environments </w:t>
      </w:r>
      <w:r>
        <w:t>report, which found that “funding issues limit the provision of VETDSS” and that accessing VET can often be “too expensive for many students from less financially secure families.” Stakeholders commented that lack of funding limits some VET courses more than others. They noted that courses such as Building or Engineering</w:t>
      </w:r>
      <w:r>
        <w:rPr>
          <w:i/>
          <w:iCs/>
        </w:rPr>
        <w:t xml:space="preserve"> </w:t>
      </w:r>
      <w:r>
        <w:t>need constant funding to enable them to keep equipment industry relevant and to a standard that is safe. </w:t>
      </w:r>
    </w:p>
    <w:p w14:paraId="366B9428" w14:textId="50BF684F" w:rsidR="00C22375" w:rsidRDefault="00C22375" w:rsidP="00ED57F9">
      <w:pPr>
        <w:pStyle w:val="PwCNormal"/>
      </w:pPr>
      <w:r>
        <w:t>Stakeholders generally agree that greater funding is required for VETDSS in RRR areas than in metropolitan areas. In recognition of this, some states, including Queensland and WA, have increased subsidy loading</w:t>
      </w:r>
      <w:r w:rsidR="00B36E26">
        <w:t>s</w:t>
      </w:r>
      <w:r>
        <w:t xml:space="preserve"> for areas that are more geographically isolated. Even so, one survey respondent from a regional RTO noted that the “funding received for the little </w:t>
      </w:r>
      <w:proofErr w:type="gramStart"/>
      <w:r>
        <w:t>amount</w:t>
      </w:r>
      <w:proofErr w:type="gramEnd"/>
      <w:r>
        <w:t xml:space="preserve"> of students attending does not allow for the training to be financially viable.” Additionally, stakeholders note that distance is an issue in RRR areas and makes accessing VET more costly. One survey respondent from a regional school explained that their students access VET courses that are 50 kilometres away and relying on parents to transport the students is problematic as some are unable to drive and others are unable to afford petrol. The school does not have a minibus to help transport the students, nor the funds to pay for a bus service. They note that without additional funding provided to help transport students, they are limited in their ability to access VET programs.</w:t>
      </w:r>
    </w:p>
    <w:p w14:paraId="23D2C0FD" w14:textId="77777777" w:rsidR="00ED57F9" w:rsidRDefault="00C22375" w:rsidP="00ED57F9">
      <w:pPr>
        <w:pStyle w:val="Minorheading2"/>
      </w:pPr>
      <w:r>
        <w:t xml:space="preserve">D. Because of their locations, some stakeholders reported challenges with geographical access to VET programs. </w:t>
      </w:r>
    </w:p>
    <w:p w14:paraId="581F89B6" w14:textId="12DD32A9" w:rsidR="00C22375" w:rsidRDefault="00C22375" w:rsidP="00ED57F9">
      <w:pPr>
        <w:pStyle w:val="PwCNormal"/>
      </w:pPr>
      <w:r>
        <w:t xml:space="preserve">As noted in the </w:t>
      </w:r>
      <w:r>
        <w:rPr>
          <w:i/>
          <w:iCs/>
        </w:rPr>
        <w:t>Education in Remote and Complex Environments</w:t>
      </w:r>
      <w:r>
        <w:t xml:space="preserve"> report, “students who are located vast distances from major regional centres have limited access or no access to… opportunities for VET pathways while remaining within their communities.” In fact, 17.2% of survey respondents (n=71) noted that geographic access was the most significant barrier to these programs - see </w:t>
      </w:r>
      <w:r>
        <w:rPr>
          <w:b/>
          <w:bCs/>
        </w:rPr>
        <w:t xml:space="preserve">Figure </w:t>
      </w:r>
      <w:r w:rsidR="00D906AE">
        <w:rPr>
          <w:b/>
          <w:bCs/>
        </w:rPr>
        <w:t>8</w:t>
      </w:r>
      <w:r>
        <w:t>. </w:t>
      </w:r>
    </w:p>
    <w:p w14:paraId="4CF2FA63" w14:textId="012C4B13" w:rsidR="00C22375" w:rsidRDefault="00C22375" w:rsidP="00ED57F9">
      <w:pPr>
        <w:pStyle w:val="PwCNormal"/>
      </w:pPr>
      <w:r>
        <w:t xml:space="preserve">As one survey respondent from a remote school noted, students </w:t>
      </w:r>
      <w:proofErr w:type="gramStart"/>
      <w:r>
        <w:t>have to</w:t>
      </w:r>
      <w:proofErr w:type="gramEnd"/>
      <w:r>
        <w:t xml:space="preserve"> travel large distances (i.e. over 100km) to attend classes either weekly or via block release. As most VETDSS students are not able to drive yet, they may access these programs via public transport, however options for public transport are generally limited in RRR areas and it may not be an appropriate option depending on the time of classes. Alternatively, students may rely on schools or family members to transport them. However, stakeholders raised concerns about student safety and duty of care when young people are travelling large distances and sometimes staying in accommodation overnight. </w:t>
      </w:r>
    </w:p>
    <w:p w14:paraId="207C77B1" w14:textId="3DDD4C5F" w:rsidR="00C22375" w:rsidRDefault="00C22375" w:rsidP="00ED57F9">
      <w:pPr>
        <w:pStyle w:val="PwCNormal"/>
      </w:pPr>
      <w:r>
        <w:t xml:space="preserve">Additionally, there are some unique access challenges that exist for very remote communities. For example, stakeholders from the Northern Territory explained that some remote communities are inaccessible by road for six months of the year. One survey respondent from an RTO </w:t>
      </w:r>
      <w:r w:rsidR="00204B5E">
        <w:t>that</w:t>
      </w:r>
      <w:r>
        <w:t xml:space="preserve"> delivers in remote communities </w:t>
      </w:r>
      <w:r w:rsidR="00204B5E">
        <w:t xml:space="preserve">also </w:t>
      </w:r>
      <w:r>
        <w:t>suggested that “doing practical components is often difficult due to the heat.”</w:t>
      </w:r>
    </w:p>
    <w:p w14:paraId="54FA973A" w14:textId="77777777" w:rsidR="00ED57F9" w:rsidRDefault="00C22375" w:rsidP="00ED57F9">
      <w:pPr>
        <w:pStyle w:val="Minorheading2"/>
      </w:pPr>
      <w:r>
        <w:t xml:space="preserve">E. In some areas, there are insufficient student numbers to form classes. </w:t>
      </w:r>
    </w:p>
    <w:p w14:paraId="62087EF7" w14:textId="5722CC2E" w:rsidR="00C22375" w:rsidRDefault="00C22375" w:rsidP="00ED57F9">
      <w:pPr>
        <w:pStyle w:val="PwCNormal"/>
      </w:pPr>
      <w:r>
        <w:t xml:space="preserve">Stakeholders consistently noted that a key barrier of VETDSS in RRR areas is the thin markets. 10.65% of survey </w:t>
      </w:r>
      <w:r w:rsidRPr="00D906AE">
        <w:rPr>
          <w:color w:val="auto"/>
        </w:rPr>
        <w:t>respondents (n=44</w:t>
      </w:r>
      <w:r w:rsidRPr="00D906AE">
        <w:t>) not</w:t>
      </w:r>
      <w:r w:rsidRPr="00D906AE">
        <w:rPr>
          <w:color w:val="auto"/>
        </w:rPr>
        <w:t>ed that ha</w:t>
      </w:r>
      <w:r>
        <w:t xml:space="preserve">ving insufficient student numbers to form classes was the most significant challenge of VET delivery in these areas - see </w:t>
      </w:r>
      <w:r>
        <w:rPr>
          <w:b/>
          <w:bCs/>
        </w:rPr>
        <w:t xml:space="preserve">Figure </w:t>
      </w:r>
      <w:r w:rsidR="00D906AE">
        <w:rPr>
          <w:b/>
          <w:bCs/>
        </w:rPr>
        <w:t>8</w:t>
      </w:r>
      <w:r>
        <w:t xml:space="preserve">. As one survey respondent from a regional RTO explained, because “there are a lower number of students who are spread out across a wider geographic area, there may not always be enough enrolments </w:t>
      </w:r>
      <w:r>
        <w:lastRenderedPageBreak/>
        <w:t>for a course to go ahead.” For private RTOs and TAFEs, it may not make economic sense to deliver to students in remote areas, particularly if there are only a few students interested in the course. </w:t>
      </w:r>
    </w:p>
    <w:p w14:paraId="7AFBB660" w14:textId="4B9D618A" w:rsidR="00C22375" w:rsidRDefault="00C22375" w:rsidP="00ED57F9">
      <w:pPr>
        <w:pStyle w:val="PwCNormal"/>
      </w:pPr>
      <w:r>
        <w:t xml:space="preserve">This is consistent with the findings of the </w:t>
      </w:r>
      <w:r>
        <w:rPr>
          <w:i/>
          <w:iCs/>
        </w:rPr>
        <w:t xml:space="preserve">Education in Remote and Complex Environments </w:t>
      </w:r>
      <w:r>
        <w:t>report, which noted that as students are looking for a wider range of courses, this “leads to smaller and less economically sustainable group sizes in regional areas.” Stakeholders cautioned that student number benchmarks are problematic, with the minimum number of students to deliver a course too large for the population size of an RRR area. </w:t>
      </w:r>
    </w:p>
    <w:p w14:paraId="25906941" w14:textId="7D1B2A84" w:rsidR="00C22375" w:rsidRDefault="00C22375" w:rsidP="00ED57F9">
      <w:pPr>
        <w:pStyle w:val="PwCNormal"/>
      </w:pPr>
      <w:r>
        <w:t xml:space="preserve">One way to overcome this issue is through cross-sector collaboration. Consultation with Central Regional TAFE stakeholders identified that their Geraldton campus </w:t>
      </w:r>
      <w:r w:rsidR="00D906AE">
        <w:t>draws</w:t>
      </w:r>
      <w:r>
        <w:t xml:space="preserve"> on students from the multiple nearby schools (</w:t>
      </w:r>
      <w:r w:rsidR="00D906AE">
        <w:t>including</w:t>
      </w:r>
      <w:r>
        <w:t xml:space="preserve"> Independent</w:t>
      </w:r>
      <w:r w:rsidR="00D906AE">
        <w:t xml:space="preserve">, </w:t>
      </w:r>
      <w:r>
        <w:t>Catholic and Government schools) to make up class sizes. Another example is the Bunbury Regional Trade Training Centre in WA, which involves 1</w:t>
      </w:r>
      <w:r w:rsidR="0063341A">
        <w:t>6</w:t>
      </w:r>
      <w:r>
        <w:t xml:space="preserve"> schools across the Independent, Catholic and Government school sectors. Over 300 students from these schools </w:t>
      </w:r>
      <w:proofErr w:type="gramStart"/>
      <w:r>
        <w:t>are able to</w:t>
      </w:r>
      <w:proofErr w:type="gramEnd"/>
      <w:r>
        <w:t xml:space="preserve"> access up to 17 courses, offered through RTO</w:t>
      </w:r>
      <w:r w:rsidR="0063341A">
        <w:t>s</w:t>
      </w:r>
      <w:r>
        <w:t xml:space="preserve"> </w:t>
      </w:r>
      <w:r w:rsidR="0063341A">
        <w:t>–</w:t>
      </w:r>
      <w:r>
        <w:t xml:space="preserve"> see </w:t>
      </w:r>
      <w:r>
        <w:rPr>
          <w:b/>
          <w:bCs/>
        </w:rPr>
        <w:t xml:space="preserve">Case Study 3 </w:t>
      </w:r>
      <w:r>
        <w:t>below for more detail.    </w:t>
      </w:r>
    </w:p>
    <w:tbl>
      <w:tblPr>
        <w:tblStyle w:val="GridTable5Dark-Accent4"/>
        <w:tblW w:w="0" w:type="auto"/>
        <w:tblLook w:val="0620" w:firstRow="1" w:lastRow="0" w:firstColumn="0" w:lastColumn="0" w:noHBand="1" w:noVBand="1"/>
      </w:tblPr>
      <w:tblGrid>
        <w:gridCol w:w="9855"/>
      </w:tblGrid>
      <w:tr w:rsidR="00ED57F9" w14:paraId="40548652" w14:textId="77777777" w:rsidTr="00153D8A">
        <w:trPr>
          <w:cnfStyle w:val="100000000000" w:firstRow="1" w:lastRow="0" w:firstColumn="0" w:lastColumn="0" w:oddVBand="0" w:evenVBand="0" w:oddHBand="0" w:evenHBand="0" w:firstRowFirstColumn="0" w:firstRowLastColumn="0" w:lastRowFirstColumn="0" w:lastRowLastColumn="0"/>
        </w:trPr>
        <w:tc>
          <w:tcPr>
            <w:tcW w:w="9855" w:type="dxa"/>
          </w:tcPr>
          <w:p w14:paraId="4723B7F1" w14:textId="1EEF5F52" w:rsidR="00ED57F9" w:rsidRPr="00ED57F9" w:rsidRDefault="00ED57F9" w:rsidP="00153D8A">
            <w:pPr>
              <w:pStyle w:val="PwCNormal"/>
              <w:rPr>
                <w:color w:val="FFFFFF" w:themeColor="background1"/>
              </w:rPr>
            </w:pPr>
            <w:r w:rsidRPr="00A77C50">
              <w:rPr>
                <w:color w:val="auto"/>
              </w:rPr>
              <w:t xml:space="preserve">Case Study </w:t>
            </w:r>
            <w:r w:rsidR="00FB14EE" w:rsidRPr="00A77C50">
              <w:rPr>
                <w:color w:val="auto"/>
              </w:rPr>
              <w:t>3</w:t>
            </w:r>
            <w:r w:rsidRPr="00A77C50">
              <w:rPr>
                <w:color w:val="auto"/>
              </w:rPr>
              <w:t xml:space="preserve"> – </w:t>
            </w:r>
            <w:r w:rsidR="00FB14EE" w:rsidRPr="00A77C50">
              <w:rPr>
                <w:color w:val="auto"/>
              </w:rPr>
              <w:t>Cross-sector collaboration at Bunbury Regional Trade Training Centre in WA</w:t>
            </w:r>
          </w:p>
        </w:tc>
      </w:tr>
      <w:tr w:rsidR="00ED57F9" w14:paraId="1289FCF8" w14:textId="77777777" w:rsidTr="00153D8A">
        <w:tc>
          <w:tcPr>
            <w:tcW w:w="9855" w:type="dxa"/>
          </w:tcPr>
          <w:p w14:paraId="798710B4" w14:textId="77777777" w:rsidR="00FB14EE" w:rsidRDefault="00FB14EE" w:rsidP="001049FE">
            <w:pPr>
              <w:pStyle w:val="PwCNormal"/>
            </w:pPr>
            <w:r w:rsidRPr="00FB14EE">
              <w:t xml:space="preserve">Multiple stakeholders noted the Bunbury Regional Trade Training Centre (BRTTC) as an example of strong cross-sector collaboration involving 16 schools across the Independent, </w:t>
            </w:r>
            <w:proofErr w:type="gramStart"/>
            <w:r w:rsidRPr="00FB14EE">
              <w:t>Catholic</w:t>
            </w:r>
            <w:proofErr w:type="gramEnd"/>
            <w:r w:rsidRPr="00FB14EE">
              <w:t xml:space="preserve"> and Public sector and over 300 students. Three training sites are operated across three different schools, with approximately 17 courses being delivered by 8 different RTO’s. </w:t>
            </w:r>
          </w:p>
          <w:p w14:paraId="726A653D" w14:textId="4AC0E241" w:rsidR="00FB14EE" w:rsidRPr="00FB14EE" w:rsidRDefault="00FB14EE" w:rsidP="001049FE">
            <w:pPr>
              <w:pStyle w:val="PwCNormal"/>
            </w:pPr>
            <w:r w:rsidRPr="00FB14EE">
              <w:t xml:space="preserve">These courses can be accessed by any student at one of the 16 </w:t>
            </w:r>
            <w:r w:rsidR="00221FC9" w:rsidRPr="00FB14EE">
              <w:t>schools and</w:t>
            </w:r>
            <w:r w:rsidRPr="00FB14EE">
              <w:t xml:space="preserve"> are mostly offered via a fee-for-service model through private RTOs. Some course fees are subsidised by the schools, as state funding follows a student to their chosen course, or by agencies like the Building and Construction Training Fund which currently funds a </w:t>
            </w:r>
            <w:r w:rsidRPr="00204B5E">
              <w:rPr>
                <w:i/>
                <w:iCs/>
              </w:rPr>
              <w:t>Certificate II in Construction Pathways</w:t>
            </w:r>
            <w:r w:rsidRPr="00FB14EE">
              <w:t xml:space="preserve"> and</w:t>
            </w:r>
            <w:r w:rsidR="0063341A">
              <w:t xml:space="preserve"> Department of Training and Workforce Development </w:t>
            </w:r>
            <w:r w:rsidRPr="00FB14EE">
              <w:t xml:space="preserve">who funds the </w:t>
            </w:r>
            <w:r w:rsidRPr="00204B5E">
              <w:rPr>
                <w:i/>
                <w:iCs/>
              </w:rPr>
              <w:t>Certificate II in Plumbing</w:t>
            </w:r>
            <w:r w:rsidRPr="00FB14EE">
              <w:t xml:space="preserve"> and </w:t>
            </w:r>
            <w:r w:rsidRPr="00204B5E">
              <w:rPr>
                <w:i/>
                <w:iCs/>
              </w:rPr>
              <w:t>Certificate II in Electrotechnology</w:t>
            </w:r>
            <w:r w:rsidRPr="00FB14EE">
              <w:t xml:space="preserve">. </w:t>
            </w:r>
          </w:p>
          <w:p w14:paraId="77B22CE0" w14:textId="3E76CFC5" w:rsidR="00FB14EE" w:rsidRPr="00FB14EE" w:rsidRDefault="00FB14EE" w:rsidP="00FB14EE">
            <w:pPr>
              <w:pStyle w:val="PwCNormal"/>
            </w:pPr>
            <w:r w:rsidRPr="00FB14EE">
              <w:t>An Advisory Board made up of representatives from peak industry bodies in the region provide</w:t>
            </w:r>
            <w:r w:rsidR="00204B5E">
              <w:t>s</w:t>
            </w:r>
            <w:r w:rsidRPr="00FB14EE">
              <w:t xml:space="preserve"> strategic advice to the Alliance. This group is tasked with providing information on emerging local training needs and possible funding sources. </w:t>
            </w:r>
            <w:proofErr w:type="gramStart"/>
            <w:r w:rsidRPr="00FB14EE">
              <w:t>South West</w:t>
            </w:r>
            <w:proofErr w:type="gramEnd"/>
            <w:r w:rsidRPr="00FB14EE">
              <w:t xml:space="preserve"> VETlink (a not-for-profit organisation) manages the operations of the BRTTC on behalf of the Alliance Schools.</w:t>
            </w:r>
          </w:p>
          <w:p w14:paraId="4DC4D0C5" w14:textId="1845A8BD" w:rsidR="00ED57F9" w:rsidRPr="00FB14EE" w:rsidRDefault="00FB14EE" w:rsidP="00FB14EE">
            <w:pPr>
              <w:pStyle w:val="PwCNormal"/>
              <w:rPr>
                <w:lang w:eastAsia="en-AU"/>
              </w:rPr>
            </w:pPr>
            <w:r w:rsidRPr="00FB14EE">
              <w:t>The BRTTC collaborates with South Regional TAFE to offer students the ability to access a complimentary range of qualifications from Certificate II level to Certificate IV level that may not be offered through other providers. The courses offered provide pathways into employment, apprenticeships and traineeships, and further education and training</w:t>
            </w:r>
            <w:r>
              <w:t>,</w:t>
            </w:r>
            <w:r w:rsidRPr="00FB14EE">
              <w:t xml:space="preserve"> including university pathways.</w:t>
            </w:r>
            <w:r>
              <w:rPr>
                <w:lang w:eastAsia="en-AU"/>
              </w:rPr>
              <w:t xml:space="preserve"> </w:t>
            </w:r>
          </w:p>
        </w:tc>
      </w:tr>
    </w:tbl>
    <w:p w14:paraId="30B3D951" w14:textId="77777777" w:rsidR="00FB14EE" w:rsidRDefault="00C22375" w:rsidP="00FB14EE">
      <w:pPr>
        <w:pStyle w:val="Minorheading2"/>
      </w:pPr>
      <w:r>
        <w:t xml:space="preserve">F. Stakeholders suggested that some delivery arrangements, for example, solely online learning, may restrict the delivery of high quality VETDSS in RRR settings as students lack the face-to-face connection. </w:t>
      </w:r>
    </w:p>
    <w:p w14:paraId="3A0D0038" w14:textId="31780C25" w:rsidR="00C22375" w:rsidRDefault="00C22375" w:rsidP="00FB14EE">
      <w:pPr>
        <w:pStyle w:val="PwCNormal"/>
      </w:pPr>
      <w:r>
        <w:t>Students in geographically isolated areas may be required to access VETDSS programs through online classes, offered by a private RTO or TAFE. Many stakeholders</w:t>
      </w:r>
      <w:r w:rsidR="0063341A">
        <w:t xml:space="preserve"> </w:t>
      </w:r>
      <w:r>
        <w:t>agree that while providing the online classes is helpful, face-to-face learning is still the preferred delivery model. As one survey respondent from a</w:t>
      </w:r>
      <w:r w:rsidR="0063341A">
        <w:t xml:space="preserve"> regional</w:t>
      </w:r>
      <w:r>
        <w:t xml:space="preserve"> RTO explained, “it is a shame these students do not always get the opportunity to learn face-to-face as generally this has better learning outcomes and a better chance of course completion.” Stakeholders from the SIDE RTO, who offer virtual VET programs to students in WA, agreed, noting that their online classes work best when there is a teacher on site with students supporting them to engage with the content. </w:t>
      </w:r>
    </w:p>
    <w:p w14:paraId="1FCE2A67" w14:textId="61493615" w:rsidR="00C22375" w:rsidRDefault="00C22375" w:rsidP="00FB14EE">
      <w:pPr>
        <w:pStyle w:val="PwCNormal"/>
      </w:pPr>
      <w:r>
        <w:t xml:space="preserve">Additionally, stakeholders commented that different delivery models can create challenges with student attendance. For example, for VET delivery with block arrangements (i.e. a </w:t>
      </w:r>
      <w:r w:rsidR="00221FC9">
        <w:t>two-week</w:t>
      </w:r>
      <w:r>
        <w:t xml:space="preserve"> block of classes and practical work learning), student participation for the full block can be challenging as they may miss out on content in their other subjects. Distributed delivery models, for example where a student is required to attend a practical component daily, can also be challenging as it may put a burden on the family to transport the student to the site daily. </w:t>
      </w:r>
    </w:p>
    <w:p w14:paraId="195604A1" w14:textId="77777777" w:rsidR="00FB14EE" w:rsidRDefault="00C22375" w:rsidP="00FB14EE">
      <w:pPr>
        <w:pStyle w:val="Minorheading2"/>
      </w:pPr>
      <w:r>
        <w:lastRenderedPageBreak/>
        <w:t xml:space="preserve">G. Stakeholders noted challenges with equipment and resources, including internet access in RRR areas. </w:t>
      </w:r>
    </w:p>
    <w:p w14:paraId="433D84E3" w14:textId="7EF500ED" w:rsidR="00C22375" w:rsidRDefault="00C22375" w:rsidP="00FB14EE">
      <w:pPr>
        <w:pStyle w:val="PwCNormal"/>
      </w:pPr>
      <w:r>
        <w:t xml:space="preserve">In RRR settings, there may be limited access to appropriate infrastructure that supports VETDSS programs. As one survey respondent from an RTO noted, “we often do not have the variety of equipment or testing facilities to support the training experience.” Another survey respondent from a remote school noted the difference between RRR areas and metropolitan areas, where students from the latter may have the choice between many RTOs with facilities to support courses, such as commercial kitchens or mechanic garages. They commented that for remote schools, there is limited choice based on local facilities. One way that this issue is being overcome is through initiatives such as the Big Red Truck, which provides a mobile way for students to complete the practical components to work towards their </w:t>
      </w:r>
      <w:r>
        <w:rPr>
          <w:i/>
          <w:iCs/>
        </w:rPr>
        <w:t>Certificate II in Kitchen Operations</w:t>
      </w:r>
      <w:r>
        <w:t xml:space="preserve"> - see </w:t>
      </w:r>
      <w:r>
        <w:rPr>
          <w:b/>
          <w:bCs/>
        </w:rPr>
        <w:t>Case Study 6</w:t>
      </w:r>
      <w:r>
        <w:t xml:space="preserve"> for more details.   </w:t>
      </w:r>
    </w:p>
    <w:p w14:paraId="2A1FDFA5" w14:textId="01B6F85A" w:rsidR="00C22375" w:rsidRDefault="00C22375" w:rsidP="00FB14EE">
      <w:pPr>
        <w:pStyle w:val="PwCNormal"/>
      </w:pPr>
      <w:r>
        <w:t xml:space="preserve">Additionally, reliable internet access was highlighted as an issue for stakeholders in rural areas, especially those relying on online delivery models. As one stakeholder noted, without reliable internet access, teachers have difficulty engaging students in the content and they may have to rely on work-around solutions, such as downloading materials to give to the students. Stakeholders noted that some schools in regional areas only have dial-up internet. </w:t>
      </w:r>
      <w:r w:rsidR="0031355C">
        <w:t xml:space="preserve">Some State </w:t>
      </w:r>
      <w:r>
        <w:t>Department</w:t>
      </w:r>
      <w:r w:rsidR="0031355C">
        <w:t>s</w:t>
      </w:r>
      <w:r>
        <w:t xml:space="preserve"> provided students with laptops during the COVID-19 pandemic, which helped with access to hardware, but accessing reliable internet connections is an ongoing problem. In recognition of this issue, a key recommendation in the </w:t>
      </w:r>
      <w:r>
        <w:rPr>
          <w:i/>
          <w:iCs/>
        </w:rPr>
        <w:t>Education in Remote and Complex Environments</w:t>
      </w:r>
      <w:r>
        <w:t xml:space="preserve"> report was to improve access and affordability in RRR communities to broadband and mobile phone reception. </w:t>
      </w:r>
    </w:p>
    <w:p w14:paraId="51A1E3E1" w14:textId="77777777" w:rsidR="00FB14EE" w:rsidRDefault="00C22375" w:rsidP="00FB14EE">
      <w:pPr>
        <w:pStyle w:val="Minorheading2"/>
      </w:pPr>
      <w:r>
        <w:t xml:space="preserve">H. Some stakeholders suggested that gaining industry experience can be challenging in RRR settings, due to the limited number of work placement opportunities. </w:t>
      </w:r>
    </w:p>
    <w:p w14:paraId="23D374FD" w14:textId="390DABAE" w:rsidR="00C22375" w:rsidRDefault="00C22375" w:rsidP="00FB14EE">
      <w:pPr>
        <w:pStyle w:val="PwCNormal"/>
      </w:pPr>
      <w:r>
        <w:t xml:space="preserve">A component of VET that makes it unique is the practical learning gained through industry experience and work placements. Some stakeholders in RRR areas noted work placement opportunities can be challenging as there may be a limited range of businesses in the local community to host the work placement hours for the student. This could mean that students are not motivated to follow their interests because the opportunities to pursue the job in their local area are not visible, or the student may need to relocate to get the necessary experience. One survey respondent </w:t>
      </w:r>
      <w:r>
        <w:rPr>
          <w:shd w:val="clear" w:color="auto" w:fill="FFFFFF"/>
        </w:rPr>
        <w:t xml:space="preserve">from a school </w:t>
      </w:r>
      <w:r>
        <w:t>noted that they currently have too many students for the limited number of local small businesses able to host the work experience. When this happens, some students either miss out, do unrelated workplace hours</w:t>
      </w:r>
      <w:r w:rsidR="00142199">
        <w:t>,</w:t>
      </w:r>
      <w:r>
        <w:t xml:space="preserve"> or are required to travel to another town for the opportunity.</w:t>
      </w:r>
    </w:p>
    <w:p w14:paraId="023BE2A8" w14:textId="4EB76B12" w:rsidR="00FB14EE" w:rsidRDefault="00C22375" w:rsidP="00C22375">
      <w:pPr>
        <w:spacing w:after="240"/>
      </w:pPr>
      <w:r>
        <w:br/>
      </w:r>
    </w:p>
    <w:p w14:paraId="6D936A2D" w14:textId="77777777" w:rsidR="00FB14EE" w:rsidRDefault="00FB14EE" w:rsidP="00FB14EE">
      <w:pPr>
        <w:pStyle w:val="PwCNormal"/>
      </w:pPr>
      <w:r>
        <w:br w:type="page"/>
      </w:r>
    </w:p>
    <w:p w14:paraId="4E730B37" w14:textId="30D8D26E" w:rsidR="00C22375" w:rsidRDefault="00C22375" w:rsidP="00FB14EE">
      <w:pPr>
        <w:pStyle w:val="Bodyheadline"/>
      </w:pPr>
      <w:r>
        <w:lastRenderedPageBreak/>
        <w:t>Part 3: The strengths and enablers of good practice VETDSS in RRR areas</w:t>
      </w:r>
    </w:p>
    <w:p w14:paraId="2E822210" w14:textId="532BDAA0" w:rsidR="00C22375" w:rsidRDefault="00C22375" w:rsidP="00FB14EE">
      <w:pPr>
        <w:pStyle w:val="PwCNormal"/>
      </w:pPr>
      <w:r>
        <w:t xml:space="preserve">Stakeholders consistently commented on the value of VETDSS programs in RRR areas, particularly in providing strong post-school pathways into further education, training and/or employment. 23.62% of survey respondents (n=90) ranked the ability of VET programs to provide post-school pathways as the number one strength of these courses, more than any other strength - see </w:t>
      </w:r>
      <w:r>
        <w:rPr>
          <w:b/>
          <w:bCs/>
        </w:rPr>
        <w:t xml:space="preserve">Figure </w:t>
      </w:r>
      <w:r w:rsidR="00D906AE">
        <w:rPr>
          <w:b/>
          <w:bCs/>
        </w:rPr>
        <w:t>9</w:t>
      </w:r>
      <w:r>
        <w:rPr>
          <w:b/>
          <w:bCs/>
        </w:rPr>
        <w:t>.</w:t>
      </w:r>
      <w:r>
        <w:t> </w:t>
      </w:r>
    </w:p>
    <w:p w14:paraId="51618B90" w14:textId="1EBD96C7" w:rsidR="00C22375" w:rsidRDefault="00C22375" w:rsidP="00FB14EE">
      <w:pPr>
        <w:pStyle w:val="Minorheading"/>
      </w:pPr>
      <w:r>
        <w:t xml:space="preserve">Figure </w:t>
      </w:r>
      <w:r w:rsidR="00D906AE">
        <w:t>9</w:t>
      </w:r>
      <w:r>
        <w:t xml:space="preserve"> - Survey question: Rank the following strengths in the delivery of VET to secondary students in RRR areas, in order of most significant strength to least significant strength (n=381). </w:t>
      </w:r>
      <w:r>
        <w:rPr>
          <w:i/>
          <w:iCs/>
        </w:rPr>
        <w:t>Note - this graph shows the count of survey respondents who ranked each option #1. </w:t>
      </w:r>
    </w:p>
    <w:p w14:paraId="263405A8" w14:textId="2EF68B39" w:rsidR="00C22375" w:rsidRDefault="00C22375" w:rsidP="00C22375">
      <w:pPr>
        <w:pStyle w:val="NormalWeb"/>
        <w:spacing w:before="0" w:beforeAutospacing="0" w:after="200" w:afterAutospacing="0"/>
        <w:jc w:val="center"/>
      </w:pPr>
      <w:r>
        <w:rPr>
          <w:rFonts w:asciiTheme="minorHAnsi" w:hAnsiTheme="minorHAnsi" w:cs="Arial"/>
          <w:noProof/>
          <w:snapToGrid w:val="0"/>
          <w:color w:val="000000" w:themeColor="text1"/>
          <w:sz w:val="18"/>
          <w:szCs w:val="20"/>
        </w:rPr>
        <w:drawing>
          <wp:inline distT="0" distB="0" distL="0" distR="0" wp14:anchorId="63DF83F6" wp14:editId="2E3EC723">
            <wp:extent cx="6264275" cy="3998595"/>
            <wp:effectExtent l="0" t="0" r="3175" b="1905"/>
            <wp:docPr id="49" name="Picture 49" descr="The bar chart shows responses to the survey question. The top three strengths identified by respondents were: 1. 'Strong post-school pathways into further education, training and/or employment', 2. 'Relevance of skills to the local economy' and 3. 'Work placement opportun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The bar chart shows responses to the survey question. The top three strengths identified by respondents were: 1. 'Strong post-school pathways into further education, training and/or employment', 2. 'Relevance of skills to the local economy' and 3. 'Work placement opportunities'."/>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264275" cy="3998595"/>
                    </a:xfrm>
                    <a:prstGeom prst="rect">
                      <a:avLst/>
                    </a:prstGeom>
                    <a:noFill/>
                    <a:ln>
                      <a:noFill/>
                    </a:ln>
                  </pic:spPr>
                </pic:pic>
              </a:graphicData>
            </a:graphic>
          </wp:inline>
        </w:drawing>
      </w:r>
    </w:p>
    <w:p w14:paraId="34C9B88D" w14:textId="5E8D3305" w:rsidR="00C22375" w:rsidRDefault="00C22375" w:rsidP="00FB14EE">
      <w:pPr>
        <w:pStyle w:val="Minorheading"/>
      </w:pPr>
      <w:r>
        <w:t>Figure 1</w:t>
      </w:r>
      <w:r w:rsidR="00D906AE">
        <w:t>0</w:t>
      </w:r>
      <w:r>
        <w:t xml:space="preserve"> - Key findings for Part 3 </w:t>
      </w:r>
    </w:p>
    <w:tbl>
      <w:tblPr>
        <w:tblStyle w:val="TableGrid"/>
        <w:tblW w:w="9526"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1194"/>
        <w:gridCol w:w="8332"/>
      </w:tblGrid>
      <w:tr w:rsidR="00FB14EE" w14:paraId="0BD9E545" w14:textId="77777777" w:rsidTr="00DF08D8">
        <w:trPr>
          <w:trHeight w:val="456"/>
        </w:trPr>
        <w:tc>
          <w:tcPr>
            <w:tcW w:w="1194" w:type="dxa"/>
            <w:shd w:val="clear" w:color="auto" w:fill="EB8C00" w:themeFill="accent4"/>
          </w:tcPr>
          <w:p w14:paraId="7DA4E540" w14:textId="77777777" w:rsidR="00FB14EE" w:rsidRPr="00A77C50" w:rsidRDefault="00FB14EE" w:rsidP="00153D8A">
            <w:pPr>
              <w:spacing w:beforeLines="50" w:before="120" w:afterLines="50" w:after="120"/>
              <w:jc w:val="center"/>
              <w:rPr>
                <w:b/>
                <w:bCs/>
                <w:sz w:val="40"/>
                <w:szCs w:val="40"/>
              </w:rPr>
            </w:pPr>
            <w:r w:rsidRPr="00A77C50">
              <w:rPr>
                <w:b/>
                <w:bCs/>
                <w:sz w:val="40"/>
                <w:szCs w:val="40"/>
              </w:rPr>
              <w:t>A</w:t>
            </w:r>
          </w:p>
        </w:tc>
        <w:tc>
          <w:tcPr>
            <w:tcW w:w="8332" w:type="dxa"/>
            <w:shd w:val="clear" w:color="auto" w:fill="DEDEDE" w:themeFill="background2"/>
          </w:tcPr>
          <w:p w14:paraId="39FBCC50" w14:textId="77777777" w:rsidR="00FB14EE" w:rsidRPr="00EE7C86" w:rsidRDefault="00FB14EE" w:rsidP="0067177D">
            <w:pPr>
              <w:pStyle w:val="PwCNormal"/>
            </w:pPr>
            <w:r>
              <w:t>Stakeholders agreed that VETDSS programs work well in RRR areas, as there are typically stronger post-school pathways, given the links to the local economy, compared to metropolitan areas.</w:t>
            </w:r>
          </w:p>
        </w:tc>
      </w:tr>
      <w:tr w:rsidR="00FB14EE" w14:paraId="07576D36" w14:textId="77777777" w:rsidTr="00DF08D8">
        <w:trPr>
          <w:trHeight w:val="456"/>
        </w:trPr>
        <w:tc>
          <w:tcPr>
            <w:tcW w:w="1194" w:type="dxa"/>
            <w:shd w:val="clear" w:color="auto" w:fill="EB8C00" w:themeFill="accent4"/>
          </w:tcPr>
          <w:p w14:paraId="413D3121" w14:textId="77777777" w:rsidR="00FB14EE" w:rsidRPr="00A77C50" w:rsidRDefault="00FB14EE" w:rsidP="00153D8A">
            <w:pPr>
              <w:spacing w:beforeLines="50" w:before="120" w:afterLines="50" w:after="120"/>
              <w:jc w:val="center"/>
              <w:rPr>
                <w:b/>
                <w:bCs/>
                <w:sz w:val="40"/>
                <w:szCs w:val="40"/>
              </w:rPr>
            </w:pPr>
            <w:r w:rsidRPr="00A77C50">
              <w:rPr>
                <w:b/>
                <w:bCs/>
                <w:sz w:val="40"/>
                <w:szCs w:val="40"/>
              </w:rPr>
              <w:t>B</w:t>
            </w:r>
          </w:p>
        </w:tc>
        <w:tc>
          <w:tcPr>
            <w:tcW w:w="8332" w:type="dxa"/>
            <w:shd w:val="clear" w:color="auto" w:fill="DEDEDE" w:themeFill="background2"/>
          </w:tcPr>
          <w:p w14:paraId="63928724" w14:textId="77777777" w:rsidR="00FB14EE" w:rsidRPr="00EE7C86" w:rsidRDefault="00FB14EE" w:rsidP="0067177D">
            <w:pPr>
              <w:pStyle w:val="PwCNormal"/>
              <w:rPr>
                <w:rFonts w:ascii="Times New Roman" w:hAnsi="Times New Roman" w:cs="Times New Roman"/>
                <w:sz w:val="24"/>
                <w:szCs w:val="24"/>
                <w:lang w:eastAsia="en-AU"/>
              </w:rPr>
            </w:pPr>
            <w:r w:rsidRPr="00A21A8E">
              <w:rPr>
                <w:lang w:eastAsia="en-AU"/>
              </w:rPr>
              <w:t>Generally, stakeholders commented that the perception of VETDSS is positive in RRR areas.</w:t>
            </w:r>
          </w:p>
        </w:tc>
      </w:tr>
      <w:tr w:rsidR="00FB14EE" w14:paraId="2EB9D4B2" w14:textId="77777777" w:rsidTr="00DF08D8">
        <w:trPr>
          <w:trHeight w:val="456"/>
        </w:trPr>
        <w:tc>
          <w:tcPr>
            <w:tcW w:w="1194" w:type="dxa"/>
            <w:shd w:val="clear" w:color="auto" w:fill="EB8C00" w:themeFill="accent4"/>
          </w:tcPr>
          <w:p w14:paraId="40057121" w14:textId="77777777" w:rsidR="00FB14EE" w:rsidRPr="00A77C50" w:rsidRDefault="00FB14EE" w:rsidP="00153D8A">
            <w:pPr>
              <w:spacing w:beforeLines="50" w:before="120" w:afterLines="50" w:after="120"/>
              <w:jc w:val="center"/>
              <w:rPr>
                <w:b/>
                <w:bCs/>
                <w:sz w:val="40"/>
                <w:szCs w:val="40"/>
              </w:rPr>
            </w:pPr>
            <w:r w:rsidRPr="00A77C50">
              <w:rPr>
                <w:b/>
                <w:bCs/>
                <w:sz w:val="40"/>
                <w:szCs w:val="40"/>
              </w:rPr>
              <w:t>C</w:t>
            </w:r>
          </w:p>
        </w:tc>
        <w:tc>
          <w:tcPr>
            <w:tcW w:w="8332" w:type="dxa"/>
            <w:shd w:val="clear" w:color="auto" w:fill="DEDEDE" w:themeFill="background2"/>
          </w:tcPr>
          <w:p w14:paraId="2BD1E7E4" w14:textId="77777777" w:rsidR="00FB14EE" w:rsidRPr="00EE7C86" w:rsidRDefault="00FB14EE" w:rsidP="0067177D">
            <w:pPr>
              <w:pStyle w:val="PwCNormal"/>
              <w:rPr>
                <w:rFonts w:ascii="Times New Roman" w:hAnsi="Times New Roman" w:cs="Times New Roman"/>
                <w:sz w:val="24"/>
                <w:szCs w:val="24"/>
                <w:lang w:eastAsia="en-AU"/>
              </w:rPr>
            </w:pPr>
            <w:r>
              <w:t>Stakeholders noted the ability to build strong relationships is essential to high quality VETDSS programs, especially in RRR areas.</w:t>
            </w:r>
          </w:p>
        </w:tc>
      </w:tr>
      <w:tr w:rsidR="0067177D" w14:paraId="0B282636" w14:textId="77777777" w:rsidTr="00DF08D8">
        <w:trPr>
          <w:trHeight w:val="456"/>
        </w:trPr>
        <w:tc>
          <w:tcPr>
            <w:tcW w:w="1194" w:type="dxa"/>
            <w:shd w:val="clear" w:color="auto" w:fill="EB8C00" w:themeFill="accent4"/>
          </w:tcPr>
          <w:p w14:paraId="669BD360" w14:textId="09DCAA4B" w:rsidR="0067177D" w:rsidRPr="00A77C50" w:rsidRDefault="0067177D" w:rsidP="00153D8A">
            <w:pPr>
              <w:spacing w:beforeLines="50" w:before="120" w:afterLines="50" w:after="120"/>
              <w:jc w:val="center"/>
              <w:rPr>
                <w:b/>
                <w:bCs/>
                <w:sz w:val="40"/>
                <w:szCs w:val="40"/>
              </w:rPr>
            </w:pPr>
            <w:r w:rsidRPr="00A77C50">
              <w:rPr>
                <w:b/>
                <w:bCs/>
                <w:sz w:val="40"/>
                <w:szCs w:val="40"/>
              </w:rPr>
              <w:t>D</w:t>
            </w:r>
          </w:p>
        </w:tc>
        <w:tc>
          <w:tcPr>
            <w:tcW w:w="8332" w:type="dxa"/>
            <w:shd w:val="clear" w:color="auto" w:fill="DEDEDE" w:themeFill="background2"/>
          </w:tcPr>
          <w:p w14:paraId="0308FEEB" w14:textId="28D20901" w:rsidR="0067177D" w:rsidRDefault="0067177D" w:rsidP="0067177D">
            <w:pPr>
              <w:pStyle w:val="PwCNormal"/>
            </w:pPr>
            <w:r>
              <w:t>Some innovative delivery models have been employed to overcome barriers to quality delivery in RRR areas.</w:t>
            </w:r>
          </w:p>
        </w:tc>
      </w:tr>
    </w:tbl>
    <w:p w14:paraId="415C1647" w14:textId="77777777" w:rsidR="00FB14EE" w:rsidRPr="00FB14EE" w:rsidRDefault="00FB14EE" w:rsidP="00FB14EE">
      <w:pPr>
        <w:pStyle w:val="PwCNormal"/>
      </w:pPr>
    </w:p>
    <w:p w14:paraId="07930FC8" w14:textId="77777777" w:rsidR="00FB14EE" w:rsidRDefault="00C22375" w:rsidP="00FB14EE">
      <w:pPr>
        <w:pStyle w:val="Minorheading2"/>
      </w:pPr>
      <w:r>
        <w:lastRenderedPageBreak/>
        <w:t xml:space="preserve">A. Stakeholders agreed that VETDSS programs work well in RRR areas, as there are typically stronger post-school pathways, given the links to the local economy, compared to metropolitan areas. </w:t>
      </w:r>
    </w:p>
    <w:p w14:paraId="2816C7AB" w14:textId="13F3A241" w:rsidR="00C22375" w:rsidRDefault="00C22375" w:rsidP="00FB14EE">
      <w:pPr>
        <w:pStyle w:val="PwCNormal"/>
      </w:pPr>
      <w:r>
        <w:t>This was a consistent theme in the responses from the survey, with stakeholders indicating that, typically, the courses with the largest enrolment numbers relate to the main industries which operate in the relevant RRR area, such as engineering</w:t>
      </w:r>
      <w:r>
        <w:rPr>
          <w:i/>
          <w:iCs/>
        </w:rPr>
        <w:t xml:space="preserve"> </w:t>
      </w:r>
      <w:r>
        <w:t xml:space="preserve">courses in towns with large mining industries. Another example is in the East Arnhem Land region of the Northern Territory, where there is a strong fishing industry. Schools in this area have established a Maritime Program partnership that provides students with real-world post-school pathways with the community and local fishing industry - see </w:t>
      </w:r>
      <w:r>
        <w:rPr>
          <w:b/>
          <w:bCs/>
        </w:rPr>
        <w:t xml:space="preserve">Case Study 4 </w:t>
      </w:r>
      <w:r>
        <w:t>for more detail on this. </w:t>
      </w:r>
    </w:p>
    <w:tbl>
      <w:tblPr>
        <w:tblStyle w:val="GridTable5Dark-Accent4"/>
        <w:tblW w:w="0" w:type="auto"/>
        <w:tblLook w:val="0620" w:firstRow="1" w:lastRow="0" w:firstColumn="0" w:lastColumn="0" w:noHBand="1" w:noVBand="1"/>
      </w:tblPr>
      <w:tblGrid>
        <w:gridCol w:w="9855"/>
      </w:tblGrid>
      <w:tr w:rsidR="00FB14EE" w14:paraId="0EF17259" w14:textId="77777777" w:rsidTr="00153D8A">
        <w:trPr>
          <w:cnfStyle w:val="100000000000" w:firstRow="1" w:lastRow="0" w:firstColumn="0" w:lastColumn="0" w:oddVBand="0" w:evenVBand="0" w:oddHBand="0" w:evenHBand="0" w:firstRowFirstColumn="0" w:firstRowLastColumn="0" w:lastRowFirstColumn="0" w:lastRowLastColumn="0"/>
        </w:trPr>
        <w:tc>
          <w:tcPr>
            <w:tcW w:w="9855" w:type="dxa"/>
          </w:tcPr>
          <w:p w14:paraId="43682F75" w14:textId="43363592" w:rsidR="00FB14EE" w:rsidRPr="00A77C50" w:rsidRDefault="00FB14EE" w:rsidP="00153D8A">
            <w:pPr>
              <w:pStyle w:val="PwCNormal"/>
              <w:rPr>
                <w:color w:val="auto"/>
              </w:rPr>
            </w:pPr>
            <w:r w:rsidRPr="00A77C50">
              <w:rPr>
                <w:color w:val="auto"/>
              </w:rPr>
              <w:t xml:space="preserve">Case Study </w:t>
            </w:r>
            <w:r w:rsidR="0067177D" w:rsidRPr="00A77C50">
              <w:rPr>
                <w:color w:val="auto"/>
              </w:rPr>
              <w:t>4</w:t>
            </w:r>
            <w:r w:rsidRPr="00A77C50">
              <w:rPr>
                <w:color w:val="auto"/>
              </w:rPr>
              <w:t xml:space="preserve"> – </w:t>
            </w:r>
            <w:r w:rsidR="0031355C" w:rsidRPr="00A77C50">
              <w:rPr>
                <w:color w:val="auto"/>
              </w:rPr>
              <w:t>Links with local industry through the Northern Territory Maritime Program</w:t>
            </w:r>
          </w:p>
        </w:tc>
      </w:tr>
      <w:tr w:rsidR="00FB14EE" w14:paraId="4EE7C337" w14:textId="77777777" w:rsidTr="00153D8A">
        <w:tc>
          <w:tcPr>
            <w:tcW w:w="9855" w:type="dxa"/>
          </w:tcPr>
          <w:p w14:paraId="69104A84" w14:textId="7A0C1417" w:rsidR="0067177D" w:rsidRPr="0067177D" w:rsidRDefault="0067177D" w:rsidP="0067177D">
            <w:pPr>
              <w:pStyle w:val="PwCNormal"/>
              <w:rPr>
                <w:rFonts w:ascii="Calibri" w:hAnsi="Calibri" w:cs="Calibri"/>
                <w:snapToGrid/>
                <w:sz w:val="22"/>
                <w:lang w:eastAsia="en-AU"/>
              </w:rPr>
            </w:pPr>
            <w:r w:rsidRPr="0067177D">
              <w:rPr>
                <w:lang w:eastAsia="en-AU"/>
              </w:rPr>
              <w:t xml:space="preserve">The Maritime Program was established in 2016 as an innovative partnership between four very remote schools in the East Arnhem Land region of the Northern Territory. The program equips students from remote, </w:t>
            </w:r>
            <w:r w:rsidR="00142199" w:rsidRPr="0067177D">
              <w:rPr>
                <w:lang w:eastAsia="en-AU"/>
              </w:rPr>
              <w:t>regional,</w:t>
            </w:r>
            <w:r w:rsidRPr="0067177D">
              <w:rPr>
                <w:lang w:eastAsia="en-AU"/>
              </w:rPr>
              <w:t xml:space="preserve"> and urban NT schools with the skills, knowledge and experience required for employment within the maritime industry. The program provides real-world job pathways through engagement with the community and local industry. This program offers a range of employment pathways and is heavily aligned with industry</w:t>
            </w:r>
            <w:r>
              <w:rPr>
                <w:lang w:eastAsia="en-AU"/>
              </w:rPr>
              <w:t>,</w:t>
            </w:r>
            <w:r w:rsidRPr="0067177D">
              <w:rPr>
                <w:lang w:eastAsia="en-AU"/>
              </w:rPr>
              <w:t xml:space="preserve"> such as community ranger groups and other maritime related areas such as barge companies, water police, surf lifesaving and fisheries.</w:t>
            </w:r>
          </w:p>
          <w:p w14:paraId="0789DCC9" w14:textId="311268E4" w:rsidR="00FB14EE" w:rsidRPr="00FB14EE" w:rsidRDefault="0067177D" w:rsidP="0067177D">
            <w:pPr>
              <w:pStyle w:val="PwCNormal"/>
              <w:rPr>
                <w:lang w:eastAsia="en-AU"/>
              </w:rPr>
            </w:pPr>
            <w:r w:rsidRPr="0067177D">
              <w:rPr>
                <w:lang w:eastAsia="en-AU"/>
              </w:rPr>
              <w:t xml:space="preserve">The program involves students participating in accredited training such as the </w:t>
            </w:r>
            <w:r w:rsidRPr="00142199">
              <w:rPr>
                <w:i/>
                <w:iCs/>
                <w:lang w:eastAsia="en-AU"/>
              </w:rPr>
              <w:t>Elements of Shipboard Safety Skill Set</w:t>
            </w:r>
            <w:r w:rsidRPr="0067177D">
              <w:rPr>
                <w:lang w:eastAsia="en-AU"/>
              </w:rPr>
              <w:t xml:space="preserve">, </w:t>
            </w:r>
            <w:r w:rsidRPr="00142199">
              <w:rPr>
                <w:i/>
                <w:iCs/>
                <w:lang w:eastAsia="en-AU"/>
              </w:rPr>
              <w:t>Certificate I in Maritime Operations (Coxswain Grade 2)</w:t>
            </w:r>
            <w:r w:rsidRPr="0067177D">
              <w:rPr>
                <w:lang w:eastAsia="en-AU"/>
              </w:rPr>
              <w:t xml:space="preserve"> and/or </w:t>
            </w:r>
            <w:r w:rsidRPr="00142199">
              <w:rPr>
                <w:i/>
                <w:iCs/>
                <w:lang w:eastAsia="en-AU"/>
              </w:rPr>
              <w:t>Certificate II in Maritime Operations (Coxswain Grade 1)</w:t>
            </w:r>
            <w:r w:rsidRPr="0067177D">
              <w:rPr>
                <w:lang w:eastAsia="en-AU"/>
              </w:rPr>
              <w:t>.</w:t>
            </w:r>
          </w:p>
        </w:tc>
      </w:tr>
    </w:tbl>
    <w:p w14:paraId="6FB89C83" w14:textId="57CF16FA" w:rsidR="00C22375" w:rsidRDefault="00C22375" w:rsidP="0067177D">
      <w:pPr>
        <w:pStyle w:val="PwCNormal"/>
      </w:pPr>
      <w:r>
        <w:t xml:space="preserve">Because the VETDSS courses often align with local needs, students </w:t>
      </w:r>
      <w:r w:rsidR="00142199">
        <w:t>can</w:t>
      </w:r>
      <w:r>
        <w:t xml:space="preserve"> gather on-the-ground, real-world experience from local workplaces. As one survey respondent from regional Queensland noted, this helps students see themselves in the role and better prepares them for their post-school pathway. Through local work experience opportunities, students can develop a better understanding of the industry and understand more about the world of work as it relates to their specific region. The survey responses suggest that employers within RRR communities are keen to offer training and employment opportunities to local students, as it can help with skills shortages and improve connections between industry and schools. Indeed, once students engage with local employers through VETDSS, they are more likely to envision themselves in a post-school pathway in the relevant sector. This may help keep young people working in local industries and further develop sustainable communities. As one survey respondent from a regional RTO summarised, a key strength of VETDSS in RRR areas is “being able to deliver industry needs within the regions that are relevant.” Another respondent commented that “providing skills to regional students that benefit the community” is a core strength of VETDSS. </w:t>
      </w:r>
    </w:p>
    <w:p w14:paraId="0C953612" w14:textId="77777777" w:rsidR="0067177D" w:rsidRDefault="00C22375" w:rsidP="0067177D">
      <w:pPr>
        <w:pStyle w:val="Minorheading2"/>
      </w:pPr>
      <w:r>
        <w:t xml:space="preserve">B. Generally, stakeholders commented that the perception of VETDSS is positive in RRR areas. </w:t>
      </w:r>
    </w:p>
    <w:p w14:paraId="35E78C76" w14:textId="36202122" w:rsidR="00C22375" w:rsidRPr="00E3356D" w:rsidRDefault="00C22375" w:rsidP="00E3356D">
      <w:pPr>
        <w:pStyle w:val="PwCNormal"/>
      </w:pPr>
      <w:r>
        <w:t xml:space="preserve">Stakeholders suggested that strong links with the local industry and community mean that the perception of VETDSS in RRR areas is largely positive. </w:t>
      </w:r>
      <w:r w:rsidR="00E3356D">
        <w:t>It was noted by some</w:t>
      </w:r>
      <w:r>
        <w:t xml:space="preserve"> that the perception of VETDSS in RRR areas is “leaps and bounds ahead” of those in metropolitan areas. As one survey respondent from a remote school in WA highlighted, VETDSS </w:t>
      </w:r>
      <w:r w:rsidR="00E3356D">
        <w:t xml:space="preserve">is </w:t>
      </w:r>
      <w:r>
        <w:t xml:space="preserve">a “great opportunity” for students wishing to stay local and complete a trade, resulting in employment. Stakeholders from RRR areas also frequently commented on the benefits of VETDSS, including developing “real life skills” and gaining exposure to the workplace. Knowledge of these benefits amongst stakeholders in local </w:t>
      </w:r>
      <w:r w:rsidRPr="00E3356D">
        <w:t>communities can help to create a positive branding of VETDSS, as it creates certainty around a student’s skills, establishes trust in the quality of training received and boosts potential employment outcomes.</w:t>
      </w:r>
    </w:p>
    <w:p w14:paraId="0F0459D8" w14:textId="52ED87C8" w:rsidR="00C22375" w:rsidRPr="00E3356D" w:rsidRDefault="00C22375" w:rsidP="00E3356D">
      <w:pPr>
        <w:pStyle w:val="PwCNormal"/>
      </w:pPr>
      <w:r w:rsidRPr="00D906AE">
        <w:t>When VETDSS programs have direct engagement with the community, it can improve its positive perception. For example, Scone Grammar School in rural NSW has an on-site café known as Grammar Grind. Grammar Grind is a commercial business for year 11 and 12 students to gain practical experience towards their qualifications in Hospitality.</w:t>
      </w:r>
      <w:r w:rsidR="00C67496">
        <w:rPr>
          <w:rStyle w:val="FootnoteReference"/>
        </w:rPr>
        <w:footnoteReference w:id="15"/>
      </w:r>
      <w:r w:rsidRPr="00D906AE">
        <w:t xml:space="preserve"> It services real customers from within the school and wider community, and provides students with valuable industry experience, strengthens their employability skills</w:t>
      </w:r>
      <w:r w:rsidR="00E44A00">
        <w:t>,</w:t>
      </w:r>
      <w:r w:rsidRPr="00D906AE">
        <w:t xml:space="preserve"> and promotes VETDSS.</w:t>
      </w:r>
    </w:p>
    <w:p w14:paraId="34F7782E" w14:textId="53F87342" w:rsidR="00C22375" w:rsidRPr="00E3356D" w:rsidRDefault="00C22375" w:rsidP="00E3356D">
      <w:pPr>
        <w:pStyle w:val="PwCNormal"/>
      </w:pPr>
      <w:r w:rsidRPr="00D906AE">
        <w:lastRenderedPageBreak/>
        <w:t>During consultation, stakeholders also suggested that supportive school leadership is essential in driving the positive perception of VET in the community. For example, stakeholders commented that some school principals see the success of VETDSS as a personal responsibility. This leads to a greater focus on VET pathways as a viable post-school option and leads to a greater understanding of the value of VET across the school community. </w:t>
      </w:r>
    </w:p>
    <w:p w14:paraId="363EB9BB" w14:textId="77777777" w:rsidR="0067177D" w:rsidRDefault="00C22375" w:rsidP="0067177D">
      <w:pPr>
        <w:pStyle w:val="Minorheading2"/>
      </w:pPr>
      <w:r>
        <w:t xml:space="preserve">C. Stakeholders noted that the ability to build strong relationships is essential to high quality VETDSS programs, especially in RRR areas. </w:t>
      </w:r>
    </w:p>
    <w:p w14:paraId="14CA45D8" w14:textId="2AF7C5FB" w:rsidR="00C22375" w:rsidRDefault="00C22375" w:rsidP="0067177D">
      <w:pPr>
        <w:pStyle w:val="PwCNormal"/>
      </w:pPr>
      <w:r>
        <w:t xml:space="preserve">During consultations, stakeholders suggested that schools in metropolitan areas have more freedom to select RTOs, </w:t>
      </w:r>
      <w:r w:rsidR="00E44A00">
        <w:t>industries,</w:t>
      </w:r>
      <w:r>
        <w:t xml:space="preserve"> and local businesses to partner with, due to the magnitude of options available in large cities. However, in RRR areas, there are more limited opportunities, meaning that strong relationships are essential to creating valuable partnerships with these groups. 27 survey respondents (7.09%) noted that strong industry relationships are the most significant strength of VETDSS in RRR areas. As one survey respondent from a regional RTO explained, when alliances are created between schools, RTOs/</w:t>
      </w:r>
      <w:proofErr w:type="gramStart"/>
      <w:r>
        <w:t>TAFEs</w:t>
      </w:r>
      <w:proofErr w:type="gramEnd"/>
      <w:r>
        <w:t xml:space="preserve"> and employers in RRR areas, VET offerings can be tailored to the needs of the local community and economy. </w:t>
      </w:r>
    </w:p>
    <w:p w14:paraId="6F81B929" w14:textId="0E5CC115" w:rsidR="0067177D" w:rsidRDefault="00C22375" w:rsidP="0067177D">
      <w:pPr>
        <w:pStyle w:val="PwCNormal"/>
      </w:pPr>
      <w:r>
        <w:t xml:space="preserve">Throughout consultation, stakeholders highlighted the different ways in which quality relationships can be built in the VETDSS sector. One </w:t>
      </w:r>
      <w:r w:rsidR="00E44A00">
        <w:t>stakeholder</w:t>
      </w:r>
      <w:r>
        <w:t xml:space="preserve"> noted that when they visit regional schools, they </w:t>
      </w:r>
      <w:proofErr w:type="gramStart"/>
      <w:r>
        <w:t>make an effort</w:t>
      </w:r>
      <w:proofErr w:type="gramEnd"/>
      <w:r>
        <w:t xml:space="preserve"> to attend the local shire and resource centres, as this is one way to understand the work experience and employment opportunities in the local community. Another noted that they engage with a career advisors network group, designed for the career advisors in the local area to provide advice to one another, share learnings and identify VETDSS opportunities. Stakeholders noted that</w:t>
      </w:r>
      <w:r w:rsidR="00E3356D">
        <w:t xml:space="preserve"> some</w:t>
      </w:r>
      <w:r>
        <w:t xml:space="preserve"> schools utilise their local Chamber of Commerce </w:t>
      </w:r>
      <w:r w:rsidR="00E44A00">
        <w:t>to</w:t>
      </w:r>
      <w:r>
        <w:t xml:space="preserve"> identify industry needs, encouraging connections between the classroom, </w:t>
      </w:r>
      <w:r w:rsidR="00E44A00">
        <w:t>workplace,</w:t>
      </w:r>
      <w:r>
        <w:t xml:space="preserve"> and industry requirements. An example of this type of connection between the classroom and workplace can be seen at Spinifex State College, where students </w:t>
      </w:r>
      <w:proofErr w:type="gramStart"/>
      <w:r>
        <w:t>have the opportunity to</w:t>
      </w:r>
      <w:proofErr w:type="gramEnd"/>
      <w:r>
        <w:t xml:space="preserve"> make connections with local industry because of the strong relationships the school has with Mt Isa’s largest employer, Glencore Mt Isa Mines.</w:t>
      </w:r>
      <w:r w:rsidR="00C67496">
        <w:rPr>
          <w:rStyle w:val="FootnoteReference"/>
        </w:rPr>
        <w:footnoteReference w:id="16"/>
      </w:r>
      <w:r>
        <w:t xml:space="preserve"> Further detail is included in </w:t>
      </w:r>
      <w:r>
        <w:rPr>
          <w:b/>
          <w:bCs/>
        </w:rPr>
        <w:t>Case Study 5</w:t>
      </w:r>
      <w:r>
        <w:t xml:space="preserve"> below.</w:t>
      </w:r>
    </w:p>
    <w:tbl>
      <w:tblPr>
        <w:tblStyle w:val="GridTable5Dark-Accent4"/>
        <w:tblW w:w="0" w:type="auto"/>
        <w:tblLook w:val="0620" w:firstRow="1" w:lastRow="0" w:firstColumn="0" w:lastColumn="0" w:noHBand="1" w:noVBand="1"/>
      </w:tblPr>
      <w:tblGrid>
        <w:gridCol w:w="9855"/>
      </w:tblGrid>
      <w:tr w:rsidR="0067177D" w14:paraId="38C25898" w14:textId="77777777" w:rsidTr="00153D8A">
        <w:trPr>
          <w:cnfStyle w:val="100000000000" w:firstRow="1" w:lastRow="0" w:firstColumn="0" w:lastColumn="0" w:oddVBand="0" w:evenVBand="0" w:oddHBand="0" w:evenHBand="0" w:firstRowFirstColumn="0" w:firstRowLastColumn="0" w:lastRowFirstColumn="0" w:lastRowLastColumn="0"/>
        </w:trPr>
        <w:tc>
          <w:tcPr>
            <w:tcW w:w="9855" w:type="dxa"/>
          </w:tcPr>
          <w:p w14:paraId="409BEC3B" w14:textId="6A24BE6F" w:rsidR="0067177D" w:rsidRPr="00A77C50" w:rsidRDefault="0067177D" w:rsidP="0067177D">
            <w:pPr>
              <w:pStyle w:val="PwCNormal"/>
              <w:rPr>
                <w:color w:val="auto"/>
              </w:rPr>
            </w:pPr>
            <w:r w:rsidRPr="00A77C50">
              <w:rPr>
                <w:color w:val="auto"/>
              </w:rPr>
              <w:t>Case Study 5 – Building strong partnerships at Spinifex State College, Mt Isa</w:t>
            </w:r>
            <w:r w:rsidR="00FC1B71" w:rsidRPr="00A77C50">
              <w:rPr>
                <w:rStyle w:val="FootnoteReference"/>
                <w:color w:val="auto"/>
              </w:rPr>
              <w:footnoteReference w:id="17"/>
            </w:r>
          </w:p>
        </w:tc>
      </w:tr>
      <w:tr w:rsidR="0067177D" w14:paraId="21C39602" w14:textId="77777777" w:rsidTr="00153D8A">
        <w:tc>
          <w:tcPr>
            <w:tcW w:w="9855" w:type="dxa"/>
          </w:tcPr>
          <w:p w14:paraId="7278DD02" w14:textId="56DC2BE6" w:rsidR="0067177D" w:rsidRPr="00E44A00" w:rsidRDefault="00B55482" w:rsidP="00E44A00">
            <w:pPr>
              <w:pStyle w:val="PwCNormal"/>
              <w:rPr>
                <w:rFonts w:ascii="Times New Roman" w:hAnsi="Times New Roman" w:cs="Times New Roman"/>
                <w:snapToGrid/>
                <w:sz w:val="24"/>
                <w:szCs w:val="24"/>
                <w:lang w:eastAsia="en-AU"/>
              </w:rPr>
            </w:pPr>
            <w:r>
              <w:rPr>
                <w:snapToGrid/>
                <w:lang w:eastAsia="en-AU"/>
              </w:rPr>
              <w:t>T</w:t>
            </w:r>
            <w:r w:rsidR="0067177D" w:rsidRPr="0067177D">
              <w:rPr>
                <w:snapToGrid/>
                <w:lang w:eastAsia="en-AU"/>
              </w:rPr>
              <w:t xml:space="preserve">he </w:t>
            </w:r>
            <w:r w:rsidR="00A35199">
              <w:rPr>
                <w:snapToGrid/>
                <w:lang w:eastAsia="en-AU"/>
              </w:rPr>
              <w:t>C</w:t>
            </w:r>
            <w:r w:rsidR="0067177D" w:rsidRPr="0067177D">
              <w:rPr>
                <w:snapToGrid/>
                <w:lang w:eastAsia="en-AU"/>
              </w:rPr>
              <w:t>ollege ha</w:t>
            </w:r>
            <w:r w:rsidR="00E3356D">
              <w:rPr>
                <w:snapToGrid/>
                <w:lang w:eastAsia="en-AU"/>
              </w:rPr>
              <w:t>s</w:t>
            </w:r>
            <w:r w:rsidR="0067177D" w:rsidRPr="0067177D">
              <w:rPr>
                <w:snapToGrid/>
                <w:lang w:eastAsia="en-AU"/>
              </w:rPr>
              <w:t xml:space="preserve"> built </w:t>
            </w:r>
            <w:proofErr w:type="gramStart"/>
            <w:r w:rsidR="0067177D" w:rsidRPr="0067177D">
              <w:rPr>
                <w:snapToGrid/>
                <w:lang w:eastAsia="en-AU"/>
              </w:rPr>
              <w:t>a number of</w:t>
            </w:r>
            <w:proofErr w:type="gramEnd"/>
            <w:r w:rsidR="0067177D" w:rsidRPr="0067177D">
              <w:rPr>
                <w:snapToGrid/>
                <w:lang w:eastAsia="en-AU"/>
              </w:rPr>
              <w:t xml:space="preserve"> partnerships</w:t>
            </w:r>
            <w:r>
              <w:rPr>
                <w:snapToGrid/>
                <w:lang w:eastAsia="en-AU"/>
              </w:rPr>
              <w:t xml:space="preserve"> to ensure that students are work-ready, including with the largest employer in Mt Isa,</w:t>
            </w:r>
            <w:r w:rsidR="007329B8">
              <w:rPr>
                <w:snapToGrid/>
                <w:lang w:eastAsia="en-AU"/>
              </w:rPr>
              <w:t xml:space="preserve"> </w:t>
            </w:r>
            <w:r w:rsidR="0067177D" w:rsidRPr="0067177D">
              <w:rPr>
                <w:snapToGrid/>
                <w:lang w:eastAsia="en-AU"/>
              </w:rPr>
              <w:t>Glencore Mt Isa Mines. Erin Johnson, Glencore Mt Isa Mines’ Capability Development Advisor, recognises the benefits in working collaboratively with local schools, highlighting key programs</w:t>
            </w:r>
            <w:r w:rsidR="007329B8">
              <w:rPr>
                <w:snapToGrid/>
                <w:lang w:eastAsia="en-AU"/>
              </w:rPr>
              <w:t xml:space="preserve"> available to students</w:t>
            </w:r>
            <w:r w:rsidR="00E44A00">
              <w:rPr>
                <w:snapToGrid/>
                <w:lang w:eastAsia="en-AU"/>
              </w:rPr>
              <w:t>,</w:t>
            </w:r>
            <w:r w:rsidR="0067177D" w:rsidRPr="0067177D">
              <w:rPr>
                <w:snapToGrid/>
                <w:lang w:eastAsia="en-AU"/>
              </w:rPr>
              <w:t xml:space="preserve"> for example </w:t>
            </w:r>
            <w:r w:rsidR="007329B8">
              <w:rPr>
                <w:snapToGrid/>
                <w:lang w:eastAsia="en-AU"/>
              </w:rPr>
              <w:t>the W</w:t>
            </w:r>
            <w:r w:rsidR="0067177D" w:rsidRPr="0067177D">
              <w:rPr>
                <w:snapToGrid/>
                <w:lang w:eastAsia="en-AU"/>
              </w:rPr>
              <w:t xml:space="preserve">ork </w:t>
            </w:r>
            <w:r w:rsidR="007329B8">
              <w:rPr>
                <w:snapToGrid/>
                <w:lang w:eastAsia="en-AU"/>
              </w:rPr>
              <w:t>E</w:t>
            </w:r>
            <w:r w:rsidR="0067177D" w:rsidRPr="0067177D">
              <w:rPr>
                <w:snapToGrid/>
                <w:lang w:eastAsia="en-AU"/>
              </w:rPr>
              <w:t>xperience</w:t>
            </w:r>
            <w:r w:rsidR="007329B8">
              <w:rPr>
                <w:snapToGrid/>
                <w:lang w:eastAsia="en-AU"/>
              </w:rPr>
              <w:t xml:space="preserve"> program</w:t>
            </w:r>
            <w:r w:rsidR="0067177D" w:rsidRPr="0067177D">
              <w:rPr>
                <w:snapToGrid/>
                <w:lang w:eastAsia="en-AU"/>
              </w:rPr>
              <w:t>, the Girls f</w:t>
            </w:r>
            <w:r w:rsidR="00E44A00">
              <w:rPr>
                <w:snapToGrid/>
                <w:lang w:eastAsia="en-AU"/>
              </w:rPr>
              <w:t>or</w:t>
            </w:r>
            <w:r w:rsidR="0067177D" w:rsidRPr="0067177D">
              <w:rPr>
                <w:snapToGrid/>
                <w:lang w:eastAsia="en-AU"/>
              </w:rPr>
              <w:t xml:space="preserve"> Mining </w:t>
            </w:r>
            <w:proofErr w:type="gramStart"/>
            <w:r w:rsidR="007329B8">
              <w:rPr>
                <w:snapToGrid/>
                <w:lang w:eastAsia="en-AU"/>
              </w:rPr>
              <w:t>P</w:t>
            </w:r>
            <w:r w:rsidR="0067177D" w:rsidRPr="0067177D">
              <w:rPr>
                <w:snapToGrid/>
                <w:lang w:eastAsia="en-AU"/>
              </w:rPr>
              <w:t>rogram</w:t>
            </w:r>
            <w:proofErr w:type="gramEnd"/>
            <w:r w:rsidR="0067177D" w:rsidRPr="0067177D">
              <w:rPr>
                <w:snapToGrid/>
                <w:lang w:eastAsia="en-AU"/>
              </w:rPr>
              <w:t xml:space="preserve"> and the School Leavers Program. </w:t>
            </w:r>
            <w:r>
              <w:rPr>
                <w:snapToGrid/>
                <w:lang w:eastAsia="en-AU"/>
              </w:rPr>
              <w:t xml:space="preserve">Each program </w:t>
            </w:r>
            <w:r w:rsidR="0067177D" w:rsidRPr="0067177D">
              <w:rPr>
                <w:snapToGrid/>
                <w:lang w:eastAsia="en-AU"/>
              </w:rPr>
              <w:t>allow</w:t>
            </w:r>
            <w:r>
              <w:rPr>
                <w:snapToGrid/>
                <w:lang w:eastAsia="en-AU"/>
              </w:rPr>
              <w:t>s</w:t>
            </w:r>
            <w:r w:rsidR="0067177D" w:rsidRPr="0067177D">
              <w:rPr>
                <w:snapToGrid/>
                <w:lang w:eastAsia="en-AU"/>
              </w:rPr>
              <w:t xml:space="preserve"> students to see what it is like </w:t>
            </w:r>
            <w:r w:rsidR="00E44A00">
              <w:rPr>
                <w:snapToGrid/>
                <w:lang w:eastAsia="en-AU"/>
              </w:rPr>
              <w:t>to work as a</w:t>
            </w:r>
            <w:r w:rsidR="0067177D" w:rsidRPr="0067177D">
              <w:rPr>
                <w:snapToGrid/>
                <w:lang w:eastAsia="en-AU"/>
              </w:rPr>
              <w:t xml:space="preserve"> trade </w:t>
            </w:r>
            <w:r w:rsidR="00E44A00">
              <w:rPr>
                <w:snapToGrid/>
                <w:lang w:eastAsia="en-AU"/>
              </w:rPr>
              <w:t>and</w:t>
            </w:r>
            <w:r>
              <w:rPr>
                <w:snapToGrid/>
                <w:lang w:eastAsia="en-AU"/>
              </w:rPr>
              <w:t>/or</w:t>
            </w:r>
            <w:r w:rsidR="0067177D" w:rsidRPr="0067177D">
              <w:rPr>
                <w:snapToGrid/>
                <w:lang w:eastAsia="en-AU"/>
              </w:rPr>
              <w:t xml:space="preserve"> engineering professional in the workplace, understand what their chosen discipline entails</w:t>
            </w:r>
            <w:r w:rsidR="00E44A00">
              <w:rPr>
                <w:snapToGrid/>
                <w:lang w:eastAsia="en-AU"/>
              </w:rPr>
              <w:t>,</w:t>
            </w:r>
            <w:r w:rsidR="0067177D" w:rsidRPr="0067177D">
              <w:rPr>
                <w:snapToGrid/>
                <w:lang w:eastAsia="en-AU"/>
              </w:rPr>
              <w:t xml:space="preserve"> and </w:t>
            </w:r>
            <w:r w:rsidR="00E44A00">
              <w:rPr>
                <w:snapToGrid/>
                <w:lang w:eastAsia="en-AU"/>
              </w:rPr>
              <w:t xml:space="preserve">make an informed decision about their chosen </w:t>
            </w:r>
            <w:r w:rsidR="0067177D" w:rsidRPr="0067177D">
              <w:rPr>
                <w:snapToGrid/>
                <w:lang w:eastAsia="en-AU"/>
              </w:rPr>
              <w:t>career pathway. Further, Johnson notes that there is mutual benefit in these programs and partnerships as they “future proof” business by providing local school students with employment.</w:t>
            </w:r>
          </w:p>
        </w:tc>
      </w:tr>
    </w:tbl>
    <w:p w14:paraId="1F1B6D44" w14:textId="77777777" w:rsidR="0067177D" w:rsidRDefault="00C22375" w:rsidP="0067177D">
      <w:pPr>
        <w:pStyle w:val="Minorheading2"/>
      </w:pPr>
      <w:r>
        <w:t xml:space="preserve">D. Some innovative delivery models have been employed to overcome barriers to quality delivery in RRR areas. </w:t>
      </w:r>
    </w:p>
    <w:p w14:paraId="647C3723" w14:textId="06ADB1BC" w:rsidR="00C22375" w:rsidRDefault="00C22375" w:rsidP="0067177D">
      <w:pPr>
        <w:pStyle w:val="PwCNormal"/>
      </w:pPr>
      <w:r>
        <w:t xml:space="preserve">Survey respondents indicated that VETDSS delivery models should aim to be geographically tailored and flexible </w:t>
      </w:r>
      <w:r w:rsidR="00B55482">
        <w:t>for</w:t>
      </w:r>
      <w:r>
        <w:t xml:space="preserve"> them to be successful.</w:t>
      </w:r>
      <w:r>
        <w:rPr>
          <w:b/>
          <w:bCs/>
        </w:rPr>
        <w:t xml:space="preserve"> </w:t>
      </w:r>
      <w:r>
        <w:t xml:space="preserve">Stakeholders highlighted </w:t>
      </w:r>
      <w:proofErr w:type="gramStart"/>
      <w:r>
        <w:t>a number of</w:t>
      </w:r>
      <w:proofErr w:type="gramEnd"/>
      <w:r>
        <w:t xml:space="preserve"> innovative VET programs in RRR schools, for example the Outback College of Hospitality Trade Training Centre (Big Red Truck) in Queensland - a mobile training facility for five regional schools - see </w:t>
      </w:r>
      <w:r>
        <w:rPr>
          <w:b/>
          <w:bCs/>
        </w:rPr>
        <w:t>Case Study 6</w:t>
      </w:r>
      <w:r>
        <w:t>.</w:t>
      </w:r>
      <w:r w:rsidR="00C67496">
        <w:rPr>
          <w:rStyle w:val="FootnoteReference"/>
        </w:rPr>
        <w:footnoteReference w:id="18"/>
      </w:r>
      <w:r>
        <w:t> </w:t>
      </w:r>
    </w:p>
    <w:p w14:paraId="0C5C1787" w14:textId="64520487" w:rsidR="00C22375" w:rsidRDefault="00C22375" w:rsidP="0067177D">
      <w:pPr>
        <w:pStyle w:val="PwCNormal"/>
      </w:pPr>
      <w:r>
        <w:t>Additionally, a survey respondent from a</w:t>
      </w:r>
      <w:r w:rsidR="00E3356D">
        <w:t>n RTO</w:t>
      </w:r>
      <w:r>
        <w:t xml:space="preserve"> highlighted their innovative delivery model, which features block delivery of training for regional areas. Students are transported via bus to the TAFE campus and can participate in a range of courses. </w:t>
      </w:r>
      <w:r>
        <w:lastRenderedPageBreak/>
        <w:t>Relevant trainers and assessors are flown in for the duration of the block training. Stakeholders noted that the benefits of this model include the larger class sizes, as school students from multiple schools attend the block training. This allows for greater collaboration, relationship building and the ability to easily schedule in the training, as it is a regular and known arrangement. </w:t>
      </w:r>
    </w:p>
    <w:tbl>
      <w:tblPr>
        <w:tblStyle w:val="GridTable5Dark-Accent4"/>
        <w:tblW w:w="0" w:type="auto"/>
        <w:tblLook w:val="0620" w:firstRow="1" w:lastRow="0" w:firstColumn="0" w:lastColumn="0" w:noHBand="1" w:noVBand="1"/>
      </w:tblPr>
      <w:tblGrid>
        <w:gridCol w:w="9855"/>
      </w:tblGrid>
      <w:tr w:rsidR="0067177D" w14:paraId="035FB118" w14:textId="77777777" w:rsidTr="00153D8A">
        <w:trPr>
          <w:cnfStyle w:val="100000000000" w:firstRow="1" w:lastRow="0" w:firstColumn="0" w:lastColumn="0" w:oddVBand="0" w:evenVBand="0" w:oddHBand="0" w:evenHBand="0" w:firstRowFirstColumn="0" w:firstRowLastColumn="0" w:lastRowFirstColumn="0" w:lastRowLastColumn="0"/>
        </w:trPr>
        <w:tc>
          <w:tcPr>
            <w:tcW w:w="9855" w:type="dxa"/>
          </w:tcPr>
          <w:p w14:paraId="1D6D40E7" w14:textId="772AA8F8" w:rsidR="0067177D" w:rsidRPr="00A77C50" w:rsidRDefault="0067177D" w:rsidP="0067177D">
            <w:pPr>
              <w:pStyle w:val="PwCNormal"/>
              <w:rPr>
                <w:color w:val="auto"/>
              </w:rPr>
            </w:pPr>
            <w:r w:rsidRPr="00A77C50">
              <w:rPr>
                <w:color w:val="auto"/>
              </w:rPr>
              <w:t>Case Study 6 – Innovative delivery models through the Outback College of Hospitality Trade Training Centre (Big Red Truck) in Q</w:t>
            </w:r>
            <w:r w:rsidR="005126A8" w:rsidRPr="00A77C50">
              <w:rPr>
                <w:color w:val="auto"/>
              </w:rPr>
              <w:t>ueensland</w:t>
            </w:r>
            <w:r w:rsidR="00AD31AC" w:rsidRPr="00A77C50">
              <w:rPr>
                <w:rStyle w:val="FootnoteReference"/>
                <w:color w:val="auto"/>
              </w:rPr>
              <w:footnoteReference w:id="19"/>
            </w:r>
          </w:p>
        </w:tc>
      </w:tr>
      <w:tr w:rsidR="0067177D" w14:paraId="15F98059" w14:textId="77777777" w:rsidTr="00153D8A">
        <w:tc>
          <w:tcPr>
            <w:tcW w:w="9855" w:type="dxa"/>
          </w:tcPr>
          <w:p w14:paraId="055C4C90" w14:textId="2347C2B7" w:rsidR="0067177D" w:rsidRPr="0067177D" w:rsidRDefault="0067177D" w:rsidP="0067177D">
            <w:pPr>
              <w:pStyle w:val="PwCNormal"/>
              <w:rPr>
                <w:rFonts w:ascii="Times New Roman" w:hAnsi="Times New Roman" w:cs="Times New Roman"/>
                <w:snapToGrid/>
                <w:sz w:val="24"/>
                <w:szCs w:val="24"/>
                <w:lang w:eastAsia="en-AU"/>
              </w:rPr>
            </w:pPr>
            <w:r w:rsidRPr="0067177D">
              <w:rPr>
                <w:snapToGrid/>
                <w:lang w:eastAsia="en-AU"/>
              </w:rPr>
              <w:t>The Outback College of Hospitality Trade Training Centre (Big Red Truck) is funded by the QLD Department of Education and provides Year</w:t>
            </w:r>
            <w:r w:rsidR="00B55482">
              <w:rPr>
                <w:snapToGrid/>
                <w:lang w:eastAsia="en-AU"/>
              </w:rPr>
              <w:t xml:space="preserve">s </w:t>
            </w:r>
            <w:r w:rsidRPr="0067177D">
              <w:rPr>
                <w:snapToGrid/>
                <w:lang w:eastAsia="en-AU"/>
              </w:rPr>
              <w:t>10 - 12 students with the opportunity to work toward their C</w:t>
            </w:r>
            <w:r w:rsidRPr="0067177D">
              <w:rPr>
                <w:i/>
                <w:iCs/>
                <w:snapToGrid/>
                <w:lang w:eastAsia="en-AU"/>
              </w:rPr>
              <w:t>ertificate II in Kitchen Operations.</w:t>
            </w:r>
            <w:r w:rsidRPr="0067177D">
              <w:rPr>
                <w:snapToGrid/>
                <w:lang w:eastAsia="en-AU"/>
              </w:rPr>
              <w:t xml:space="preserve"> The mobile truck is purpose built to train up to 20 students at a time, with a commercial kitchen, seating</w:t>
            </w:r>
            <w:r w:rsidR="00B55482">
              <w:rPr>
                <w:snapToGrid/>
                <w:lang w:eastAsia="en-AU"/>
              </w:rPr>
              <w:t>,</w:t>
            </w:r>
            <w:r w:rsidRPr="0067177D">
              <w:rPr>
                <w:snapToGrid/>
                <w:lang w:eastAsia="en-AU"/>
              </w:rPr>
              <w:t xml:space="preserve"> and marquee. Operating in Longreach, Winton, Barcaldine, Blackall and Aramac, the truck has seen a 15% increase in students’ achieving their Senior Secondary Certificate of Education. </w:t>
            </w:r>
          </w:p>
          <w:p w14:paraId="33E93DED" w14:textId="2FCD7390" w:rsidR="0067177D" w:rsidRPr="0067177D" w:rsidRDefault="0067177D" w:rsidP="0067177D">
            <w:pPr>
              <w:pStyle w:val="PwCNormal"/>
              <w:rPr>
                <w:rFonts w:ascii="Times New Roman" w:hAnsi="Times New Roman" w:cs="Times New Roman"/>
                <w:snapToGrid/>
                <w:sz w:val="24"/>
                <w:szCs w:val="24"/>
                <w:lang w:eastAsia="en-AU"/>
              </w:rPr>
            </w:pPr>
            <w:r w:rsidRPr="0067177D">
              <w:rPr>
                <w:snapToGrid/>
                <w:lang w:eastAsia="en-AU"/>
              </w:rPr>
              <w:t xml:space="preserve">The Big Red Truck has proven effective in increasing workplace learning opportunities for students, who complete catering jobs at events within the community for work experience. Interviewed for the Courier Mail, Brendan Krueger, </w:t>
            </w:r>
            <w:r w:rsidR="00B55482">
              <w:rPr>
                <w:snapToGrid/>
                <w:lang w:eastAsia="en-AU"/>
              </w:rPr>
              <w:t>P</w:t>
            </w:r>
            <w:r w:rsidRPr="0067177D">
              <w:rPr>
                <w:snapToGrid/>
                <w:lang w:eastAsia="en-AU"/>
              </w:rPr>
              <w:t xml:space="preserve">rincipal at Longreach State High School noted that the truck is an Australian first, providing pathways into tourism jobs for local students. The Big Red Truck has seen a 57% increase in the number of students completing the course leading to jobs in the local tourism sector. </w:t>
            </w:r>
          </w:p>
        </w:tc>
      </w:tr>
    </w:tbl>
    <w:p w14:paraId="4F5B2B4A" w14:textId="77777777" w:rsidR="0067177D" w:rsidRDefault="0067177D" w:rsidP="00C22375">
      <w:pPr>
        <w:pStyle w:val="NormalWeb"/>
        <w:spacing w:before="0" w:beforeAutospacing="0" w:after="0" w:afterAutospacing="0"/>
        <w:rPr>
          <w:rFonts w:ascii="Arial" w:hAnsi="Arial" w:cs="Arial"/>
          <w:color w:val="000000"/>
          <w:sz w:val="20"/>
          <w:szCs w:val="20"/>
        </w:rPr>
      </w:pPr>
    </w:p>
    <w:p w14:paraId="7817281E" w14:textId="39A4480A" w:rsidR="00C22375" w:rsidRDefault="00C22375" w:rsidP="0067177D">
      <w:pPr>
        <w:pStyle w:val="PwCNormal"/>
      </w:pPr>
      <w:r>
        <w:t>Stakeholders also noted that some RRR students may require additional support in accessing VET programs</w:t>
      </w:r>
      <w:r w:rsidR="005126A8">
        <w:t>, with</w:t>
      </w:r>
      <w:r>
        <w:t xml:space="preserve"> </w:t>
      </w:r>
      <w:r w:rsidR="005126A8">
        <w:t xml:space="preserve">an </w:t>
      </w:r>
      <w:r>
        <w:t>RTO not</w:t>
      </w:r>
      <w:r w:rsidR="005126A8">
        <w:t>ing</w:t>
      </w:r>
      <w:r>
        <w:t xml:space="preserve"> that the establishment of alternative learning settings has been a key achievement. </w:t>
      </w:r>
      <w:r w:rsidR="005126A8">
        <w:t xml:space="preserve">For example, </w:t>
      </w:r>
      <w:r>
        <w:t xml:space="preserve">stakeholders from TAFE NSW highlighted the establishment of Connected Learning Centres (CLCs) </w:t>
      </w:r>
      <w:r w:rsidR="005126A8">
        <w:t xml:space="preserve">as a successful way of increasing </w:t>
      </w:r>
      <w:r>
        <w:t xml:space="preserve">access to VET programs for students in RRR areas - see </w:t>
      </w:r>
      <w:r>
        <w:rPr>
          <w:b/>
          <w:bCs/>
        </w:rPr>
        <w:t xml:space="preserve">Case Study 7 </w:t>
      </w:r>
      <w:r>
        <w:t>for more detail.</w:t>
      </w:r>
    </w:p>
    <w:tbl>
      <w:tblPr>
        <w:tblStyle w:val="GridTable5Dark-Accent4"/>
        <w:tblW w:w="0" w:type="auto"/>
        <w:tblLook w:val="0620" w:firstRow="1" w:lastRow="0" w:firstColumn="0" w:lastColumn="0" w:noHBand="1" w:noVBand="1"/>
      </w:tblPr>
      <w:tblGrid>
        <w:gridCol w:w="9855"/>
      </w:tblGrid>
      <w:tr w:rsidR="0067177D" w14:paraId="34600AD4" w14:textId="77777777" w:rsidTr="00153D8A">
        <w:trPr>
          <w:cnfStyle w:val="100000000000" w:firstRow="1" w:lastRow="0" w:firstColumn="0" w:lastColumn="0" w:oddVBand="0" w:evenVBand="0" w:oddHBand="0" w:evenHBand="0" w:firstRowFirstColumn="0" w:firstRowLastColumn="0" w:lastRowFirstColumn="0" w:lastRowLastColumn="0"/>
        </w:trPr>
        <w:tc>
          <w:tcPr>
            <w:tcW w:w="9855" w:type="dxa"/>
          </w:tcPr>
          <w:p w14:paraId="4982A77C" w14:textId="405FCA67" w:rsidR="0067177D" w:rsidRPr="00A77C50" w:rsidRDefault="0067177D" w:rsidP="0067177D">
            <w:pPr>
              <w:pStyle w:val="PwCNormal"/>
              <w:rPr>
                <w:color w:val="auto"/>
              </w:rPr>
            </w:pPr>
            <w:r w:rsidRPr="00A77C50">
              <w:rPr>
                <w:color w:val="auto"/>
              </w:rPr>
              <w:t>Case Study 7 – Increasing access to learning opportunities through TAFE NSW’s Connected Learning Centres</w:t>
            </w:r>
          </w:p>
        </w:tc>
      </w:tr>
      <w:tr w:rsidR="0067177D" w14:paraId="53751C47" w14:textId="77777777" w:rsidTr="00153D8A">
        <w:tc>
          <w:tcPr>
            <w:tcW w:w="9855" w:type="dxa"/>
          </w:tcPr>
          <w:p w14:paraId="1B5683CC" w14:textId="50879658" w:rsidR="0067177D" w:rsidRDefault="0067177D" w:rsidP="0067177D">
            <w:pPr>
              <w:pStyle w:val="PwCNormal"/>
              <w:rPr>
                <w:rFonts w:ascii="Calibri" w:hAnsi="Calibri" w:cs="Calibri"/>
                <w:snapToGrid/>
                <w:sz w:val="22"/>
                <w:lang w:eastAsia="en-AU"/>
              </w:rPr>
            </w:pPr>
            <w:r>
              <w:rPr>
                <w:lang w:eastAsia="en-AU"/>
              </w:rPr>
              <w:t xml:space="preserve">TAFE NSW </w:t>
            </w:r>
            <w:r w:rsidRPr="0067177D">
              <w:t xml:space="preserve">has established 20 multi-purpose Connected Learning Centres (CLC), with two additional centres under construction, to increase access to learning opportunities and </w:t>
            </w:r>
            <w:r w:rsidR="00221FC9" w:rsidRPr="0067177D">
              <w:t>high-quality</w:t>
            </w:r>
            <w:r w:rsidRPr="0067177D">
              <w:t xml:space="preserve"> training for students in regional areas. CLCs have been designed with </w:t>
            </w:r>
            <w:r w:rsidR="00221FC9" w:rsidRPr="0067177D">
              <w:t>digitally enabled</w:t>
            </w:r>
            <w:r w:rsidRPr="0067177D">
              <w:t xml:space="preserve"> technologies</w:t>
            </w:r>
            <w:r>
              <w:rPr>
                <w:lang w:eastAsia="en-AU"/>
              </w:rPr>
              <w:t xml:space="preserve">, providing students with increased course choice, flexible learning options </w:t>
            </w:r>
            <w:r w:rsidR="00F240F4">
              <w:rPr>
                <w:lang w:eastAsia="en-AU"/>
              </w:rPr>
              <w:t xml:space="preserve">using online and hybrid delivery </w:t>
            </w:r>
            <w:r>
              <w:rPr>
                <w:lang w:eastAsia="en-AU"/>
              </w:rPr>
              <w:t>and access to practical training without leaving the region. </w:t>
            </w:r>
          </w:p>
          <w:p w14:paraId="12795316" w14:textId="52F1F845" w:rsidR="0067177D" w:rsidRPr="0067177D" w:rsidRDefault="0067177D" w:rsidP="0067177D">
            <w:pPr>
              <w:pStyle w:val="PwCNormal"/>
              <w:rPr>
                <w:lang w:eastAsia="en-AU"/>
              </w:rPr>
            </w:pPr>
            <w:r>
              <w:rPr>
                <w:lang w:eastAsia="en-AU"/>
              </w:rPr>
              <w:t>CLCs are supported by mobile training units</w:t>
            </w:r>
            <w:r w:rsidR="00F240F4">
              <w:rPr>
                <w:lang w:eastAsia="en-AU"/>
              </w:rPr>
              <w:t xml:space="preserve"> to provide the practical equipment and experience beyond the classroom environment of the CLC itself</w:t>
            </w:r>
            <w:r>
              <w:rPr>
                <w:lang w:eastAsia="en-AU"/>
              </w:rPr>
              <w:t xml:space="preserve">. For example, students in a CLC may be able to dial in and watch a live demonstration of a practical task from a chef wearing a body camera. TAFE NSW note that CLCs are an effective way to enhance capability to deliver practical learning and increase students’ access to teachers on and off site, promoting strong education opportunities for regional students. </w:t>
            </w:r>
          </w:p>
        </w:tc>
      </w:tr>
    </w:tbl>
    <w:p w14:paraId="2B6AFE30" w14:textId="77777777" w:rsidR="00C22375" w:rsidRDefault="00C22375" w:rsidP="00C22375"/>
    <w:p w14:paraId="68E6D598" w14:textId="0EB54183" w:rsidR="0067177D" w:rsidRDefault="0067177D">
      <w:pPr>
        <w:kinsoku/>
        <w:overflowPunct/>
        <w:autoSpaceDE/>
        <w:autoSpaceDN/>
        <w:adjustRightInd/>
        <w:snapToGrid/>
        <w:spacing w:line="240" w:lineRule="auto"/>
        <w:rPr>
          <w:color w:val="000000" w:themeColor="text1"/>
        </w:rPr>
      </w:pPr>
      <w:r>
        <w:br w:type="page"/>
      </w:r>
    </w:p>
    <w:p w14:paraId="4820BB0B" w14:textId="77777777" w:rsidR="00C22375" w:rsidRDefault="00C22375" w:rsidP="0067177D">
      <w:pPr>
        <w:pStyle w:val="Bodyheadline"/>
        <w:rPr>
          <w:rFonts w:ascii="Times New Roman" w:hAnsi="Times New Roman" w:cs="Times New Roman"/>
          <w:sz w:val="36"/>
          <w:lang w:eastAsia="en-AU"/>
        </w:rPr>
      </w:pPr>
      <w:r>
        <w:lastRenderedPageBreak/>
        <w:t>Part 4: Options for improving access to VET programs in RRR areas</w:t>
      </w:r>
    </w:p>
    <w:p w14:paraId="62B47677" w14:textId="490CEC3A" w:rsidR="0067177D" w:rsidRPr="00D906AE" w:rsidRDefault="00C22375" w:rsidP="00D906AE">
      <w:pPr>
        <w:pStyle w:val="PwCNormal"/>
      </w:pPr>
      <w:r>
        <w:t>Based on the insights, findings</w:t>
      </w:r>
      <w:r w:rsidR="00B55482">
        <w:t>,</w:t>
      </w:r>
      <w:r>
        <w:t xml:space="preserve"> and discussions above, this section presents an overview of some of the key options that could be implemented to address the barriers that exist for school students pursuing vocational pathways in RRR areas and support these students to access a broad range of high quality VETDSS programs.</w:t>
      </w:r>
    </w:p>
    <w:p w14:paraId="14A1886E" w14:textId="479D993B" w:rsidR="00C22375" w:rsidRDefault="00C22375" w:rsidP="0067177D">
      <w:pPr>
        <w:pStyle w:val="Minorheading"/>
      </w:pPr>
      <w:r>
        <w:t>Figure 1</w:t>
      </w:r>
      <w:r w:rsidR="00D906AE">
        <w:t>1</w:t>
      </w:r>
      <w:r>
        <w:t xml:space="preserve"> - Key options for improving access to VETDSS in RRR areas</w:t>
      </w:r>
    </w:p>
    <w:tbl>
      <w:tblPr>
        <w:tblStyle w:val="TableGrid"/>
        <w:tblW w:w="9480"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1188"/>
        <w:gridCol w:w="8292"/>
      </w:tblGrid>
      <w:tr w:rsidR="0067177D" w14:paraId="39A00A6E" w14:textId="77777777" w:rsidTr="00DF08D8">
        <w:trPr>
          <w:trHeight w:val="431"/>
        </w:trPr>
        <w:tc>
          <w:tcPr>
            <w:tcW w:w="1188" w:type="dxa"/>
            <w:shd w:val="clear" w:color="auto" w:fill="EB8C00" w:themeFill="accent4"/>
          </w:tcPr>
          <w:p w14:paraId="6470FA5D" w14:textId="77777777" w:rsidR="0067177D" w:rsidRPr="00A77C50" w:rsidRDefault="0067177D" w:rsidP="00153D8A">
            <w:pPr>
              <w:spacing w:beforeLines="50" w:before="120" w:afterLines="50" w:after="120"/>
              <w:jc w:val="center"/>
              <w:rPr>
                <w:b/>
                <w:bCs/>
                <w:sz w:val="40"/>
                <w:szCs w:val="40"/>
              </w:rPr>
            </w:pPr>
            <w:r w:rsidRPr="00A77C50">
              <w:rPr>
                <w:b/>
                <w:bCs/>
                <w:sz w:val="40"/>
                <w:szCs w:val="40"/>
              </w:rPr>
              <w:t>1</w:t>
            </w:r>
          </w:p>
        </w:tc>
        <w:tc>
          <w:tcPr>
            <w:tcW w:w="8292" w:type="dxa"/>
            <w:shd w:val="clear" w:color="auto" w:fill="DEDEDE" w:themeFill="background2"/>
          </w:tcPr>
          <w:p w14:paraId="5D419FE5" w14:textId="77777777" w:rsidR="0067177D" w:rsidRPr="00A21A8E" w:rsidRDefault="0067177D" w:rsidP="0067177D">
            <w:pPr>
              <w:pStyle w:val="PwCNormal"/>
              <w:rPr>
                <w:lang w:eastAsia="en-AU"/>
              </w:rPr>
            </w:pPr>
            <w:r w:rsidRPr="00A21A8E">
              <w:rPr>
                <w:lang w:eastAsia="en-AU"/>
              </w:rPr>
              <w:t>Review minimum class number requirements and funding per student in RRR areas.</w:t>
            </w:r>
          </w:p>
        </w:tc>
      </w:tr>
      <w:tr w:rsidR="0067177D" w14:paraId="5AD5DE9B" w14:textId="77777777" w:rsidTr="00DF08D8">
        <w:trPr>
          <w:trHeight w:val="431"/>
        </w:trPr>
        <w:tc>
          <w:tcPr>
            <w:tcW w:w="1188" w:type="dxa"/>
            <w:shd w:val="clear" w:color="auto" w:fill="EB8C00" w:themeFill="accent4"/>
          </w:tcPr>
          <w:p w14:paraId="4BBCE990" w14:textId="77777777" w:rsidR="0067177D" w:rsidRPr="00A77C50" w:rsidRDefault="0067177D" w:rsidP="00153D8A">
            <w:pPr>
              <w:spacing w:beforeLines="50" w:before="120" w:afterLines="50" w:after="120"/>
              <w:jc w:val="center"/>
              <w:rPr>
                <w:b/>
                <w:bCs/>
                <w:sz w:val="40"/>
                <w:szCs w:val="40"/>
              </w:rPr>
            </w:pPr>
            <w:r w:rsidRPr="00A77C50">
              <w:rPr>
                <w:b/>
                <w:bCs/>
                <w:sz w:val="40"/>
                <w:szCs w:val="40"/>
              </w:rPr>
              <w:t>2</w:t>
            </w:r>
          </w:p>
        </w:tc>
        <w:tc>
          <w:tcPr>
            <w:tcW w:w="8292" w:type="dxa"/>
            <w:shd w:val="clear" w:color="auto" w:fill="DEDEDE" w:themeFill="background2"/>
          </w:tcPr>
          <w:p w14:paraId="29591DB8" w14:textId="0DA73141" w:rsidR="0067177D" w:rsidRPr="00A21A8E" w:rsidRDefault="0067177D" w:rsidP="0067177D">
            <w:pPr>
              <w:pStyle w:val="PwCNormal"/>
              <w:rPr>
                <w:lang w:eastAsia="en-AU"/>
              </w:rPr>
            </w:pPr>
            <w:r w:rsidRPr="00A21A8E">
              <w:rPr>
                <w:lang w:eastAsia="en-AU"/>
              </w:rPr>
              <w:t xml:space="preserve">Incentivise VET </w:t>
            </w:r>
            <w:r>
              <w:rPr>
                <w:lang w:eastAsia="en-AU"/>
              </w:rPr>
              <w:t>teachers</w:t>
            </w:r>
            <w:r w:rsidRPr="00A21A8E">
              <w:rPr>
                <w:lang w:eastAsia="en-AU"/>
              </w:rPr>
              <w:t xml:space="preserve"> to work in RRR areas to promote greater course options for students.</w:t>
            </w:r>
          </w:p>
        </w:tc>
      </w:tr>
      <w:tr w:rsidR="0067177D" w14:paraId="7FB84190" w14:textId="77777777" w:rsidTr="00DF08D8">
        <w:trPr>
          <w:trHeight w:val="431"/>
        </w:trPr>
        <w:tc>
          <w:tcPr>
            <w:tcW w:w="1188" w:type="dxa"/>
            <w:shd w:val="clear" w:color="auto" w:fill="EB8C00" w:themeFill="accent4"/>
          </w:tcPr>
          <w:p w14:paraId="59C9B414" w14:textId="77777777" w:rsidR="0067177D" w:rsidRPr="00A77C50" w:rsidRDefault="0067177D" w:rsidP="00153D8A">
            <w:pPr>
              <w:spacing w:beforeLines="50" w:before="120" w:afterLines="50" w:after="120"/>
              <w:jc w:val="center"/>
              <w:rPr>
                <w:b/>
                <w:bCs/>
                <w:sz w:val="40"/>
                <w:szCs w:val="40"/>
              </w:rPr>
            </w:pPr>
            <w:r w:rsidRPr="00A77C50">
              <w:rPr>
                <w:b/>
                <w:bCs/>
                <w:sz w:val="40"/>
                <w:szCs w:val="40"/>
              </w:rPr>
              <w:t>3</w:t>
            </w:r>
          </w:p>
        </w:tc>
        <w:tc>
          <w:tcPr>
            <w:tcW w:w="8292" w:type="dxa"/>
            <w:shd w:val="clear" w:color="auto" w:fill="DEDEDE" w:themeFill="background2"/>
          </w:tcPr>
          <w:p w14:paraId="2A0E3FF4" w14:textId="77777777" w:rsidR="0067177D" w:rsidRPr="00A21A8E" w:rsidRDefault="0067177D" w:rsidP="0067177D">
            <w:pPr>
              <w:pStyle w:val="PwCNormal"/>
              <w:rPr>
                <w:lang w:eastAsia="en-AU"/>
              </w:rPr>
            </w:pPr>
            <w:r w:rsidRPr="00A21A8E">
              <w:rPr>
                <w:lang w:eastAsia="en-AU"/>
              </w:rPr>
              <w:t>Implement virtual work placements to allow students in RRR areas to obtain work experience, even when geographically isolated.</w:t>
            </w:r>
          </w:p>
        </w:tc>
      </w:tr>
      <w:tr w:rsidR="0067177D" w14:paraId="654CE6A2" w14:textId="77777777" w:rsidTr="00DF08D8">
        <w:trPr>
          <w:trHeight w:val="431"/>
        </w:trPr>
        <w:tc>
          <w:tcPr>
            <w:tcW w:w="1188" w:type="dxa"/>
            <w:shd w:val="clear" w:color="auto" w:fill="EB8C00" w:themeFill="accent4"/>
          </w:tcPr>
          <w:p w14:paraId="5AB82DEB" w14:textId="77777777" w:rsidR="0067177D" w:rsidRPr="00A77C50" w:rsidRDefault="0067177D" w:rsidP="00153D8A">
            <w:pPr>
              <w:spacing w:beforeLines="50" w:before="120" w:afterLines="50" w:after="120"/>
              <w:jc w:val="center"/>
              <w:rPr>
                <w:b/>
                <w:bCs/>
                <w:sz w:val="40"/>
                <w:szCs w:val="40"/>
              </w:rPr>
            </w:pPr>
            <w:r w:rsidRPr="00A77C50">
              <w:rPr>
                <w:b/>
                <w:bCs/>
                <w:sz w:val="40"/>
                <w:szCs w:val="40"/>
              </w:rPr>
              <w:t>4</w:t>
            </w:r>
          </w:p>
        </w:tc>
        <w:tc>
          <w:tcPr>
            <w:tcW w:w="8292" w:type="dxa"/>
            <w:shd w:val="clear" w:color="auto" w:fill="DEDEDE" w:themeFill="background2"/>
          </w:tcPr>
          <w:p w14:paraId="66C66CE8" w14:textId="77777777" w:rsidR="0067177D" w:rsidRPr="00A21A8E" w:rsidRDefault="0067177D" w:rsidP="0067177D">
            <w:pPr>
              <w:pStyle w:val="PwCNormal"/>
              <w:rPr>
                <w:lang w:eastAsia="en-AU"/>
              </w:rPr>
            </w:pPr>
            <w:r w:rsidRPr="00A21A8E">
              <w:rPr>
                <w:lang w:eastAsia="en-AU"/>
              </w:rPr>
              <w:t>Encourage collaboration to create economies of scale and communities of practice.</w:t>
            </w:r>
          </w:p>
        </w:tc>
      </w:tr>
      <w:tr w:rsidR="0067177D" w14:paraId="3D6B0811" w14:textId="77777777" w:rsidTr="00DF08D8">
        <w:trPr>
          <w:trHeight w:val="431"/>
        </w:trPr>
        <w:tc>
          <w:tcPr>
            <w:tcW w:w="1188" w:type="dxa"/>
            <w:shd w:val="clear" w:color="auto" w:fill="EB8C00" w:themeFill="accent4"/>
          </w:tcPr>
          <w:p w14:paraId="5238B356" w14:textId="77777777" w:rsidR="0067177D" w:rsidRPr="00A77C50" w:rsidRDefault="0067177D" w:rsidP="00153D8A">
            <w:pPr>
              <w:spacing w:beforeLines="50" w:before="120" w:afterLines="50" w:after="120"/>
              <w:jc w:val="center"/>
              <w:rPr>
                <w:b/>
                <w:bCs/>
                <w:sz w:val="40"/>
                <w:szCs w:val="40"/>
              </w:rPr>
            </w:pPr>
            <w:r w:rsidRPr="00A77C50">
              <w:rPr>
                <w:b/>
                <w:bCs/>
                <w:sz w:val="40"/>
                <w:szCs w:val="40"/>
              </w:rPr>
              <w:t>5</w:t>
            </w:r>
          </w:p>
        </w:tc>
        <w:tc>
          <w:tcPr>
            <w:tcW w:w="8292" w:type="dxa"/>
            <w:shd w:val="clear" w:color="auto" w:fill="DEDEDE" w:themeFill="background2"/>
          </w:tcPr>
          <w:p w14:paraId="6444C5F4" w14:textId="77777777" w:rsidR="0067177D" w:rsidRPr="00A21A8E" w:rsidRDefault="0067177D" w:rsidP="0067177D">
            <w:pPr>
              <w:pStyle w:val="PwCNormal"/>
              <w:rPr>
                <w:lang w:eastAsia="en-AU"/>
              </w:rPr>
            </w:pPr>
            <w:r w:rsidRPr="00A21A8E">
              <w:rPr>
                <w:lang w:eastAsia="en-AU"/>
              </w:rPr>
              <w:t>Promote access to stable internet connections.</w:t>
            </w:r>
          </w:p>
        </w:tc>
      </w:tr>
    </w:tbl>
    <w:p w14:paraId="384A8A23" w14:textId="77777777" w:rsidR="00C22375" w:rsidRDefault="00C22375" w:rsidP="00D35DD2">
      <w:pPr>
        <w:pStyle w:val="PwCNormal"/>
      </w:pPr>
      <w:r>
        <w:t>Please note, these options are not mutually exclusive and multiple options could be selected.</w:t>
      </w:r>
    </w:p>
    <w:p w14:paraId="1EA235CC" w14:textId="77777777" w:rsidR="00C22375" w:rsidRDefault="00C22375" w:rsidP="00D35DD2">
      <w:pPr>
        <w:pStyle w:val="Majorheading"/>
      </w:pPr>
      <w:r>
        <w:t>Option 1: Review minimum class number requirements and funding per student in RRR areas </w:t>
      </w:r>
    </w:p>
    <w:p w14:paraId="43E8A860" w14:textId="77777777" w:rsidR="00C22375" w:rsidRDefault="00C22375" w:rsidP="00D35DD2">
      <w:pPr>
        <w:pStyle w:val="PwCNormal"/>
      </w:pPr>
      <w:r>
        <w:t>Stakeholder feedback frequently identified that the minimum viable class numbers used in metropolitan areas to determine whether a VETDSS program can run are not appropriate in RRR settings. It was noted that most classes require 14-15 students for an RTO/school to run the program, however, in RRR areas, student numbers are lower and more dispersed, so reaching economies of scale is not always feasible. As one stakeholder noted in a consultation, this can mean that ten interested students miss the opportunity to undertake their chosen course because the ‘magic number’ has not been met and RTOs will operate at a loss if they run a course with a smaller cohort. </w:t>
      </w:r>
    </w:p>
    <w:p w14:paraId="4F90368D" w14:textId="2EA8FC42" w:rsidR="00C22375" w:rsidRDefault="00A35199" w:rsidP="00D35DD2">
      <w:pPr>
        <w:pStyle w:val="PwCNormal"/>
      </w:pPr>
      <w:r>
        <w:t>To</w:t>
      </w:r>
      <w:r w:rsidR="00C22375">
        <w:t xml:space="preserve"> prevent economies of scale impacting VETDSS opportunities for RRR students, guidance for minimum class numbers should be reviewed.</w:t>
      </w:r>
      <w:r>
        <w:t xml:space="preserve"> T</w:t>
      </w:r>
      <w:r w:rsidR="00C22375">
        <w:t xml:space="preserve">his would need to be supported by changes to funding allowances for students in RRR areas </w:t>
      </w:r>
      <w:proofErr w:type="gramStart"/>
      <w:r w:rsidR="00C22375">
        <w:t>in order to</w:t>
      </w:r>
      <w:proofErr w:type="gramEnd"/>
      <w:r w:rsidR="00C22375">
        <w:t xml:space="preserve"> be effective. For example, if students in RRR areas received a higher funding weighting, this would allow smaller class sizes to operate without causing a loss to the RTO.</w:t>
      </w:r>
    </w:p>
    <w:p w14:paraId="1CC878BD" w14:textId="77777777" w:rsidR="00C22375" w:rsidRDefault="00C22375" w:rsidP="00D35DD2">
      <w:pPr>
        <w:pStyle w:val="Majorheading"/>
      </w:pPr>
      <w:r>
        <w:t>Option 2: Incentivise VET teachers to work in RRR areas to promote greater course options for students</w:t>
      </w:r>
    </w:p>
    <w:p w14:paraId="31CFF6E8" w14:textId="21CF6D50" w:rsidR="00C22375" w:rsidRDefault="00221FC9" w:rsidP="00D35DD2">
      <w:pPr>
        <w:pStyle w:val="PwCNormal"/>
      </w:pPr>
      <w:r>
        <w:t>Stakeholders</w:t>
      </w:r>
      <w:r w:rsidR="00C22375">
        <w:t xml:space="preserve"> frequently noted in consultation that one of the key issues impacting the delivery of VETDSS in RRR areas is the availability of appropriately qualified VET teachers. This challenge occurs because the supply of VET teachers with the appropriate qualifications and industry experience in RRR areas is limited. As discussed in </w:t>
      </w:r>
      <w:r w:rsidR="00C22375">
        <w:rPr>
          <w:b/>
          <w:bCs/>
        </w:rPr>
        <w:t>Part 2</w:t>
      </w:r>
      <w:r w:rsidR="00C22375">
        <w:t xml:space="preserve"> of this report, the limited supply of VET teachers in RRR areas is caused by </w:t>
      </w:r>
      <w:proofErr w:type="gramStart"/>
      <w:r w:rsidR="00C22375">
        <w:t>a number of</w:t>
      </w:r>
      <w:proofErr w:type="gramEnd"/>
      <w:r w:rsidR="00C22375">
        <w:t xml:space="preserve"> factors, including an insufficient number of people with the appropriate skills and qualifications to deliver VETDSS (</w:t>
      </w:r>
      <w:r w:rsidR="00C22375">
        <w:rPr>
          <w:i/>
          <w:iCs/>
        </w:rPr>
        <w:t>Certificate IV in Training and Assessment</w:t>
      </w:r>
      <w:r w:rsidR="00C22375">
        <w:t xml:space="preserve">, Initial Teacher Education qualification and industry qualification) and opportunities for greater remuneration in other industries (for example, </w:t>
      </w:r>
      <w:r w:rsidR="00A35199">
        <w:t>construction and mining</w:t>
      </w:r>
      <w:r w:rsidR="00C22375">
        <w:t>). The primary impact of this VET teacher supply challenge on school students is that it results in fewer VETDSS courses being available to interested students. This can hinder student engagement as the course they want to pursue is not on offer and/or they cannot get a place in a class as it reaches capacity due to limited availability.</w:t>
      </w:r>
    </w:p>
    <w:p w14:paraId="123FE5CB" w14:textId="700FE392" w:rsidR="00C22375" w:rsidRDefault="00A35199" w:rsidP="00D35DD2">
      <w:pPr>
        <w:pStyle w:val="PwCNormal"/>
      </w:pPr>
      <w:r>
        <w:lastRenderedPageBreak/>
        <w:t>To</w:t>
      </w:r>
      <w:r w:rsidR="00C22375">
        <w:t xml:space="preserve"> support students to have access to a range of relevant and high quality VETDSS courses, incentives could be implemented to increase the supply of VET teachers. This supply can be achieved by (1) encouraging VET teachers to move and work in RRR areas, and/or (2) supporting locals in RRR areas to become VET teachers. Options for incentivisation in these two categories have been included below:</w:t>
      </w:r>
    </w:p>
    <w:p w14:paraId="385F6979" w14:textId="77777777" w:rsidR="00C22375" w:rsidRDefault="00C22375" w:rsidP="00D35DD2">
      <w:pPr>
        <w:pStyle w:val="Minorheading2"/>
      </w:pPr>
      <w:r>
        <w:t>(1) Encouraging VET teachers to move to RRR areas:</w:t>
      </w:r>
    </w:p>
    <w:p w14:paraId="3F5E20CC" w14:textId="18164D5B" w:rsidR="00C22375" w:rsidRDefault="00C22375" w:rsidP="00D35DD2">
      <w:pPr>
        <w:pStyle w:val="ListBullet"/>
      </w:pPr>
      <w:r>
        <w:rPr>
          <w:b/>
          <w:bCs/>
        </w:rPr>
        <w:t>Financial incentives.</w:t>
      </w:r>
      <w:r>
        <w:t xml:space="preserve"> This could include upfront payments, as well as subsidised housing, childcare </w:t>
      </w:r>
      <w:r w:rsidR="00A35199">
        <w:t>costs,</w:t>
      </w:r>
      <w:r>
        <w:t xml:space="preserve"> and relocation payments. Yearly financial payments could be offered to encourage the retention of VET teachers in RRR areas. This style of incentive subsidy for teachers operating in RRR areas is common at the state and territory level, and existing programs could be built upon to incorporate specific VET teacher funding. For example, the ‘Rural Teacher Incentive’ in NSW provides incentives to teachers that work in rural and remote public schools, including financial incentives, rental subsidies, climatic </w:t>
      </w:r>
      <w:r w:rsidR="00A35199">
        <w:t>allowances,</w:t>
      </w:r>
      <w:r>
        <w:t xml:space="preserve"> and additional personal leave.</w:t>
      </w:r>
      <w:r w:rsidR="00C67496">
        <w:rPr>
          <w:rStyle w:val="FootnoteReference"/>
        </w:rPr>
        <w:footnoteReference w:id="20"/>
      </w:r>
      <w:r>
        <w:t> </w:t>
      </w:r>
    </w:p>
    <w:p w14:paraId="191D03C9" w14:textId="52ABC7EB" w:rsidR="00C22375" w:rsidRDefault="00C22375" w:rsidP="00D35DD2">
      <w:pPr>
        <w:pStyle w:val="ListBullet"/>
      </w:pPr>
      <w:r>
        <w:rPr>
          <w:b/>
          <w:bCs/>
        </w:rPr>
        <w:t>Career progression opportunities.</w:t>
      </w:r>
      <w:r>
        <w:t xml:space="preserve"> This could take </w:t>
      </w:r>
      <w:proofErr w:type="gramStart"/>
      <w:r>
        <w:t>a number of</w:t>
      </w:r>
      <w:proofErr w:type="gramEnd"/>
      <w:r>
        <w:t xml:space="preserve"> formats, including the provision of additional training and development days, fast tracking the transition from temporary to permanent staff member and/or prioritising subsequent transfer requests of staff that have work</w:t>
      </w:r>
      <w:r w:rsidR="005126A8">
        <w:t>ed</w:t>
      </w:r>
      <w:r>
        <w:t xml:space="preserve"> in RRR areas. Priority transfer points are an element of the NSW Rural Teacher Incentive program, with teachers that work in RRR schools awarded higher transfer points for every year they are a permanent staff member. Accumulated points are used to prioritise applications for transfer.</w:t>
      </w:r>
      <w:r w:rsidR="00C67496">
        <w:rPr>
          <w:rStyle w:val="FootnoteReference"/>
        </w:rPr>
        <w:footnoteReference w:id="21"/>
      </w:r>
    </w:p>
    <w:p w14:paraId="0926E90D" w14:textId="77777777" w:rsidR="00C22375" w:rsidRDefault="00C22375" w:rsidP="00D35DD2">
      <w:pPr>
        <w:pStyle w:val="Minorheading2"/>
        <w:rPr>
          <w:rFonts w:ascii="Times New Roman" w:hAnsi="Times New Roman" w:cs="Times New Roman"/>
          <w:color w:val="auto"/>
          <w:sz w:val="24"/>
        </w:rPr>
      </w:pPr>
      <w:r>
        <w:t>(2) Supporting locals in RRR areas to become VET teachers:</w:t>
      </w:r>
    </w:p>
    <w:p w14:paraId="34C73F96" w14:textId="77CE833A" w:rsidR="00C22375" w:rsidRDefault="00C22375" w:rsidP="00D35DD2">
      <w:pPr>
        <w:pStyle w:val="ListBullet"/>
        <w:rPr>
          <w:b/>
          <w:bCs/>
        </w:rPr>
      </w:pPr>
      <w:r>
        <w:rPr>
          <w:b/>
          <w:bCs/>
        </w:rPr>
        <w:t xml:space="preserve">Subsidised </w:t>
      </w:r>
      <w:r>
        <w:rPr>
          <w:b/>
          <w:bCs/>
          <w:i/>
          <w:iCs/>
        </w:rPr>
        <w:t>Certificate IV in Training and Assessment</w:t>
      </w:r>
      <w:r>
        <w:rPr>
          <w:b/>
          <w:bCs/>
        </w:rPr>
        <w:t xml:space="preserve"> (Cert IV TAE) programs. </w:t>
      </w:r>
      <w:r>
        <w:t>Given that feedback indicates that most VET teachers operating in RRR areas are employed by RTOs, not schools, they are</w:t>
      </w:r>
      <w:r w:rsidR="00A35199">
        <w:t xml:space="preserve"> typically</w:t>
      </w:r>
      <w:r>
        <w:t xml:space="preserve"> not required to have an Initial Teacher Education qualification. Rather, they only need their Cert</w:t>
      </w:r>
      <w:r w:rsidR="005126A8">
        <w:t>ificate</w:t>
      </w:r>
      <w:r>
        <w:t xml:space="preserve"> IV </w:t>
      </w:r>
      <w:r w:rsidR="005126A8">
        <w:t>in Training and Assessment (</w:t>
      </w:r>
      <w:r>
        <w:t>TAE</w:t>
      </w:r>
      <w:r w:rsidR="005126A8">
        <w:t>)</w:t>
      </w:r>
      <w:r>
        <w:t xml:space="preserve"> and industry qualification </w:t>
      </w:r>
      <w:proofErr w:type="gramStart"/>
      <w:r>
        <w:t>in order to</w:t>
      </w:r>
      <w:proofErr w:type="gramEnd"/>
      <w:r>
        <w:t xml:space="preserve"> comply with the </w:t>
      </w:r>
      <w:r>
        <w:rPr>
          <w:i/>
          <w:iCs/>
        </w:rPr>
        <w:t>Standards for RTOs 2015</w:t>
      </w:r>
      <w:r>
        <w:t>. Encouraging industry professionals in RRR areas to undertake their TAE and participate in delivery to school students would significantly support the supply of VET teachers, and subsidisation of the course costs may provide individuals an incentive to do so. </w:t>
      </w:r>
    </w:p>
    <w:p w14:paraId="5ADF293E" w14:textId="6432FD59" w:rsidR="00C22375" w:rsidRDefault="00C22375" w:rsidP="00D35DD2">
      <w:pPr>
        <w:pStyle w:val="ListBullet"/>
        <w:rPr>
          <w:b/>
          <w:bCs/>
        </w:rPr>
      </w:pPr>
      <w:r>
        <w:rPr>
          <w:b/>
          <w:bCs/>
        </w:rPr>
        <w:t xml:space="preserve">Financial incentives for industry participants to become trainers and assessors. </w:t>
      </w:r>
      <w:r>
        <w:t>In conjunction with the option above, industry professionals that undertake their Cert</w:t>
      </w:r>
      <w:r w:rsidR="005126A8">
        <w:t>ificate</w:t>
      </w:r>
      <w:r>
        <w:t xml:space="preserve"> IV TAE could receive financial incentives to encourage them to upskill and become trainers and assessors. There are already examples of this style of incentive structure across states and territories to encourage stakeholders to undertake the Certificate IV. For example, in Victoria, experienced professionals in demand industry areas can receive incentive payments up to $10,000.</w:t>
      </w:r>
      <w:r w:rsidR="00C67496">
        <w:rPr>
          <w:rStyle w:val="FootnoteReference"/>
        </w:rPr>
        <w:footnoteReference w:id="22"/>
      </w:r>
    </w:p>
    <w:p w14:paraId="2941F557" w14:textId="176B80C3" w:rsidR="00C22375" w:rsidRPr="00D906AE" w:rsidRDefault="00C22375" w:rsidP="00C22375">
      <w:pPr>
        <w:pStyle w:val="PwCNormal"/>
        <w:rPr>
          <w:rFonts w:ascii="Times New Roman" w:hAnsi="Times New Roman" w:cs="Times New Roman"/>
          <w:color w:val="auto"/>
          <w:sz w:val="24"/>
          <w:szCs w:val="24"/>
        </w:rPr>
      </w:pPr>
      <w:r>
        <w:t>It is noted that when considering which options are most appropriate for implementation, the core issue will be balancing an appropriate supply of VET teachers whilst maintaining the quality and integrity of VETDSS in RRR areas.</w:t>
      </w:r>
    </w:p>
    <w:p w14:paraId="626DDE4C" w14:textId="77777777" w:rsidR="00C22375" w:rsidRDefault="00C22375" w:rsidP="00D35DD2">
      <w:pPr>
        <w:pStyle w:val="Majorheading"/>
      </w:pPr>
      <w:r>
        <w:t>Option 3: Implement virtual work placements to allow students in RRR areas to obtain work experience, even when geographically isolated</w:t>
      </w:r>
    </w:p>
    <w:p w14:paraId="1845295A" w14:textId="77777777" w:rsidR="00C22375" w:rsidRDefault="00C22375" w:rsidP="00D35DD2">
      <w:pPr>
        <w:pStyle w:val="PwCNormal"/>
      </w:pPr>
      <w:r>
        <w:t>Whilst stakeholders identified that connections between VETDSS and industry/employers are typically strong in RRR areas, the availability of relevant and appropriate opportunities for work placements can be limited. This can stem from:</w:t>
      </w:r>
    </w:p>
    <w:p w14:paraId="30501133" w14:textId="77777777" w:rsidR="00C22375" w:rsidRDefault="00C22375" w:rsidP="00D35DD2">
      <w:pPr>
        <w:pStyle w:val="ListBullet"/>
      </w:pPr>
      <w:r>
        <w:t xml:space="preserve">A smaller pool of potential </w:t>
      </w:r>
      <w:proofErr w:type="gramStart"/>
      <w:r>
        <w:t>employers;</w:t>
      </w:r>
      <w:proofErr w:type="gramEnd"/>
    </w:p>
    <w:p w14:paraId="0AB0B184" w14:textId="77777777" w:rsidR="00C22375" w:rsidRDefault="00C22375" w:rsidP="00D35DD2">
      <w:pPr>
        <w:pStyle w:val="ListBullet"/>
      </w:pPr>
      <w:r>
        <w:t xml:space="preserve">Employers/businesses being a smaller size and unable to take on large numbers of </w:t>
      </w:r>
      <w:proofErr w:type="gramStart"/>
      <w:r>
        <w:t>students;</w:t>
      </w:r>
      <w:proofErr w:type="gramEnd"/>
    </w:p>
    <w:p w14:paraId="3796BC37" w14:textId="77777777" w:rsidR="00C22375" w:rsidRDefault="00C22375" w:rsidP="00D35DD2">
      <w:pPr>
        <w:pStyle w:val="ListBullet"/>
      </w:pPr>
      <w:r>
        <w:t xml:space="preserve">Decreased scope of industries available to suit student </w:t>
      </w:r>
      <w:proofErr w:type="gramStart"/>
      <w:r>
        <w:t>needs;</w:t>
      </w:r>
      <w:proofErr w:type="gramEnd"/>
    </w:p>
    <w:p w14:paraId="2CBF6AB7" w14:textId="77777777" w:rsidR="00C22375" w:rsidRDefault="00C22375" w:rsidP="00D35DD2">
      <w:pPr>
        <w:pStyle w:val="ListBullet"/>
      </w:pPr>
      <w:r>
        <w:t>Distances between students and employers; and</w:t>
      </w:r>
    </w:p>
    <w:p w14:paraId="466DB510" w14:textId="77777777" w:rsidR="00C22375" w:rsidRDefault="00C22375" w:rsidP="00D35DD2">
      <w:pPr>
        <w:pStyle w:val="ListBullet"/>
      </w:pPr>
      <w:r>
        <w:lastRenderedPageBreak/>
        <w:t>Limited public transport to connect students and employers.</w:t>
      </w:r>
    </w:p>
    <w:p w14:paraId="79C804B2" w14:textId="77777777" w:rsidR="00C22375" w:rsidRDefault="00C22375" w:rsidP="00D35DD2">
      <w:pPr>
        <w:pStyle w:val="PwCNormal"/>
        <w:rPr>
          <w:rFonts w:ascii="Times New Roman" w:hAnsi="Times New Roman" w:cs="Times New Roman"/>
          <w:color w:val="auto"/>
          <w:sz w:val="24"/>
          <w:szCs w:val="24"/>
        </w:rPr>
      </w:pPr>
      <w:r>
        <w:t xml:space="preserve">To ensure that students in RRR areas </w:t>
      </w:r>
      <w:proofErr w:type="gramStart"/>
      <w:r>
        <w:t>have the opportunity to</w:t>
      </w:r>
      <w:proofErr w:type="gramEnd"/>
      <w:r>
        <w:t xml:space="preserve"> participate in work placement programs and gain real workplace experience, virtual work placement programs could be established. This would allow students to undertake work placements unrestricted by their physical location.</w:t>
      </w:r>
    </w:p>
    <w:p w14:paraId="0969115C" w14:textId="77777777" w:rsidR="00C22375" w:rsidRDefault="00C22375" w:rsidP="00D35DD2">
      <w:pPr>
        <w:pStyle w:val="PwCNormal"/>
      </w:pPr>
      <w:r>
        <w:t xml:space="preserve">Virtual work placements are not a new phenomenon in Australia, with </w:t>
      </w:r>
      <w:proofErr w:type="gramStart"/>
      <w:r>
        <w:t>a number of</w:t>
      </w:r>
      <w:proofErr w:type="gramEnd"/>
      <w:r>
        <w:t xml:space="preserve"> programs established by large organisations:</w:t>
      </w:r>
    </w:p>
    <w:p w14:paraId="1ECBB118" w14:textId="7CD4783B" w:rsidR="00C22375" w:rsidRDefault="00C22375" w:rsidP="00D35DD2">
      <w:pPr>
        <w:pStyle w:val="ListBullet"/>
      </w:pPr>
      <w:r>
        <w:rPr>
          <w:b/>
          <w:bCs/>
        </w:rPr>
        <w:t>CSIRO</w:t>
      </w:r>
      <w:r>
        <w:t xml:space="preserve">: The Virtual Work Experience Program provides an opportunity to experience the work of a CSIRO scientist from home, especially for students who face geographic or other barriers to participating in a traditional work experience. Students undertake collaborative group projects in the science, technology, </w:t>
      </w:r>
      <w:r w:rsidR="00A35199">
        <w:t>engineering,</w:t>
      </w:r>
      <w:r>
        <w:t xml:space="preserve"> and mathematics (STEM) fields, supervised by CSIRO staff or STEM industry professionals.</w:t>
      </w:r>
      <w:r w:rsidR="00C67496">
        <w:rPr>
          <w:rStyle w:val="FootnoteReference"/>
        </w:rPr>
        <w:footnoteReference w:id="23"/>
      </w:r>
      <w:r>
        <w:t>  </w:t>
      </w:r>
    </w:p>
    <w:p w14:paraId="0755A1D1" w14:textId="1A90C090" w:rsidR="00C22375" w:rsidRDefault="00C22375" w:rsidP="00D35DD2">
      <w:pPr>
        <w:pStyle w:val="ListBullet"/>
      </w:pPr>
      <w:r>
        <w:rPr>
          <w:b/>
          <w:bCs/>
        </w:rPr>
        <w:t>Amazon Web Services (AWS)</w:t>
      </w:r>
      <w:r>
        <w:t>: In partnership with the Workplace Learning Network, AWS have delivered a virtual work placement with 275 Information and Digital Technology students in NSW. Students worked in teams with AWS mentors and were introduced to a range of IT skills. They note that the program provided an opportunity for regional students to have access to a global business.</w:t>
      </w:r>
      <w:r w:rsidR="00C67496">
        <w:rPr>
          <w:rStyle w:val="FootnoteReference"/>
        </w:rPr>
        <w:footnoteReference w:id="24"/>
      </w:r>
      <w:r>
        <w:t> </w:t>
      </w:r>
    </w:p>
    <w:p w14:paraId="7B2D75F6" w14:textId="63EF48A8" w:rsidR="00C22375" w:rsidRDefault="00C22375" w:rsidP="00D35DD2">
      <w:pPr>
        <w:pStyle w:val="PwCNormal"/>
        <w:rPr>
          <w:rFonts w:ascii="Times New Roman" w:hAnsi="Times New Roman" w:cs="Times New Roman"/>
          <w:color w:val="auto"/>
          <w:sz w:val="24"/>
          <w:szCs w:val="24"/>
        </w:rPr>
      </w:pPr>
      <w:r>
        <w:t xml:space="preserve">A range of initiatives could be led by </w:t>
      </w:r>
      <w:r w:rsidR="00780C5B">
        <w:t>the Department</w:t>
      </w:r>
      <w:r>
        <w:t xml:space="preserve"> to encourage the establishment of virtual work placement programs, including: </w:t>
      </w:r>
    </w:p>
    <w:p w14:paraId="1A13508F" w14:textId="77777777" w:rsidR="00C22375" w:rsidRDefault="00C22375" w:rsidP="00D35DD2">
      <w:pPr>
        <w:pStyle w:val="ListBullet"/>
      </w:pPr>
      <w:r>
        <w:rPr>
          <w:b/>
          <w:bCs/>
        </w:rPr>
        <w:t>Developing guidelines</w:t>
      </w:r>
      <w:r>
        <w:t xml:space="preserve"> outlining how organisations could implement such programs and the benefits of doing so. This additional layer of support may provide a catalyst for organisations that are unsure how to go about setting up a program.</w:t>
      </w:r>
    </w:p>
    <w:p w14:paraId="720650E4" w14:textId="77777777" w:rsidR="00C22375" w:rsidRDefault="00C22375" w:rsidP="00D35DD2">
      <w:pPr>
        <w:pStyle w:val="ListBullet"/>
      </w:pPr>
      <w:r>
        <w:rPr>
          <w:b/>
          <w:bCs/>
        </w:rPr>
        <w:t xml:space="preserve">Funding a third party </w:t>
      </w:r>
      <w:r>
        <w:t>to work with organisations to develop and run virtual work placement programs. This would remove the need for organisations themselves to develop the programs and provide an additional layer of support. Relevant third parties might include Work Placement Service Providers. </w:t>
      </w:r>
    </w:p>
    <w:p w14:paraId="775A3DF3" w14:textId="77777777" w:rsidR="00C22375" w:rsidRDefault="00C22375" w:rsidP="00D35DD2">
      <w:pPr>
        <w:pStyle w:val="ListBullet"/>
      </w:pPr>
      <w:r>
        <w:rPr>
          <w:b/>
          <w:bCs/>
        </w:rPr>
        <w:t>Raising awareness</w:t>
      </w:r>
      <w:r>
        <w:t xml:space="preserve"> about virtual work placement programs through case studies and other promotional materials.</w:t>
      </w:r>
    </w:p>
    <w:p w14:paraId="5F9513B0" w14:textId="77777777" w:rsidR="00C22375" w:rsidRDefault="00C22375" w:rsidP="00D35DD2">
      <w:pPr>
        <w:pStyle w:val="Majorheading"/>
      </w:pPr>
      <w:r>
        <w:t>Option 4: Encourage collaboration to create economies of scale and communities of practice</w:t>
      </w:r>
    </w:p>
    <w:p w14:paraId="176870A0" w14:textId="76E6D6DB" w:rsidR="00C22375" w:rsidRDefault="00C22375" w:rsidP="00D35DD2">
      <w:pPr>
        <w:pStyle w:val="PwCNormal"/>
      </w:pPr>
      <w:r>
        <w:t xml:space="preserve">As noted in </w:t>
      </w:r>
      <w:r>
        <w:rPr>
          <w:b/>
          <w:bCs/>
        </w:rPr>
        <w:t xml:space="preserve">Parts 2 and 3 </w:t>
      </w:r>
      <w:r>
        <w:t>of this report, a key challenge of VETDSS in RRR areas are the thin markets and challenges in reaching economies of scale. Additionally, because schools and RTOs are often geographically isolated from one another, it may not be common for these organisations to share learnings. There is an opportunity to encourage better collaboration between school sectors, and between schools and RTOs who may be from similar areas or have similar interests. One way this is currently being achieved is through career advisors network groups. Identified through consultation, these groups enable career advisors from a particular region to share learnings and experiences, including VETDSS opportunities. </w:t>
      </w:r>
    </w:p>
    <w:p w14:paraId="1CB56ACA" w14:textId="77777777" w:rsidR="00C22375" w:rsidRDefault="00C22375" w:rsidP="00D35DD2">
      <w:pPr>
        <w:pStyle w:val="PwCNormal"/>
      </w:pPr>
      <w:r>
        <w:t>Some ways that greater collaboration could be achieved is through:</w:t>
      </w:r>
    </w:p>
    <w:p w14:paraId="76CE97DA" w14:textId="77777777" w:rsidR="00C22375" w:rsidRDefault="00C22375" w:rsidP="00D35DD2">
      <w:pPr>
        <w:pStyle w:val="ListBullet"/>
      </w:pPr>
      <w:r>
        <w:t>Developing guidelines outlining how organisations, schools and RTOs could collaborate to create economies of scale, and the benefits of doing so. This additional layer of support may provide a catalyst for some schools and RTOs that may be unsure where to begin. </w:t>
      </w:r>
    </w:p>
    <w:p w14:paraId="6EA4898B" w14:textId="77777777" w:rsidR="00C22375" w:rsidRDefault="00C22375" w:rsidP="00D35DD2">
      <w:pPr>
        <w:pStyle w:val="ListBullet"/>
      </w:pPr>
      <w:r>
        <w:t>Engaging with school sector associations in each jurisdiction to test their appetite for greater collaboration with other school sectors, specifically in RRR areas. If there is interest, it could be worthwhile introducing the representatives from specific regions to one another. </w:t>
      </w:r>
    </w:p>
    <w:p w14:paraId="393D835F" w14:textId="77777777" w:rsidR="00C22375" w:rsidRDefault="00C22375" w:rsidP="00D35DD2">
      <w:pPr>
        <w:pStyle w:val="ListBullet"/>
      </w:pPr>
      <w:r>
        <w:t>Raising awareness about best practice and opportunities for improving collaboration. </w:t>
      </w:r>
    </w:p>
    <w:p w14:paraId="07E5A051" w14:textId="24B63B63" w:rsidR="00C22375" w:rsidRDefault="00C22375" w:rsidP="00D35DD2">
      <w:pPr>
        <w:pStyle w:val="ListBullet"/>
      </w:pPr>
      <w:r>
        <w:lastRenderedPageBreak/>
        <w:t xml:space="preserve">Raising awareness of VETDSS among regional councils, local </w:t>
      </w:r>
      <w:r w:rsidR="00A35199">
        <w:t>governments,</w:t>
      </w:r>
      <w:r>
        <w:t xml:space="preserve"> and community organisations, as they may be large employers in a specific RRR area. </w:t>
      </w:r>
    </w:p>
    <w:p w14:paraId="08F6940C" w14:textId="77777777" w:rsidR="00C22375" w:rsidRDefault="00C22375" w:rsidP="00D35DD2">
      <w:pPr>
        <w:pStyle w:val="Majorheading"/>
      </w:pPr>
      <w:r>
        <w:t>Option 5: Promote access to stable internet connections </w:t>
      </w:r>
    </w:p>
    <w:p w14:paraId="1959C133" w14:textId="77777777" w:rsidR="00C22375" w:rsidRDefault="00C22375" w:rsidP="00D35DD2">
      <w:pPr>
        <w:pStyle w:val="PwCNormal"/>
      </w:pPr>
      <w:r>
        <w:t xml:space="preserve">As noted in </w:t>
      </w:r>
      <w:r>
        <w:rPr>
          <w:b/>
          <w:bCs/>
        </w:rPr>
        <w:t xml:space="preserve">Part 2 </w:t>
      </w:r>
      <w:r>
        <w:t xml:space="preserve">of this report, students in RRR areas are more likely to access at least some component of their education online. However, there are challenges with stable internet connections in these areas, which limits a student’s ability to access online learning. In recognition of this issue, the </w:t>
      </w:r>
      <w:r>
        <w:rPr>
          <w:i/>
          <w:iCs/>
        </w:rPr>
        <w:t xml:space="preserve">Education in Remote and Complex Environments </w:t>
      </w:r>
      <w:r>
        <w:t>report recommended “improving access and affordability in RRR communities to broadband and mobile phone reception.” In particular, the report referenced extending the Sky Muster Education data offering to vocational students in RRR areas. This is a service that allows students who study via distance education to request a separate internet service port, enabling them to have access to data plans that are allocated for educational purposes. Currently, only school-aged students who are enrolled in a recognised distance education program are eligible to access this service. Some students completing a VET course may miss out on the service, based on the eligibility criteria. </w:t>
      </w:r>
    </w:p>
    <w:p w14:paraId="235576A7" w14:textId="77777777" w:rsidR="00C22375" w:rsidRDefault="00C22375" w:rsidP="00D35DD2">
      <w:pPr>
        <w:pStyle w:val="PwCNormal"/>
      </w:pPr>
      <w:r>
        <w:t>Some ways in which stable internet connections for VETDSS students in RRR areas could be promoted include: </w:t>
      </w:r>
    </w:p>
    <w:p w14:paraId="20B5B631" w14:textId="77777777" w:rsidR="00C22375" w:rsidRDefault="00C22375" w:rsidP="00D35DD2">
      <w:pPr>
        <w:pStyle w:val="ListBullet"/>
        <w:rPr>
          <w:b/>
          <w:bCs/>
        </w:rPr>
      </w:pPr>
      <w:r>
        <w:t>Extending the current eligibility criteria for Sky Muster Education data, enabling students from certain RRR who engage in VETDSS to access the data offering. </w:t>
      </w:r>
    </w:p>
    <w:p w14:paraId="761B4140" w14:textId="77777777" w:rsidR="00C22375" w:rsidRDefault="00C22375" w:rsidP="00D35DD2">
      <w:pPr>
        <w:pStyle w:val="ListBullet"/>
      </w:pPr>
      <w:r>
        <w:t>Funding a program directly for VETDSS students in need to bolster or improve their internet connections.</w:t>
      </w:r>
    </w:p>
    <w:p w14:paraId="0EA33115" w14:textId="3856F36B" w:rsidR="00C22375" w:rsidRDefault="00C22375" w:rsidP="00D35DD2">
      <w:pPr>
        <w:pStyle w:val="ListBullet"/>
      </w:pPr>
      <w:r>
        <w:t xml:space="preserve">Increasing the infrastructure to support stable internet connections, particularly in facilities that engage in block training for students (e.g. some </w:t>
      </w:r>
      <w:r w:rsidR="00574F6F">
        <w:t>RTOs</w:t>
      </w:r>
      <w:r>
        <w:t>).</w:t>
      </w:r>
    </w:p>
    <w:p w14:paraId="45486B8A" w14:textId="12D53306" w:rsidR="00C22375" w:rsidRPr="00D35DD2" w:rsidRDefault="00C22375" w:rsidP="00D35DD2">
      <w:pPr>
        <w:pStyle w:val="Headings1"/>
      </w:pPr>
      <w:bookmarkStart w:id="10" w:name="_Toc135665567"/>
      <w:r w:rsidRPr="00D35DD2">
        <w:lastRenderedPageBreak/>
        <w:t>Appendix A</w:t>
      </w:r>
      <w:r w:rsidR="00221FC9">
        <w:t>:</w:t>
      </w:r>
      <w:r w:rsidRPr="00D35DD2">
        <w:t xml:space="preserve"> Detailed literature review</w:t>
      </w:r>
      <w:bookmarkEnd w:id="10"/>
    </w:p>
    <w:p w14:paraId="55A0E7D7" w14:textId="77777777" w:rsidR="00C22375" w:rsidRDefault="00C22375" w:rsidP="00D35DD2">
      <w:pPr>
        <w:pStyle w:val="Majorheading"/>
      </w:pPr>
      <w:r>
        <w:t>Education in Remote and Complex Environments </w:t>
      </w:r>
    </w:p>
    <w:p w14:paraId="18EB0650" w14:textId="0A1A3745" w:rsidR="00C22375" w:rsidRDefault="00C22375" w:rsidP="00D35DD2">
      <w:pPr>
        <w:pStyle w:val="PwCNormal"/>
      </w:pPr>
      <w:r>
        <w:t xml:space="preserve">The </w:t>
      </w:r>
      <w:r>
        <w:rPr>
          <w:i/>
          <w:iCs/>
        </w:rPr>
        <w:t>Education in Remote and Complex Environments</w:t>
      </w:r>
      <w:r>
        <w:t xml:space="preserve"> report, released by the Standing Committee on Employment, Education and Training, examined how education meets the learning needs of students in RRR communities and how barriers in education can be overcome.</w:t>
      </w:r>
      <w:r w:rsidR="007F2E5C">
        <w:rPr>
          <w:rStyle w:val="FootnoteReference"/>
        </w:rPr>
        <w:footnoteReference w:id="25"/>
      </w:r>
      <w:r>
        <w:t xml:space="preserve"> Overall, the report aligns with findings presented in the </w:t>
      </w:r>
      <w:r>
        <w:rPr>
          <w:i/>
          <w:iCs/>
        </w:rPr>
        <w:t>Halsey Review</w:t>
      </w:r>
      <w:r>
        <w:t xml:space="preserve"> and the </w:t>
      </w:r>
      <w:r>
        <w:rPr>
          <w:i/>
          <w:iCs/>
        </w:rPr>
        <w:t>Napthine Review</w:t>
      </w:r>
      <w:r>
        <w:t xml:space="preserve">. With regards to VETDSS, the report found that “students who are located vast distances from major regional centres have limited or no access to VET pathways while remaining in their communities,” and that “the financial and emotional costs of relocating can be significant.” The report also highlighted some of the barriers to VET in RRR areas, namely geographical remoteness, capacity of RTOs to service remote communities, transport, </w:t>
      </w:r>
      <w:r w:rsidR="00F621B9">
        <w:t>licensing,</w:t>
      </w:r>
      <w:r>
        <w:t xml:space="preserve"> and thin markets. </w:t>
      </w:r>
    </w:p>
    <w:p w14:paraId="0B5DF16C" w14:textId="77777777" w:rsidR="00C22375" w:rsidRDefault="00C22375" w:rsidP="00D35DD2">
      <w:pPr>
        <w:pStyle w:val="PwCNormal"/>
      </w:pPr>
      <w:r>
        <w:t>While the report acknowledges that some work is being undertaken to address these barriers, it makes 14 recommendations to improve access to quality education and outcomes for RRR students. The recommendations most relevant to this stream of work are:</w:t>
      </w:r>
    </w:p>
    <w:p w14:paraId="2E038537" w14:textId="4B3E3B66" w:rsidR="00C22375" w:rsidRDefault="00C22375" w:rsidP="00D35DD2">
      <w:pPr>
        <w:pStyle w:val="ListBullet"/>
      </w:pPr>
      <w:r>
        <w:t>Improving access and affordability in RRR communities to services, including public transport, broadband and mobile phone reception</w:t>
      </w:r>
      <w:r w:rsidR="00221FC9">
        <w:t>; and</w:t>
      </w:r>
    </w:p>
    <w:p w14:paraId="581A65AC" w14:textId="212CE86D" w:rsidR="00C22375" w:rsidRDefault="00C22375" w:rsidP="00D35DD2">
      <w:pPr>
        <w:pStyle w:val="ListBullet"/>
      </w:pPr>
      <w:r>
        <w:t>Introducing new proposals in the National School Reform Agreement commencing in 2023, including a needs-based school funding model</w:t>
      </w:r>
      <w:r w:rsidR="00221FC9">
        <w:t>.</w:t>
      </w:r>
    </w:p>
    <w:p w14:paraId="07BB5765" w14:textId="77777777" w:rsidR="00C22375" w:rsidRDefault="00C22375" w:rsidP="00D35DD2">
      <w:pPr>
        <w:pStyle w:val="PwCNormal"/>
        <w:rPr>
          <w:rFonts w:ascii="Times New Roman" w:hAnsi="Times New Roman" w:cs="Times New Roman"/>
          <w:color w:val="auto"/>
          <w:sz w:val="24"/>
          <w:szCs w:val="24"/>
        </w:rPr>
      </w:pPr>
      <w:r>
        <w:t>These challenges and recommendations were explored through consultation with stakeholders from RRR areas of multiple jurisdictions and school sectors. </w:t>
      </w:r>
    </w:p>
    <w:p w14:paraId="39148459" w14:textId="77777777" w:rsidR="00C22375" w:rsidRDefault="00C22375" w:rsidP="00D35DD2">
      <w:pPr>
        <w:pStyle w:val="Majorheading"/>
      </w:pPr>
      <w:r>
        <w:t xml:space="preserve">Looking to the Future - Report of the review of senior secondary pathways into work, further </w:t>
      </w:r>
      <w:proofErr w:type="gramStart"/>
      <w:r>
        <w:t>education</w:t>
      </w:r>
      <w:proofErr w:type="gramEnd"/>
      <w:r>
        <w:t xml:space="preserve"> and training (</w:t>
      </w:r>
      <w:r>
        <w:rPr>
          <w:i/>
          <w:iCs/>
        </w:rPr>
        <w:t>Shergold Review</w:t>
      </w:r>
      <w:r>
        <w:t>)</w:t>
      </w:r>
    </w:p>
    <w:p w14:paraId="63262F2F" w14:textId="4681C0B1" w:rsidR="00C22375" w:rsidRDefault="00C22375" w:rsidP="00D35DD2">
      <w:pPr>
        <w:pStyle w:val="PwCNormal"/>
      </w:pPr>
      <w:r>
        <w:t xml:space="preserve">Released in 2020, the </w:t>
      </w:r>
      <w:r>
        <w:rPr>
          <w:i/>
          <w:iCs/>
        </w:rPr>
        <w:t>Shergold Review</w:t>
      </w:r>
      <w:r>
        <w:t xml:space="preserve"> examines the most appropriate way to support secondary students during their transition to work, further </w:t>
      </w:r>
      <w:r w:rsidR="00F621B9">
        <w:t>education,</w:t>
      </w:r>
      <w:r>
        <w:t xml:space="preserve"> or training.</w:t>
      </w:r>
      <w:r w:rsidR="007F2E5C">
        <w:rPr>
          <w:rStyle w:val="FootnoteReference"/>
        </w:rPr>
        <w:footnoteReference w:id="26"/>
      </w:r>
      <w:r>
        <w:t xml:space="preserve"> The report acknowledges the high emphasis on </w:t>
      </w:r>
      <w:r w:rsidR="00221FC9">
        <w:t>ATARs and</w:t>
      </w:r>
      <w:r>
        <w:t xml:space="preserve"> recommends a broader framework for secondary school students. </w:t>
      </w:r>
      <w:r w:rsidR="00F621B9">
        <w:t>Regarding</w:t>
      </w:r>
      <w:r>
        <w:t xml:space="preserve"> RRR students, the report suggests the establishment of a network of career hubs, with an initial focus on regional areas. This initiative would provide schools and students with the opportunity to connect with employers, information on the labour market, education and training information and independent career advice. These hubs would also become a single point for industry to connect with local schools and therefore streamline the industry engagement process. The report suggests that this network of career hubs would be particularly valuable in communities that lack networks, </w:t>
      </w:r>
      <w:r w:rsidR="00F621B9">
        <w:t>connections,</w:t>
      </w:r>
      <w:r>
        <w:t xml:space="preserve"> or infrastructure - including some RRR communities.</w:t>
      </w:r>
    </w:p>
    <w:p w14:paraId="4AED0AA5" w14:textId="77777777" w:rsidR="00C22375" w:rsidRDefault="00C22375" w:rsidP="00D35DD2">
      <w:pPr>
        <w:pStyle w:val="PwCNormal"/>
      </w:pPr>
      <w:r>
        <w:t>Other key findings from this report that are relevant to this stream of work include:</w:t>
      </w:r>
    </w:p>
    <w:p w14:paraId="02BE3D5A" w14:textId="77777777" w:rsidR="00C22375" w:rsidRDefault="00C22375" w:rsidP="00D35DD2">
      <w:pPr>
        <w:pStyle w:val="ListBullet"/>
      </w:pPr>
      <w:r>
        <w:t>Only 70% of RRR students accept their university offer, compared to 77% of metropolitan students. RRR students are also more likely to defer offers and less likely to complete tertiary education. Tertiary completion rates are 65.5% in metropolitan areas, 61.4% in inner regional areas, 58.5% in outer regional areas and 48.7% in remote areas. </w:t>
      </w:r>
    </w:p>
    <w:p w14:paraId="57445E44" w14:textId="77777777" w:rsidR="00C22375" w:rsidRDefault="00C22375" w:rsidP="00D35DD2">
      <w:pPr>
        <w:pStyle w:val="ListBullet"/>
      </w:pPr>
      <w:r>
        <w:t xml:space="preserve">Consultations with students in RRR areas highlighted their sentiments that they are prevented from pursuing their ambitions as they are unable to undertake </w:t>
      </w:r>
      <w:proofErr w:type="gramStart"/>
      <w:r>
        <w:t>electives</w:t>
      </w:r>
      <w:proofErr w:type="gramEnd"/>
      <w:r>
        <w:t xml:space="preserve"> they are passionate about, due to the lack of resources, teachers or fellow students who were also interested. </w:t>
      </w:r>
    </w:p>
    <w:p w14:paraId="74E135DD" w14:textId="77777777" w:rsidR="00C22375" w:rsidRDefault="00C22375" w:rsidP="00D35DD2">
      <w:pPr>
        <w:pStyle w:val="ListBullet"/>
      </w:pPr>
      <w:r>
        <w:lastRenderedPageBreak/>
        <w:t>RRR students, students with disabilities, students from low socioeconomic backgrounds and Indigenous students are more likely to engage with VET than higher education. For this reason, it is crucial that there is well-informed career advice readily available for parents and students from these backgrounds.</w:t>
      </w:r>
    </w:p>
    <w:p w14:paraId="7EDC43FC" w14:textId="77777777" w:rsidR="00C22375" w:rsidRDefault="00C22375" w:rsidP="00C22375">
      <w:pPr>
        <w:pStyle w:val="NormalWeb"/>
        <w:spacing w:before="0" w:beforeAutospacing="0" w:after="200" w:afterAutospacing="0"/>
      </w:pPr>
      <w:r>
        <w:rPr>
          <w:rFonts w:ascii="Arial" w:hAnsi="Arial" w:cs="Arial"/>
          <w:color w:val="000000"/>
          <w:sz w:val="20"/>
          <w:szCs w:val="20"/>
        </w:rPr>
        <w:t xml:space="preserve">The challenges and opportunities discussed in the </w:t>
      </w:r>
      <w:r>
        <w:rPr>
          <w:rFonts w:ascii="Arial" w:hAnsi="Arial" w:cs="Arial"/>
          <w:i/>
          <w:iCs/>
          <w:color w:val="000000"/>
          <w:sz w:val="20"/>
          <w:szCs w:val="20"/>
        </w:rPr>
        <w:t>Shergold Review</w:t>
      </w:r>
      <w:r>
        <w:rPr>
          <w:rFonts w:ascii="Arial" w:hAnsi="Arial" w:cs="Arial"/>
          <w:color w:val="000000"/>
          <w:sz w:val="20"/>
          <w:szCs w:val="20"/>
        </w:rPr>
        <w:t xml:space="preserve"> were tested in consultation with stakeholders.</w:t>
      </w:r>
    </w:p>
    <w:p w14:paraId="63291F8B" w14:textId="77777777" w:rsidR="00C22375" w:rsidRDefault="00C22375" w:rsidP="00D35DD2">
      <w:pPr>
        <w:pStyle w:val="Majorheading"/>
      </w:pPr>
      <w:r>
        <w:t>Strengthening Skills: Expert review of Australia’s VET system (</w:t>
      </w:r>
      <w:r>
        <w:rPr>
          <w:i/>
          <w:iCs/>
        </w:rPr>
        <w:t>Joyce Review</w:t>
      </w:r>
      <w:r>
        <w:t>) </w:t>
      </w:r>
    </w:p>
    <w:p w14:paraId="3BAC0138" w14:textId="7CB56D0C" w:rsidR="00C22375" w:rsidRDefault="00C22375" w:rsidP="00D35DD2">
      <w:pPr>
        <w:pStyle w:val="PwCNormal"/>
      </w:pPr>
      <w:r>
        <w:t xml:space="preserve">Published in 2019 and commissioned by the Commonwealth Government, the </w:t>
      </w:r>
      <w:r>
        <w:rPr>
          <w:i/>
          <w:iCs/>
        </w:rPr>
        <w:t>Joyce Review</w:t>
      </w:r>
      <w:r>
        <w:t xml:space="preserve"> presents an overview of the current VET system and determines how the VET system can better service the current and future needs of </w:t>
      </w:r>
      <w:r w:rsidR="00221FC9">
        <w:t>jobseekers</w:t>
      </w:r>
      <w:r>
        <w:t xml:space="preserve"> and employers.</w:t>
      </w:r>
      <w:r w:rsidR="007F2E5C">
        <w:rPr>
          <w:rStyle w:val="FootnoteReference"/>
        </w:rPr>
        <w:footnoteReference w:id="27"/>
      </w:r>
      <w:r>
        <w:t xml:space="preserve"> In total, the Review makes 71 separate recommendations around the six key areas, including clearer secondary school pathways and greater access for disadvantaged Australians. </w:t>
      </w:r>
    </w:p>
    <w:p w14:paraId="50B7A67F" w14:textId="77777777" w:rsidR="00C22375" w:rsidRDefault="00C22375" w:rsidP="00D35DD2">
      <w:pPr>
        <w:pStyle w:val="PwCNormal"/>
      </w:pPr>
      <w:r>
        <w:t>Specific recommendations which address the needs of RRR students include:</w:t>
      </w:r>
    </w:p>
    <w:p w14:paraId="307B3838" w14:textId="77777777" w:rsidR="00C22375" w:rsidRDefault="00C22375" w:rsidP="00D35DD2">
      <w:pPr>
        <w:pStyle w:val="ListBullet"/>
      </w:pPr>
      <w:r>
        <w:rPr>
          <w:u w:val="single"/>
        </w:rPr>
        <w:t>Recommendation 5.13:</w:t>
      </w:r>
      <w:r>
        <w:t xml:space="preserve"> Adapting the university-based regional study hub model for the VET sector. Regional study hubs would provide infrastructure and academic support for students studying via distance at partner universities or RTOs. Additionally, dedicated funding grants could be provided to encourage RTOs to offer training through the regional study hubs.</w:t>
      </w:r>
    </w:p>
    <w:p w14:paraId="02288D45" w14:textId="77777777" w:rsidR="00C22375" w:rsidRDefault="00C22375" w:rsidP="00D35DD2">
      <w:pPr>
        <w:pStyle w:val="ListBullet"/>
      </w:pPr>
      <w:r>
        <w:rPr>
          <w:u w:val="single"/>
        </w:rPr>
        <w:t>Recommendation 5.5:</w:t>
      </w:r>
      <w:r>
        <w:rPr>
          <w:b/>
          <w:bCs/>
        </w:rPr>
        <w:t xml:space="preserve"> </w:t>
      </w:r>
      <w:r>
        <w:t xml:space="preserve">Creating a new architecture in which the National Skills Commission would be responsible for, inter alia, determining nationally consistent subsidy loadings for rural and remote learners, Indigenous </w:t>
      </w:r>
      <w:proofErr w:type="gramStart"/>
      <w:r>
        <w:t>Australians</w:t>
      </w:r>
      <w:proofErr w:type="gramEnd"/>
      <w:r>
        <w:t xml:space="preserve"> and disadvantaged groups. </w:t>
      </w:r>
    </w:p>
    <w:p w14:paraId="68C04A22" w14:textId="77777777" w:rsidR="00C22375" w:rsidRDefault="00C22375" w:rsidP="00D35DD2">
      <w:pPr>
        <w:pStyle w:val="ListBullet"/>
      </w:pPr>
      <w:r>
        <w:rPr>
          <w:u w:val="single"/>
        </w:rPr>
        <w:t>Recommendation 5.6:</w:t>
      </w:r>
      <w:r>
        <w:rPr>
          <w:b/>
          <w:bCs/>
        </w:rPr>
        <w:t xml:space="preserve"> </w:t>
      </w:r>
      <w:r>
        <w:t>Creating a list of nationally consistent percentage loadings to account for differences in cost of delivery. As the Review notes, there is a higher cost of delivering VET in RRR areas. This needs to be recognised and accounted for to ensure that there continues to be high-quality and diverse training options offered in these markets. The Review suggests that for RRR areas, a percentage national loading on top of the national subsidy amount should be paid on a per-student or enrolment basis.</w:t>
      </w:r>
    </w:p>
    <w:p w14:paraId="33E8F1CA" w14:textId="77777777" w:rsidR="00C22375" w:rsidRDefault="00C22375" w:rsidP="00D35DD2">
      <w:pPr>
        <w:pStyle w:val="PwCNormal"/>
        <w:rPr>
          <w:rFonts w:ascii="Times New Roman" w:hAnsi="Times New Roman" w:cs="Times New Roman"/>
          <w:color w:val="auto"/>
          <w:sz w:val="24"/>
          <w:szCs w:val="24"/>
        </w:rPr>
      </w:pPr>
      <w:r>
        <w:t xml:space="preserve">The challenges of the VET sector more broadly that were raised in the </w:t>
      </w:r>
      <w:r>
        <w:rPr>
          <w:i/>
          <w:iCs/>
        </w:rPr>
        <w:t>Joyce Review</w:t>
      </w:r>
      <w:r>
        <w:t xml:space="preserve"> were tested with stakeholders throughout consultation, and in particular the relevance of these challenges to the VETDSS context was discussed. </w:t>
      </w:r>
    </w:p>
    <w:p w14:paraId="0A90B165" w14:textId="77777777" w:rsidR="00C22375" w:rsidRDefault="00C22375" w:rsidP="00D35DD2">
      <w:pPr>
        <w:pStyle w:val="Majorheading"/>
      </w:pPr>
      <w:r>
        <w:t>National Regional, Rural and Remote Tertiary Education Strategy (</w:t>
      </w:r>
      <w:r>
        <w:rPr>
          <w:i/>
          <w:iCs/>
        </w:rPr>
        <w:t>Napthine Review</w:t>
      </w:r>
      <w:r>
        <w:t>) </w:t>
      </w:r>
    </w:p>
    <w:p w14:paraId="6BF22F74" w14:textId="74137475" w:rsidR="00C22375" w:rsidRDefault="00C22375" w:rsidP="00D35DD2">
      <w:pPr>
        <w:pStyle w:val="PwCNormal"/>
      </w:pPr>
      <w:r>
        <w:t xml:space="preserve">Released in 2019, the </w:t>
      </w:r>
      <w:r>
        <w:rPr>
          <w:i/>
          <w:iCs/>
        </w:rPr>
        <w:t>Napthine Review</w:t>
      </w:r>
      <w:r>
        <w:t xml:space="preserve"> explores the need for a national strategy for RRR tertiary education and presents key findings on this topic, along with a plan for change and implementation strategy.</w:t>
      </w:r>
      <w:r w:rsidR="007F2E5C">
        <w:rPr>
          <w:rStyle w:val="FootnoteReference"/>
        </w:rPr>
        <w:footnoteReference w:id="28"/>
      </w:r>
      <w:r>
        <w:t xml:space="preserve"> The report sheds light on five key issues, namely:</w:t>
      </w:r>
    </w:p>
    <w:p w14:paraId="45136515" w14:textId="77777777" w:rsidR="00C22375" w:rsidRDefault="00C22375" w:rsidP="00D35DD2">
      <w:pPr>
        <w:pStyle w:val="ListNumber"/>
        <w:numPr>
          <w:ilvl w:val="0"/>
          <w:numId w:val="93"/>
        </w:numPr>
      </w:pPr>
      <w:r>
        <w:t xml:space="preserve">The lack of access, </w:t>
      </w:r>
      <w:proofErr w:type="gramStart"/>
      <w:r>
        <w:t>opportunity</w:t>
      </w:r>
      <w:proofErr w:type="gramEnd"/>
      <w:r>
        <w:t xml:space="preserve"> and choice in RRR areas due to the lack of tertiary education options.</w:t>
      </w:r>
    </w:p>
    <w:p w14:paraId="1419BEDB" w14:textId="77777777" w:rsidR="00C22375" w:rsidRDefault="00C22375" w:rsidP="00D35DD2">
      <w:pPr>
        <w:pStyle w:val="ListNumber"/>
      </w:pPr>
      <w:r>
        <w:t>The insufficient levels of support for RRR students who want to participate in tertiary education including, but not limited to, financial support.</w:t>
      </w:r>
    </w:p>
    <w:p w14:paraId="3ABBA470" w14:textId="77777777" w:rsidR="00C22375" w:rsidRDefault="00C22375" w:rsidP="00D35DD2">
      <w:pPr>
        <w:pStyle w:val="ListNumber"/>
      </w:pPr>
      <w:r>
        <w:t>RRR students being hampered by additional challenges and receiving insufficient preparation for tertiary education, which strongly impacts their aspirations.</w:t>
      </w:r>
    </w:p>
    <w:p w14:paraId="4BA01E19" w14:textId="77777777" w:rsidR="00C22375" w:rsidRDefault="00C22375" w:rsidP="00D35DD2">
      <w:pPr>
        <w:pStyle w:val="ListNumber"/>
      </w:pPr>
      <w:r>
        <w:t>The inadequate targeted support for underrepresented groups, for example, low socioeconomic status students, Indigenous Australians, students with disability and remote students. These students experience the compounding of multiple challenges, which strongly impacts their learning.</w:t>
      </w:r>
    </w:p>
    <w:p w14:paraId="58AF94E0" w14:textId="77777777" w:rsidR="00C22375" w:rsidRDefault="00C22375" w:rsidP="00D35DD2">
      <w:pPr>
        <w:pStyle w:val="ListNumber"/>
      </w:pPr>
      <w:r>
        <w:t>The contribution of RRR areas is not being maximised, including the capacity of education institutions.</w:t>
      </w:r>
    </w:p>
    <w:p w14:paraId="62EF2F83" w14:textId="77777777" w:rsidR="00C22375" w:rsidRDefault="00C22375" w:rsidP="00D35DD2">
      <w:pPr>
        <w:pStyle w:val="PwCNormal"/>
        <w:rPr>
          <w:rFonts w:ascii="Times New Roman" w:hAnsi="Times New Roman" w:cs="Times New Roman"/>
          <w:color w:val="auto"/>
          <w:sz w:val="24"/>
          <w:szCs w:val="24"/>
        </w:rPr>
      </w:pPr>
      <w:r>
        <w:t xml:space="preserve">The report details seven recommendations and 33 related actions, which together aim to reduce the additional barriers faced by students in RRR areas. The </w:t>
      </w:r>
      <w:r>
        <w:rPr>
          <w:i/>
          <w:iCs/>
        </w:rPr>
        <w:t>Napthine Review</w:t>
      </w:r>
      <w:r>
        <w:t xml:space="preserve"> cautions that no single action can solve the education challenge in </w:t>
      </w:r>
      <w:r>
        <w:lastRenderedPageBreak/>
        <w:t>RRR areas on its own. Rather, a combination of actions taken together will “shift the tide.” The recommendations most relevant to this stream of work are listed below: </w:t>
      </w:r>
    </w:p>
    <w:p w14:paraId="0CFEA223" w14:textId="77777777" w:rsidR="00C22375" w:rsidRDefault="00C22375" w:rsidP="00D35DD2">
      <w:pPr>
        <w:pStyle w:val="ListBullet"/>
      </w:pPr>
      <w:r>
        <w:rPr>
          <w:u w:val="single"/>
        </w:rPr>
        <w:t>Recommendation one:</w:t>
      </w:r>
      <w:r>
        <w:rPr>
          <w:b/>
          <w:bCs/>
        </w:rPr>
        <w:t xml:space="preserve"> </w:t>
      </w:r>
      <w:r>
        <w:t>Improve access to tertiary study options for students in RRR areas by:</w:t>
      </w:r>
    </w:p>
    <w:p w14:paraId="1F9EE19F" w14:textId="77777777" w:rsidR="00C22375" w:rsidRDefault="00C22375" w:rsidP="00D35DD2">
      <w:pPr>
        <w:pStyle w:val="ListBullet2"/>
      </w:pPr>
      <w:r>
        <w:t>Expanding access to Regional Study Hubs</w:t>
      </w:r>
    </w:p>
    <w:p w14:paraId="2D42607D" w14:textId="77777777" w:rsidR="00C22375" w:rsidRDefault="00C22375" w:rsidP="00D35DD2">
      <w:pPr>
        <w:pStyle w:val="ListBullet2"/>
      </w:pPr>
      <w:r>
        <w:t>Addressing problems with student access to affordable, reliable, high speed internet services </w:t>
      </w:r>
    </w:p>
    <w:p w14:paraId="667C5913" w14:textId="77777777" w:rsidR="00C22375" w:rsidRDefault="00C22375" w:rsidP="00D35DD2">
      <w:pPr>
        <w:pStyle w:val="ListBullet2"/>
      </w:pPr>
      <w:r>
        <w:t>Improving access to high quality VET programs</w:t>
      </w:r>
    </w:p>
    <w:p w14:paraId="4B721A8C" w14:textId="77777777" w:rsidR="00C22375" w:rsidRDefault="00C22375" w:rsidP="00D35DD2">
      <w:pPr>
        <w:pStyle w:val="ListBullet"/>
      </w:pPr>
      <w:r>
        <w:rPr>
          <w:u w:val="single"/>
        </w:rPr>
        <w:t>Recommendation four:</w:t>
      </w:r>
      <w:r>
        <w:rPr>
          <w:b/>
          <w:bCs/>
        </w:rPr>
        <w:t xml:space="preserve"> </w:t>
      </w:r>
      <w:r>
        <w:t xml:space="preserve">Build aspiration, improve career </w:t>
      </w:r>
      <w:proofErr w:type="gramStart"/>
      <w:r>
        <w:t>advice</w:t>
      </w:r>
      <w:proofErr w:type="gramEnd"/>
      <w:r>
        <w:t xml:space="preserve"> and strengthen RRR schools to better prepare RRR students for success by:</w:t>
      </w:r>
    </w:p>
    <w:p w14:paraId="7371553B" w14:textId="1A6B5984" w:rsidR="00C22375" w:rsidRDefault="00C22375" w:rsidP="00D35DD2">
      <w:pPr>
        <w:pStyle w:val="ListBullet2"/>
      </w:pPr>
      <w:r>
        <w:t xml:space="preserve">Implementing a </w:t>
      </w:r>
      <w:r w:rsidR="00221FC9">
        <w:t>regionally based</w:t>
      </w:r>
      <w:r>
        <w:t xml:space="preserve"> model for independent, professional career advice</w:t>
      </w:r>
    </w:p>
    <w:p w14:paraId="5DDFB99C" w14:textId="77777777" w:rsidR="00C22375" w:rsidRDefault="00C22375" w:rsidP="00D35DD2">
      <w:pPr>
        <w:pStyle w:val="ListBullet2"/>
      </w:pPr>
      <w:r>
        <w:t>Improving online career related information and advice</w:t>
      </w:r>
    </w:p>
    <w:p w14:paraId="6AE07534" w14:textId="77777777" w:rsidR="00C22375" w:rsidRDefault="00C22375" w:rsidP="00D35DD2">
      <w:pPr>
        <w:pStyle w:val="ListBullet2"/>
      </w:pPr>
      <w:r>
        <w:t>Establishing aspiration-raising initiatives for VET</w:t>
      </w:r>
    </w:p>
    <w:p w14:paraId="3FFD3C6F" w14:textId="77777777" w:rsidR="00C22375" w:rsidRDefault="00C22375" w:rsidP="00D35DD2">
      <w:pPr>
        <w:pStyle w:val="ListBullet2"/>
      </w:pPr>
      <w:r>
        <w:t>Expanding access to high quality VET programs in RRR schools</w:t>
      </w:r>
    </w:p>
    <w:p w14:paraId="71044191" w14:textId="77777777" w:rsidR="00C22375" w:rsidRDefault="00C22375" w:rsidP="00D35DD2">
      <w:pPr>
        <w:pStyle w:val="ListBullet2"/>
      </w:pPr>
      <w:r>
        <w:t>Undertaking further work to improve RRR schools and Year 12 completion rates</w:t>
      </w:r>
    </w:p>
    <w:p w14:paraId="4B54504F" w14:textId="77777777" w:rsidR="00C22375" w:rsidRDefault="00C22375" w:rsidP="00D35DD2">
      <w:pPr>
        <w:pStyle w:val="ListBullet2"/>
      </w:pPr>
      <w:r>
        <w:t xml:space="preserve">Improving support available to teachers, </w:t>
      </w:r>
      <w:proofErr w:type="gramStart"/>
      <w:r>
        <w:t>principals</w:t>
      </w:r>
      <w:proofErr w:type="gramEnd"/>
      <w:r>
        <w:t xml:space="preserve"> and school leaders</w:t>
      </w:r>
    </w:p>
    <w:p w14:paraId="7C99D19E" w14:textId="77777777" w:rsidR="00C22375" w:rsidRDefault="00C22375" w:rsidP="00D35DD2">
      <w:pPr>
        <w:pStyle w:val="ListBullet"/>
      </w:pPr>
      <w:r>
        <w:rPr>
          <w:u w:val="single"/>
        </w:rPr>
        <w:t>Recommendation five:</w:t>
      </w:r>
      <w:r>
        <w:rPr>
          <w:b/>
          <w:bCs/>
        </w:rPr>
        <w:t xml:space="preserve"> </w:t>
      </w:r>
      <w:r>
        <w:t>Improve participation and outcomes for RRR students from equity groups including Indigenous students, students with disability and remote students by:</w:t>
      </w:r>
    </w:p>
    <w:p w14:paraId="340BA252" w14:textId="77777777" w:rsidR="00C22375" w:rsidRDefault="00C22375" w:rsidP="00D35DD2">
      <w:pPr>
        <w:pStyle w:val="ListBullet2"/>
      </w:pPr>
      <w:r>
        <w:t>Modifying the Higher Education Participation and Partnerships Program (HEPPP) to better target funding to cost effective RRR programs</w:t>
      </w:r>
    </w:p>
    <w:p w14:paraId="3D5EEA72" w14:textId="77777777" w:rsidR="00C22375" w:rsidRDefault="00C22375" w:rsidP="00D35DD2">
      <w:pPr>
        <w:pStyle w:val="ListBullet2"/>
        <w:rPr>
          <w:rFonts w:ascii="Arial" w:hAnsi="Arial"/>
          <w:color w:val="000000"/>
          <w:sz w:val="20"/>
        </w:rPr>
      </w:pPr>
      <w:r>
        <w:rPr>
          <w:rFonts w:ascii="Arial" w:hAnsi="Arial"/>
          <w:color w:val="000000"/>
          <w:sz w:val="20"/>
        </w:rPr>
        <w:t>Establishing tailored initiatives for equity groups and those experiencing hardship</w:t>
      </w:r>
    </w:p>
    <w:p w14:paraId="405EA946" w14:textId="49357F97" w:rsidR="00C22375" w:rsidRPr="00D35DD2" w:rsidRDefault="00C22375" w:rsidP="00D35DD2">
      <w:pPr>
        <w:pStyle w:val="PwCNormal"/>
        <w:rPr>
          <w:rFonts w:ascii="Times New Roman" w:hAnsi="Times New Roman" w:cs="Times New Roman"/>
          <w:color w:val="auto"/>
          <w:sz w:val="24"/>
          <w:szCs w:val="24"/>
        </w:rPr>
      </w:pPr>
      <w:r>
        <w:t xml:space="preserve">These recommendations, as well as the five key issues identified in the </w:t>
      </w:r>
      <w:r>
        <w:rPr>
          <w:i/>
          <w:iCs/>
        </w:rPr>
        <w:t>Napthine Review</w:t>
      </w:r>
      <w:r>
        <w:t>, were tested throughout consultation.</w:t>
      </w:r>
    </w:p>
    <w:p w14:paraId="0A90C3EA" w14:textId="77777777" w:rsidR="00C22375" w:rsidRDefault="00C22375" w:rsidP="00D35DD2">
      <w:pPr>
        <w:pStyle w:val="Majorheading"/>
      </w:pPr>
      <w:r>
        <w:t>Through Growth to Achievement: Report of the Review to Achieve Educational Excellence in Australian Schools</w:t>
      </w:r>
    </w:p>
    <w:p w14:paraId="6EB8A78B" w14:textId="6E6E99B7" w:rsidR="00C22375" w:rsidRDefault="00C22375" w:rsidP="00D35DD2">
      <w:pPr>
        <w:pStyle w:val="PwCNormal"/>
      </w:pPr>
      <w:r>
        <w:t xml:space="preserve">The </w:t>
      </w:r>
      <w:r>
        <w:rPr>
          <w:i/>
          <w:iCs/>
        </w:rPr>
        <w:t xml:space="preserve">Through Growth to Achievement </w:t>
      </w:r>
      <w:r>
        <w:t>report</w:t>
      </w:r>
      <w:r>
        <w:rPr>
          <w:i/>
          <w:iCs/>
        </w:rPr>
        <w:t xml:space="preserve"> </w:t>
      </w:r>
      <w:r>
        <w:t>is a Commonwealth publication and review, designed to provide advice on how to improve student achievement and school performance.</w:t>
      </w:r>
      <w:r w:rsidR="007F2E5C">
        <w:rPr>
          <w:rStyle w:val="FootnoteReference"/>
        </w:rPr>
        <w:footnoteReference w:id="29"/>
      </w:r>
      <w:r>
        <w:t xml:space="preserve"> One of the key acknowledgements in the review is that academic performance has declined when compared to other Organisation for Economic Co-operation and Development (OECD) countries, suggesting that Australian students and schools are not improving at the same rate and are falling short of achieving their full learning potential.</w:t>
      </w:r>
    </w:p>
    <w:p w14:paraId="3D0080E6" w14:textId="77777777" w:rsidR="00C22375" w:rsidRDefault="00C22375" w:rsidP="00D35DD2">
      <w:pPr>
        <w:pStyle w:val="PwCNormal"/>
      </w:pPr>
      <w:r>
        <w:t>With regards to students in RRR areas, the report found the following: </w:t>
      </w:r>
    </w:p>
    <w:p w14:paraId="575DC5B4" w14:textId="77777777" w:rsidR="00C22375" w:rsidRDefault="00C22375" w:rsidP="00D35DD2">
      <w:pPr>
        <w:pStyle w:val="ListBullet"/>
      </w:pPr>
      <w:r>
        <w:rPr>
          <w:u w:val="single"/>
        </w:rPr>
        <w:t>Staff shortages in RRR schools:</w:t>
      </w:r>
      <w:r>
        <w:t xml:space="preserve"> Schools in rural, </w:t>
      </w:r>
      <w:proofErr w:type="gramStart"/>
      <w:r>
        <w:t>remote</w:t>
      </w:r>
      <w:proofErr w:type="gramEnd"/>
      <w:r>
        <w:t xml:space="preserve"> and low socio-economic status areas have reported difficulties in filling vacancies and attracting high-quality teachers. It is important that teacher shortages are addressed to ensure all classrooms are fronted by teachers with the skills and knowledge required to promote student growth. Some jurisdictions have created targeted programs </w:t>
      </w:r>
      <w:proofErr w:type="gramStart"/>
      <w:r>
        <w:t>in an attempt to</w:t>
      </w:r>
      <w:proofErr w:type="gramEnd"/>
      <w:r>
        <w:t xml:space="preserve"> attract new teachers to work in schools with persistent vacancies, including those in RRR areas. For example, the NSW Teach Rural Scholarship offers university students in teacher education courses a subsidy to study and a full-time job after graduation on the condition they teach in a public school in rural or remote part of NSW for at least 3 years. </w:t>
      </w:r>
    </w:p>
    <w:p w14:paraId="4376758A" w14:textId="77777777" w:rsidR="00C22375" w:rsidRDefault="00C22375" w:rsidP="00D35DD2">
      <w:pPr>
        <w:pStyle w:val="ListBullet"/>
      </w:pPr>
      <w:r>
        <w:rPr>
          <w:u w:val="single"/>
        </w:rPr>
        <w:t>Quality partnerships to deepen community engagement:</w:t>
      </w:r>
      <w:r>
        <w:rPr>
          <w:b/>
          <w:bCs/>
        </w:rPr>
        <w:t xml:space="preserve"> </w:t>
      </w:r>
      <w:r>
        <w:t xml:space="preserve">School-community engagement to improve student learning is ad hoc across Australia and there are limitations </w:t>
      </w:r>
      <w:proofErr w:type="gramStart"/>
      <w:r>
        <w:t>with regard to</w:t>
      </w:r>
      <w:proofErr w:type="gramEnd"/>
      <w:r>
        <w:t xml:space="preserve"> a lack of resources and risks associated with off-site learning. The report suggests that the uptake of school-community engagement can be encouraged </w:t>
      </w:r>
      <w:proofErr w:type="gramStart"/>
      <w:r>
        <w:t>through the use of</w:t>
      </w:r>
      <w:proofErr w:type="gramEnd"/>
      <w:r>
        <w:t xml:space="preserve"> </w:t>
      </w:r>
      <w:r>
        <w:lastRenderedPageBreak/>
        <w:t>brokers. Brokers can provide support in making connections, building networks, developing partnering skills and providing tailored support. The report suggests that brokers can play a valuable role in communities that lack the networks and connections to support young people, including those in RRR areas. </w:t>
      </w:r>
    </w:p>
    <w:p w14:paraId="3287FF3B" w14:textId="77777777" w:rsidR="00C22375" w:rsidRDefault="00C22375" w:rsidP="00D35DD2">
      <w:pPr>
        <w:pStyle w:val="PwCNormal"/>
        <w:rPr>
          <w:rFonts w:ascii="Times New Roman" w:hAnsi="Times New Roman" w:cs="Times New Roman"/>
          <w:color w:val="auto"/>
          <w:sz w:val="24"/>
          <w:szCs w:val="24"/>
        </w:rPr>
      </w:pPr>
      <w:r>
        <w:t>Commentary and feedback regarding both staff shortages and school-community partnerships was sought from stakeholders, particularly those with on-the-ground experience in RRR areas. </w:t>
      </w:r>
    </w:p>
    <w:p w14:paraId="26575AF1" w14:textId="77777777" w:rsidR="00C22375" w:rsidRDefault="00C22375" w:rsidP="00D35DD2">
      <w:pPr>
        <w:pStyle w:val="Majorheading"/>
      </w:pPr>
      <w:r>
        <w:t>Independent Review into Regional, Rural and Remote Education (</w:t>
      </w:r>
      <w:r>
        <w:rPr>
          <w:i/>
          <w:iCs/>
        </w:rPr>
        <w:t>Halsey Review</w:t>
      </w:r>
      <w:r>
        <w:t>) </w:t>
      </w:r>
    </w:p>
    <w:p w14:paraId="0048A799" w14:textId="15E40E13" w:rsidR="00C22375" w:rsidRDefault="00C22375" w:rsidP="00D35DD2">
      <w:pPr>
        <w:pStyle w:val="PwCNormal"/>
      </w:pPr>
      <w:r>
        <w:t xml:space="preserve">Published in 2018, the </w:t>
      </w:r>
      <w:r>
        <w:rPr>
          <w:i/>
          <w:iCs/>
        </w:rPr>
        <w:t xml:space="preserve">Halsey Review </w:t>
      </w:r>
      <w:r>
        <w:t xml:space="preserve">considers the key issues that impact the learning outcomes of RRR students and identifies innovative approaches to support improved access to and achievement of these students in school and in their transition to further study, </w:t>
      </w:r>
      <w:proofErr w:type="gramStart"/>
      <w:r>
        <w:t>training</w:t>
      </w:r>
      <w:proofErr w:type="gramEnd"/>
      <w:r>
        <w:t xml:space="preserve"> and employment.</w:t>
      </w:r>
      <w:r w:rsidR="007F2E5C">
        <w:rPr>
          <w:rStyle w:val="FootnoteReference"/>
        </w:rPr>
        <w:footnoteReference w:id="30"/>
      </w:r>
      <w:r>
        <w:t> </w:t>
      </w:r>
    </w:p>
    <w:p w14:paraId="7E52361A" w14:textId="707A8343" w:rsidR="00C22375" w:rsidRDefault="00C22375" w:rsidP="00D35DD2">
      <w:pPr>
        <w:pStyle w:val="PwCNormal"/>
      </w:pPr>
      <w:r>
        <w:t xml:space="preserve">With regards to VETDSS, the Review highlighted the challenges of RRR delivery including “distance, low numbers, thin markets, availability, access and costs.” The Review suggests that there are </w:t>
      </w:r>
      <w:r w:rsidR="00221FC9">
        <w:t>values-based</w:t>
      </w:r>
      <w:r>
        <w:t xml:space="preserve"> issues that limit the availability and uptake of VET programs in schools, including the perceived dominance of and preference for a university pathway. </w:t>
      </w:r>
    </w:p>
    <w:p w14:paraId="32F27304" w14:textId="77777777" w:rsidR="00C22375" w:rsidRDefault="00C22375" w:rsidP="00D35DD2">
      <w:pPr>
        <w:pStyle w:val="PwCNormal"/>
      </w:pPr>
      <w:r>
        <w:t xml:space="preserve">The Review made eleven recommendations, with those of </w:t>
      </w:r>
      <w:proofErr w:type="gramStart"/>
      <w:r>
        <w:t>particular relevance</w:t>
      </w:r>
      <w:proofErr w:type="gramEnd"/>
      <w:r>
        <w:t xml:space="preserve"> to this stream of work listed below: </w:t>
      </w:r>
    </w:p>
    <w:p w14:paraId="1A333427" w14:textId="58634823" w:rsidR="00C22375" w:rsidRDefault="00C22375" w:rsidP="00D35DD2">
      <w:pPr>
        <w:pStyle w:val="ListBullet"/>
      </w:pPr>
      <w:r>
        <w:t xml:space="preserve">Expand the availability, affordability and accessibility of </w:t>
      </w:r>
      <w:r w:rsidR="00221FC9">
        <w:t>high-quality</w:t>
      </w:r>
      <w:r>
        <w:t xml:space="preserve"> work experience placements, </w:t>
      </w:r>
      <w:proofErr w:type="gramStart"/>
      <w:r>
        <w:t>VET</w:t>
      </w:r>
      <w:proofErr w:type="gramEnd"/>
      <w:r>
        <w:t xml:space="preserve"> and dual VET/university options for RRR students.</w:t>
      </w:r>
    </w:p>
    <w:p w14:paraId="39646B86" w14:textId="77777777" w:rsidR="00C22375" w:rsidRDefault="00C22375" w:rsidP="00D35DD2">
      <w:pPr>
        <w:pStyle w:val="ListBullet"/>
      </w:pPr>
      <w:r>
        <w:t xml:space="preserve">Support RRR students to make successful transitions from school to university, training, </w:t>
      </w:r>
      <w:proofErr w:type="gramStart"/>
      <w:r>
        <w:t>employment</w:t>
      </w:r>
      <w:proofErr w:type="gramEnd"/>
      <w:r>
        <w:t xml:space="preserve"> or a combination thereof. </w:t>
      </w:r>
    </w:p>
    <w:p w14:paraId="5C7DC5BA" w14:textId="77777777" w:rsidR="00C22375" w:rsidRDefault="00C22375" w:rsidP="00D35DD2">
      <w:pPr>
        <w:pStyle w:val="ListBullet"/>
      </w:pPr>
      <w:r>
        <w:t xml:space="preserve">Improve the availability, </w:t>
      </w:r>
      <w:proofErr w:type="gramStart"/>
      <w:r>
        <w:t>accessibility</w:t>
      </w:r>
      <w:proofErr w:type="gramEnd"/>
      <w:r>
        <w:t xml:space="preserve"> and affordability of ICT for RRR schools, teachers, students, parents and communities.</w:t>
      </w:r>
    </w:p>
    <w:p w14:paraId="60174670" w14:textId="77777777" w:rsidR="00C22375" w:rsidRDefault="00C22375" w:rsidP="00D35DD2">
      <w:pPr>
        <w:pStyle w:val="ListBullet"/>
      </w:pPr>
      <w:r>
        <w:t>Support RRR communities to implement innovative approaches to education delivery design to improve education access and outcomes for students living in remote communities. </w:t>
      </w:r>
    </w:p>
    <w:p w14:paraId="77F616AB" w14:textId="77777777" w:rsidR="00C22375" w:rsidRDefault="00C22375" w:rsidP="00D35DD2">
      <w:pPr>
        <w:pStyle w:val="PwCNormal"/>
        <w:rPr>
          <w:rFonts w:ascii="Times New Roman" w:hAnsi="Times New Roman" w:cs="Times New Roman"/>
          <w:color w:val="auto"/>
          <w:sz w:val="24"/>
          <w:szCs w:val="24"/>
        </w:rPr>
      </w:pPr>
      <w:r>
        <w:t>These challenges and recommendations were tested with stakeholders throughout consultation.</w:t>
      </w:r>
    </w:p>
    <w:p w14:paraId="02939DA7" w14:textId="77777777" w:rsidR="00C22375" w:rsidRDefault="00C22375" w:rsidP="000E7E78">
      <w:pPr>
        <w:pStyle w:val="PwCNormal"/>
        <w:numPr>
          <w:ilvl w:val="0"/>
          <w:numId w:val="0"/>
        </w:numPr>
      </w:pPr>
    </w:p>
    <w:p w14:paraId="49223218" w14:textId="77777777" w:rsidR="00C22375" w:rsidRDefault="00C22375" w:rsidP="000E7E78">
      <w:pPr>
        <w:pStyle w:val="PwCNormal"/>
        <w:numPr>
          <w:ilvl w:val="0"/>
          <w:numId w:val="0"/>
        </w:numPr>
      </w:pPr>
    </w:p>
    <w:p w14:paraId="0AF17760" w14:textId="6F7FEF09" w:rsidR="00E006EC" w:rsidRPr="00D35DD2" w:rsidRDefault="00E006EC" w:rsidP="00D35DD2">
      <w:pPr>
        <w:pStyle w:val="Headings1"/>
      </w:pPr>
      <w:bookmarkStart w:id="11" w:name="_Toc135665568"/>
      <w:r w:rsidRPr="00D35DD2">
        <w:lastRenderedPageBreak/>
        <w:t xml:space="preserve">Appendix </w:t>
      </w:r>
      <w:r w:rsidR="006F5B5F">
        <w:t>B</w:t>
      </w:r>
      <w:r w:rsidR="00221FC9">
        <w:t>:</w:t>
      </w:r>
      <w:r w:rsidRPr="00D35DD2">
        <w:t xml:space="preserve"> Stakeholder register</w:t>
      </w:r>
      <w:bookmarkEnd w:id="11"/>
    </w:p>
    <w:p w14:paraId="42A2B741" w14:textId="77777777" w:rsidR="00E006EC" w:rsidRPr="00E006EC" w:rsidRDefault="00E006EC" w:rsidP="00E006EC">
      <w:pPr>
        <w:pStyle w:val="NormalWeb"/>
        <w:spacing w:before="0" w:beforeAutospacing="0" w:after="120" w:afterAutospacing="0"/>
        <w:textAlignment w:val="baseline"/>
        <w:rPr>
          <w:rFonts w:ascii="Arial" w:hAnsi="Arial" w:cs="Arial"/>
          <w:color w:val="000000"/>
          <w:sz w:val="16"/>
          <w:szCs w:val="16"/>
        </w:rPr>
      </w:pPr>
    </w:p>
    <w:p w14:paraId="281181E8" w14:textId="173C4756" w:rsidR="006F5B5F" w:rsidRPr="00D906AE" w:rsidRDefault="006F5B5F" w:rsidP="00D35DD2">
      <w:pPr>
        <w:pStyle w:val="PwCNormal"/>
        <w:rPr>
          <w:sz w:val="16"/>
          <w:szCs w:val="16"/>
        </w:rPr>
      </w:pPr>
      <w:r>
        <w:rPr>
          <w:sz w:val="16"/>
          <w:szCs w:val="16"/>
        </w:rPr>
        <w:t>We would like to thank the following stakeholders for their contributions to this report.</w:t>
      </w:r>
    </w:p>
    <w:p w14:paraId="12EE17B9" w14:textId="62A4DC18" w:rsidR="00574F6F" w:rsidRPr="006F5B5F" w:rsidRDefault="00E006EC" w:rsidP="006F5B5F">
      <w:pPr>
        <w:pStyle w:val="Minorheading"/>
        <w:rPr>
          <w:color w:val="000000"/>
          <w:szCs w:val="20"/>
        </w:rPr>
      </w:pPr>
      <w:r>
        <w:t xml:space="preserve">Table </w:t>
      </w:r>
      <w:r w:rsidR="00AE1867">
        <w:t>4</w:t>
      </w:r>
      <w:r>
        <w:t xml:space="preserve"> - Stakeholder register</w:t>
      </w:r>
    </w:p>
    <w:tbl>
      <w:tblPr>
        <w:tblStyle w:val="GridTable4-Accent6"/>
        <w:tblW w:w="0" w:type="auto"/>
        <w:tblLook w:val="04A0" w:firstRow="1" w:lastRow="0" w:firstColumn="1" w:lastColumn="0" w:noHBand="0" w:noVBand="1"/>
      </w:tblPr>
      <w:tblGrid>
        <w:gridCol w:w="4627"/>
        <w:gridCol w:w="5228"/>
      </w:tblGrid>
      <w:tr w:rsidR="006F5B5F" w14:paraId="7F935128" w14:textId="77777777" w:rsidTr="00A77C50">
        <w:trPr>
          <w:cnfStyle w:val="100000000000" w:firstRow="1" w:lastRow="0" w:firstColumn="0" w:lastColumn="0" w:oddVBand="0" w:evenVBand="0" w:oddHBand="0"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0" w:type="auto"/>
          </w:tcPr>
          <w:p w14:paraId="740B0515" w14:textId="07D1EADD" w:rsidR="006F5B5F" w:rsidRPr="006F5B5F" w:rsidRDefault="006F5B5F" w:rsidP="006F5B5F">
            <w:pPr>
              <w:pStyle w:val="PwCNormal-Single"/>
              <w:rPr>
                <w:rFonts w:ascii="Times New Roman" w:hAnsi="Times New Roman" w:cs="Times New Roman"/>
                <w:b w:val="0"/>
                <w:bCs w:val="0"/>
                <w:color w:val="FFFFFF" w:themeColor="background1"/>
                <w:sz w:val="24"/>
                <w:szCs w:val="24"/>
              </w:rPr>
            </w:pPr>
            <w:r w:rsidRPr="006F5B5F">
              <w:rPr>
                <w:b w:val="0"/>
                <w:bCs w:val="0"/>
                <w:color w:val="FFFFFF" w:themeColor="background1"/>
              </w:rPr>
              <w:t>Name</w:t>
            </w:r>
          </w:p>
        </w:tc>
        <w:tc>
          <w:tcPr>
            <w:tcW w:w="0" w:type="auto"/>
          </w:tcPr>
          <w:p w14:paraId="4CC6BED2" w14:textId="299DB2BE" w:rsidR="006F5B5F" w:rsidRPr="006F5B5F" w:rsidRDefault="006F5B5F" w:rsidP="006F5B5F">
            <w:pPr>
              <w:pStyle w:val="PwCNormal-Single"/>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6F5B5F">
              <w:rPr>
                <w:b w:val="0"/>
                <w:bCs w:val="0"/>
                <w:color w:val="FFFFFF" w:themeColor="background1"/>
              </w:rPr>
              <w:t>Organisation</w:t>
            </w:r>
          </w:p>
        </w:tc>
      </w:tr>
      <w:tr w:rsidR="006F5B5F" w14:paraId="428CB537" w14:textId="77777777" w:rsidTr="00A77C50">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0" w:type="auto"/>
          </w:tcPr>
          <w:p w14:paraId="519D67B0" w14:textId="438969E7" w:rsidR="006F5B5F" w:rsidRDefault="006F5B5F" w:rsidP="006F5B5F">
            <w:pPr>
              <w:pStyle w:val="PwCNormal-Single"/>
            </w:pPr>
            <w:r>
              <w:rPr>
                <w:color w:val="000000"/>
              </w:rPr>
              <w:t>Abby Duruz</w:t>
            </w:r>
          </w:p>
        </w:tc>
        <w:tc>
          <w:tcPr>
            <w:tcW w:w="0" w:type="auto"/>
          </w:tcPr>
          <w:p w14:paraId="6D647941" w14:textId="7F2AC366" w:rsidR="006F5B5F" w:rsidRPr="00A77C50" w:rsidRDefault="006F5B5F" w:rsidP="006F5B5F">
            <w:pPr>
              <w:pStyle w:val="PwCNormal-Single"/>
              <w:cnfStyle w:val="000000100000" w:firstRow="0" w:lastRow="0" w:firstColumn="0" w:lastColumn="0" w:oddVBand="0" w:evenVBand="0" w:oddHBand="1" w:evenHBand="0" w:firstRowFirstColumn="0" w:firstRowLastColumn="0" w:lastRowFirstColumn="0" w:lastRowLastColumn="0"/>
            </w:pPr>
            <w:r w:rsidRPr="00A77C50">
              <w:rPr>
                <w:color w:val="000000"/>
              </w:rPr>
              <w:t>TAFE NSW</w:t>
            </w:r>
          </w:p>
        </w:tc>
      </w:tr>
      <w:tr w:rsidR="006F5B5F" w14:paraId="432B9E56" w14:textId="77777777" w:rsidTr="00A77C50">
        <w:trPr>
          <w:trHeight w:val="423"/>
        </w:trPr>
        <w:tc>
          <w:tcPr>
            <w:cnfStyle w:val="001000000000" w:firstRow="0" w:lastRow="0" w:firstColumn="1" w:lastColumn="0" w:oddVBand="0" w:evenVBand="0" w:oddHBand="0" w:evenHBand="0" w:firstRowFirstColumn="0" w:firstRowLastColumn="0" w:lastRowFirstColumn="0" w:lastRowLastColumn="0"/>
            <w:tcW w:w="0" w:type="auto"/>
          </w:tcPr>
          <w:p w14:paraId="2B10C989" w14:textId="0BA7CF3F" w:rsidR="006F5B5F" w:rsidRDefault="006F5B5F" w:rsidP="006F5B5F">
            <w:pPr>
              <w:pStyle w:val="PwCNormal-Single"/>
            </w:pPr>
            <w:r>
              <w:rPr>
                <w:color w:val="000000"/>
              </w:rPr>
              <w:t>Adam Gowen</w:t>
            </w:r>
          </w:p>
        </w:tc>
        <w:tc>
          <w:tcPr>
            <w:tcW w:w="0" w:type="auto"/>
          </w:tcPr>
          <w:p w14:paraId="14B37210" w14:textId="0D504614" w:rsidR="006F5B5F" w:rsidRPr="00A77C50" w:rsidRDefault="006F5B5F" w:rsidP="006F5B5F">
            <w:pPr>
              <w:pStyle w:val="PwCNormal-Single"/>
              <w:cnfStyle w:val="000000000000" w:firstRow="0" w:lastRow="0" w:firstColumn="0" w:lastColumn="0" w:oddVBand="0" w:evenVBand="0" w:oddHBand="0" w:evenHBand="0" w:firstRowFirstColumn="0" w:firstRowLastColumn="0" w:lastRowFirstColumn="0" w:lastRowLastColumn="0"/>
            </w:pPr>
            <w:r w:rsidRPr="00A77C50">
              <w:rPr>
                <w:color w:val="000000"/>
              </w:rPr>
              <w:t>Society for the Provision of Education in Rural Australia</w:t>
            </w:r>
          </w:p>
        </w:tc>
      </w:tr>
      <w:tr w:rsidR="006F5B5F" w14:paraId="4FC2B80F" w14:textId="77777777" w:rsidTr="00A77C50">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0" w:type="auto"/>
          </w:tcPr>
          <w:p w14:paraId="7B6630DD" w14:textId="2AF6BCDC" w:rsidR="006F5B5F" w:rsidRDefault="006F5B5F" w:rsidP="006F5B5F">
            <w:pPr>
              <w:pStyle w:val="PwCNormal-Single"/>
            </w:pPr>
            <w:r>
              <w:rPr>
                <w:color w:val="000000"/>
              </w:rPr>
              <w:t>Adam Todorovski</w:t>
            </w:r>
          </w:p>
        </w:tc>
        <w:tc>
          <w:tcPr>
            <w:tcW w:w="0" w:type="auto"/>
          </w:tcPr>
          <w:p w14:paraId="7933B564" w14:textId="33DEA324" w:rsidR="006F5B5F" w:rsidRPr="00A77C50" w:rsidRDefault="006F5B5F" w:rsidP="006F5B5F">
            <w:pPr>
              <w:pStyle w:val="PwCNormal-Single"/>
              <w:cnfStyle w:val="000000100000" w:firstRow="0" w:lastRow="0" w:firstColumn="0" w:lastColumn="0" w:oddVBand="0" w:evenVBand="0" w:oddHBand="1" w:evenHBand="0" w:firstRowFirstColumn="0" w:firstRowLastColumn="0" w:lastRowFirstColumn="0" w:lastRowLastColumn="0"/>
            </w:pPr>
            <w:r w:rsidRPr="00A77C50">
              <w:rPr>
                <w:color w:val="000000"/>
              </w:rPr>
              <w:t>Melbourne Polytechnic</w:t>
            </w:r>
          </w:p>
        </w:tc>
      </w:tr>
      <w:tr w:rsidR="006F5B5F" w14:paraId="7053B8F0" w14:textId="77777777" w:rsidTr="00A77C50">
        <w:trPr>
          <w:trHeight w:val="423"/>
        </w:trPr>
        <w:tc>
          <w:tcPr>
            <w:cnfStyle w:val="001000000000" w:firstRow="0" w:lastRow="0" w:firstColumn="1" w:lastColumn="0" w:oddVBand="0" w:evenVBand="0" w:oddHBand="0" w:evenHBand="0" w:firstRowFirstColumn="0" w:firstRowLastColumn="0" w:lastRowFirstColumn="0" w:lastRowLastColumn="0"/>
            <w:tcW w:w="0" w:type="auto"/>
          </w:tcPr>
          <w:p w14:paraId="7C1C05AA" w14:textId="272D8A6B" w:rsidR="006F5B5F" w:rsidRDefault="006F5B5F" w:rsidP="006F5B5F">
            <w:pPr>
              <w:pStyle w:val="PwCNormal-Single"/>
            </w:pPr>
            <w:r>
              <w:rPr>
                <w:color w:val="000000"/>
              </w:rPr>
              <w:t>Adam Walker</w:t>
            </w:r>
          </w:p>
        </w:tc>
        <w:tc>
          <w:tcPr>
            <w:tcW w:w="0" w:type="auto"/>
          </w:tcPr>
          <w:p w14:paraId="0BEF2464" w14:textId="571618FD" w:rsidR="006F5B5F" w:rsidRPr="00A77C50" w:rsidRDefault="006F5B5F" w:rsidP="006F5B5F">
            <w:pPr>
              <w:pStyle w:val="PwCNormal-Single"/>
              <w:cnfStyle w:val="000000000000" w:firstRow="0" w:lastRow="0" w:firstColumn="0" w:lastColumn="0" w:oddVBand="0" w:evenVBand="0" w:oddHBand="0" w:evenHBand="0" w:firstRowFirstColumn="0" w:firstRowLastColumn="0" w:lastRowFirstColumn="0" w:lastRowLastColumn="0"/>
            </w:pPr>
            <w:r w:rsidRPr="00A77C50">
              <w:rPr>
                <w:color w:val="000000"/>
              </w:rPr>
              <w:t>Department of Training and Workforce Development</w:t>
            </w:r>
          </w:p>
        </w:tc>
      </w:tr>
      <w:tr w:rsidR="006F5B5F" w14:paraId="666B7943" w14:textId="77777777" w:rsidTr="00A77C50">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0" w:type="auto"/>
          </w:tcPr>
          <w:p w14:paraId="56EABA42" w14:textId="29802FB6" w:rsidR="006F5B5F" w:rsidRPr="00221FC9" w:rsidRDefault="006F5B5F" w:rsidP="006F5B5F">
            <w:pPr>
              <w:pStyle w:val="PwCNormal-Single"/>
              <w:rPr>
                <w:color w:val="000000"/>
              </w:rPr>
            </w:pPr>
            <w:r>
              <w:rPr>
                <w:color w:val="000000"/>
              </w:rPr>
              <w:t>Adele Broster</w:t>
            </w:r>
          </w:p>
        </w:tc>
        <w:tc>
          <w:tcPr>
            <w:tcW w:w="0" w:type="auto"/>
          </w:tcPr>
          <w:p w14:paraId="255C7118" w14:textId="1D864775" w:rsidR="006F5B5F" w:rsidRPr="00A77C50" w:rsidRDefault="006F5B5F" w:rsidP="006F5B5F">
            <w:pPr>
              <w:pStyle w:val="PwCNormal-Single"/>
              <w:cnfStyle w:val="000000100000" w:firstRow="0" w:lastRow="0" w:firstColumn="0" w:lastColumn="0" w:oddVBand="0" w:evenVBand="0" w:oddHBand="1" w:evenHBand="0" w:firstRowFirstColumn="0" w:firstRowLastColumn="0" w:lastRowFirstColumn="0" w:lastRowLastColumn="0"/>
            </w:pPr>
            <w:r w:rsidRPr="00A77C50">
              <w:rPr>
                <w:color w:val="000000"/>
              </w:rPr>
              <w:t>SACE Board of SA</w:t>
            </w:r>
          </w:p>
        </w:tc>
      </w:tr>
      <w:tr w:rsidR="006F5B5F" w14:paraId="73035072" w14:textId="77777777" w:rsidTr="00A77C50">
        <w:trPr>
          <w:trHeight w:val="423"/>
        </w:trPr>
        <w:tc>
          <w:tcPr>
            <w:cnfStyle w:val="001000000000" w:firstRow="0" w:lastRow="0" w:firstColumn="1" w:lastColumn="0" w:oddVBand="0" w:evenVBand="0" w:oddHBand="0" w:evenHBand="0" w:firstRowFirstColumn="0" w:firstRowLastColumn="0" w:lastRowFirstColumn="0" w:lastRowLastColumn="0"/>
            <w:tcW w:w="0" w:type="auto"/>
          </w:tcPr>
          <w:p w14:paraId="4417ED7C" w14:textId="0C4E3EA5" w:rsidR="006F5B5F" w:rsidRPr="00221FC9" w:rsidRDefault="006F5B5F" w:rsidP="006F5B5F">
            <w:pPr>
              <w:pStyle w:val="PwCNormal-Single"/>
              <w:rPr>
                <w:color w:val="000000"/>
              </w:rPr>
            </w:pPr>
            <w:r>
              <w:rPr>
                <w:color w:val="000000"/>
              </w:rPr>
              <w:t>Alana Moller</w:t>
            </w:r>
          </w:p>
        </w:tc>
        <w:tc>
          <w:tcPr>
            <w:tcW w:w="0" w:type="auto"/>
          </w:tcPr>
          <w:p w14:paraId="13C1205D" w14:textId="40A824BA" w:rsidR="006F5B5F" w:rsidRPr="00A77C50" w:rsidRDefault="006F5B5F" w:rsidP="006F5B5F">
            <w:pPr>
              <w:pStyle w:val="PwCNormal-Single"/>
              <w:cnfStyle w:val="000000000000" w:firstRow="0" w:lastRow="0" w:firstColumn="0" w:lastColumn="0" w:oddVBand="0" w:evenVBand="0" w:oddHBand="0" w:evenHBand="0" w:firstRowFirstColumn="0" w:firstRowLastColumn="0" w:lastRowFirstColumn="0" w:lastRowLastColumn="0"/>
              <w:rPr>
                <w:color w:val="000000"/>
              </w:rPr>
            </w:pPr>
            <w:r w:rsidRPr="00A77C50">
              <w:rPr>
                <w:color w:val="000000"/>
              </w:rPr>
              <w:t>Isolated Children's Parents' Association</w:t>
            </w:r>
          </w:p>
        </w:tc>
      </w:tr>
      <w:tr w:rsidR="006F5B5F" w14:paraId="130F1220" w14:textId="77777777" w:rsidTr="00A77C50">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0" w:type="auto"/>
          </w:tcPr>
          <w:p w14:paraId="61321C40" w14:textId="2D92FD43" w:rsidR="006F5B5F" w:rsidRPr="00221FC9" w:rsidRDefault="006F5B5F" w:rsidP="006F5B5F">
            <w:pPr>
              <w:pStyle w:val="PwCNormal-Single"/>
              <w:rPr>
                <w:color w:val="000000"/>
              </w:rPr>
            </w:pPr>
            <w:r>
              <w:rPr>
                <w:color w:val="000000"/>
              </w:rPr>
              <w:t>Alison Noble</w:t>
            </w:r>
          </w:p>
        </w:tc>
        <w:tc>
          <w:tcPr>
            <w:tcW w:w="0" w:type="auto"/>
          </w:tcPr>
          <w:p w14:paraId="7A7FC755" w14:textId="49126E81" w:rsidR="006F5B5F" w:rsidRPr="00A77C50" w:rsidRDefault="006F5B5F" w:rsidP="006F5B5F">
            <w:pPr>
              <w:pStyle w:val="PwCNormal-Single"/>
              <w:cnfStyle w:val="000000100000" w:firstRow="0" w:lastRow="0" w:firstColumn="0" w:lastColumn="0" w:oddVBand="0" w:evenVBand="0" w:oddHBand="1" w:evenHBand="0" w:firstRowFirstColumn="0" w:firstRowLastColumn="0" w:lastRowFirstColumn="0" w:lastRowLastColumn="0"/>
              <w:rPr>
                <w:color w:val="000000"/>
              </w:rPr>
            </w:pPr>
            <w:r w:rsidRPr="00A77C50">
              <w:rPr>
                <w:color w:val="000000"/>
              </w:rPr>
              <w:t>Central Regional TAFE (WA)</w:t>
            </w:r>
          </w:p>
        </w:tc>
      </w:tr>
      <w:tr w:rsidR="006F5B5F" w14:paraId="3C77667E" w14:textId="77777777" w:rsidTr="00A77C50">
        <w:trPr>
          <w:trHeight w:val="423"/>
        </w:trPr>
        <w:tc>
          <w:tcPr>
            <w:cnfStyle w:val="001000000000" w:firstRow="0" w:lastRow="0" w:firstColumn="1" w:lastColumn="0" w:oddVBand="0" w:evenVBand="0" w:oddHBand="0" w:evenHBand="0" w:firstRowFirstColumn="0" w:firstRowLastColumn="0" w:lastRowFirstColumn="0" w:lastRowLastColumn="0"/>
            <w:tcW w:w="0" w:type="auto"/>
          </w:tcPr>
          <w:p w14:paraId="44370E0C" w14:textId="16E37F9A" w:rsidR="006F5B5F" w:rsidRPr="00221FC9" w:rsidRDefault="006F5B5F" w:rsidP="006F5B5F">
            <w:pPr>
              <w:pStyle w:val="PwCNormal-Single"/>
              <w:rPr>
                <w:color w:val="000000"/>
              </w:rPr>
            </w:pPr>
            <w:r>
              <w:rPr>
                <w:color w:val="000000"/>
              </w:rPr>
              <w:t>Amanda Walker</w:t>
            </w:r>
          </w:p>
        </w:tc>
        <w:tc>
          <w:tcPr>
            <w:tcW w:w="0" w:type="auto"/>
          </w:tcPr>
          <w:p w14:paraId="41503112" w14:textId="482A2CC5" w:rsidR="006F5B5F" w:rsidRPr="00A77C50" w:rsidRDefault="006F5B5F" w:rsidP="006F5B5F">
            <w:pPr>
              <w:pStyle w:val="PwCNormal-Single"/>
              <w:cnfStyle w:val="000000000000" w:firstRow="0" w:lastRow="0" w:firstColumn="0" w:lastColumn="0" w:oddVBand="0" w:evenVBand="0" w:oddHBand="0" w:evenHBand="0" w:firstRowFirstColumn="0" w:firstRowLastColumn="0" w:lastRowFirstColumn="0" w:lastRowLastColumn="0"/>
              <w:rPr>
                <w:color w:val="000000"/>
              </w:rPr>
            </w:pPr>
            <w:r w:rsidRPr="00A77C50">
              <w:rPr>
                <w:color w:val="000000"/>
              </w:rPr>
              <w:t>TAFE NSW</w:t>
            </w:r>
          </w:p>
        </w:tc>
      </w:tr>
      <w:tr w:rsidR="006F5B5F" w14:paraId="7F4D8776" w14:textId="77777777" w:rsidTr="00A77C50">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0" w:type="auto"/>
          </w:tcPr>
          <w:p w14:paraId="4BA3B947" w14:textId="3E36E551" w:rsidR="006F5B5F" w:rsidRPr="00221FC9" w:rsidRDefault="006F5B5F" w:rsidP="006F5B5F">
            <w:pPr>
              <w:pStyle w:val="PwCNormal-Single"/>
              <w:rPr>
                <w:color w:val="000000"/>
              </w:rPr>
            </w:pPr>
            <w:r>
              <w:rPr>
                <w:color w:val="000000"/>
              </w:rPr>
              <w:t>Andrew Long</w:t>
            </w:r>
          </w:p>
        </w:tc>
        <w:tc>
          <w:tcPr>
            <w:tcW w:w="0" w:type="auto"/>
          </w:tcPr>
          <w:p w14:paraId="3A7395FB" w14:textId="655B5D9F" w:rsidR="006F5B5F" w:rsidRPr="00A77C50" w:rsidRDefault="006F5B5F" w:rsidP="006F5B5F">
            <w:pPr>
              <w:pStyle w:val="PwCNormal-Single"/>
              <w:cnfStyle w:val="000000100000" w:firstRow="0" w:lastRow="0" w:firstColumn="0" w:lastColumn="0" w:oddVBand="0" w:evenVBand="0" w:oddHBand="1" w:evenHBand="0" w:firstRowFirstColumn="0" w:firstRowLastColumn="0" w:lastRowFirstColumn="0" w:lastRowLastColumn="0"/>
              <w:rPr>
                <w:color w:val="000000"/>
              </w:rPr>
            </w:pPr>
            <w:r w:rsidRPr="00A77C50">
              <w:rPr>
                <w:color w:val="000000"/>
              </w:rPr>
              <w:t>National Catholic Education Commission </w:t>
            </w:r>
          </w:p>
        </w:tc>
      </w:tr>
      <w:tr w:rsidR="006F5B5F" w14:paraId="100452F1" w14:textId="77777777" w:rsidTr="00A77C50">
        <w:trPr>
          <w:trHeight w:val="423"/>
        </w:trPr>
        <w:tc>
          <w:tcPr>
            <w:cnfStyle w:val="001000000000" w:firstRow="0" w:lastRow="0" w:firstColumn="1" w:lastColumn="0" w:oddVBand="0" w:evenVBand="0" w:oddHBand="0" w:evenHBand="0" w:firstRowFirstColumn="0" w:firstRowLastColumn="0" w:lastRowFirstColumn="0" w:lastRowLastColumn="0"/>
            <w:tcW w:w="0" w:type="auto"/>
          </w:tcPr>
          <w:p w14:paraId="5C52AC6E" w14:textId="760A8FE0" w:rsidR="006F5B5F" w:rsidRPr="00221FC9" w:rsidRDefault="006F5B5F" w:rsidP="006F5B5F">
            <w:pPr>
              <w:pStyle w:val="PwCNormal-Single"/>
              <w:rPr>
                <w:color w:val="000000"/>
              </w:rPr>
            </w:pPr>
            <w:r>
              <w:rPr>
                <w:color w:val="000000"/>
              </w:rPr>
              <w:t>Andrew Pierpoint</w:t>
            </w:r>
          </w:p>
        </w:tc>
        <w:tc>
          <w:tcPr>
            <w:tcW w:w="0" w:type="auto"/>
          </w:tcPr>
          <w:p w14:paraId="2D8986C7" w14:textId="56A06B90" w:rsidR="006F5B5F" w:rsidRPr="00A77C50" w:rsidRDefault="006F5B5F" w:rsidP="006F5B5F">
            <w:pPr>
              <w:pStyle w:val="PwCNormal-Single"/>
              <w:cnfStyle w:val="000000000000" w:firstRow="0" w:lastRow="0" w:firstColumn="0" w:lastColumn="0" w:oddVBand="0" w:evenVBand="0" w:oddHBand="0" w:evenHBand="0" w:firstRowFirstColumn="0" w:firstRowLastColumn="0" w:lastRowFirstColumn="0" w:lastRowLastColumn="0"/>
              <w:rPr>
                <w:color w:val="000000"/>
              </w:rPr>
            </w:pPr>
            <w:r w:rsidRPr="00A77C50">
              <w:rPr>
                <w:color w:val="000000"/>
              </w:rPr>
              <w:t>Australian Secondary Principals Association</w:t>
            </w:r>
          </w:p>
        </w:tc>
      </w:tr>
      <w:tr w:rsidR="006F5B5F" w14:paraId="7D14CF07" w14:textId="77777777" w:rsidTr="00A77C50">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0" w:type="auto"/>
          </w:tcPr>
          <w:p w14:paraId="10EEA871" w14:textId="5F1EA88C" w:rsidR="006F5B5F" w:rsidRPr="00221FC9" w:rsidRDefault="006F5B5F" w:rsidP="006F5B5F">
            <w:pPr>
              <w:pStyle w:val="PwCNormal-Single"/>
              <w:rPr>
                <w:color w:val="000000"/>
              </w:rPr>
            </w:pPr>
            <w:r>
              <w:rPr>
                <w:color w:val="000000"/>
              </w:rPr>
              <w:t>Anna McCorkle</w:t>
            </w:r>
          </w:p>
        </w:tc>
        <w:tc>
          <w:tcPr>
            <w:tcW w:w="0" w:type="auto"/>
          </w:tcPr>
          <w:p w14:paraId="32157ACD" w14:textId="5AE72252" w:rsidR="006F5B5F" w:rsidRPr="00A77C50" w:rsidRDefault="006F5B5F" w:rsidP="006F5B5F">
            <w:pPr>
              <w:pStyle w:val="PwCNormal-Single"/>
              <w:cnfStyle w:val="000000100000" w:firstRow="0" w:lastRow="0" w:firstColumn="0" w:lastColumn="0" w:oddVBand="0" w:evenVBand="0" w:oddHBand="1" w:evenHBand="0" w:firstRowFirstColumn="0" w:firstRowLastColumn="0" w:lastRowFirstColumn="0" w:lastRowLastColumn="0"/>
              <w:rPr>
                <w:color w:val="000000"/>
              </w:rPr>
            </w:pPr>
            <w:r w:rsidRPr="00A77C50">
              <w:rPr>
                <w:color w:val="000000"/>
              </w:rPr>
              <w:t>Isolated Children's Parents' Association</w:t>
            </w:r>
          </w:p>
        </w:tc>
      </w:tr>
      <w:tr w:rsidR="006F5B5F" w14:paraId="5A5CCAFF" w14:textId="77777777" w:rsidTr="00A77C50">
        <w:trPr>
          <w:trHeight w:val="423"/>
        </w:trPr>
        <w:tc>
          <w:tcPr>
            <w:cnfStyle w:val="001000000000" w:firstRow="0" w:lastRow="0" w:firstColumn="1" w:lastColumn="0" w:oddVBand="0" w:evenVBand="0" w:oddHBand="0" w:evenHBand="0" w:firstRowFirstColumn="0" w:firstRowLastColumn="0" w:lastRowFirstColumn="0" w:lastRowLastColumn="0"/>
            <w:tcW w:w="0" w:type="auto"/>
          </w:tcPr>
          <w:p w14:paraId="22574777" w14:textId="60BC0116" w:rsidR="006F5B5F" w:rsidRPr="00221FC9" w:rsidRDefault="006F5B5F" w:rsidP="006F5B5F">
            <w:pPr>
              <w:pStyle w:val="PwCNormal-Single"/>
              <w:rPr>
                <w:color w:val="000000"/>
              </w:rPr>
            </w:pPr>
            <w:r>
              <w:rPr>
                <w:color w:val="000000"/>
              </w:rPr>
              <w:t>Anne-Maree Butt</w:t>
            </w:r>
          </w:p>
        </w:tc>
        <w:tc>
          <w:tcPr>
            <w:tcW w:w="0" w:type="auto"/>
          </w:tcPr>
          <w:p w14:paraId="5F40F751" w14:textId="1342762D" w:rsidR="006F5B5F" w:rsidRPr="00A77C50" w:rsidRDefault="006F5B5F" w:rsidP="006F5B5F">
            <w:pPr>
              <w:pStyle w:val="PwCNormal-Single"/>
              <w:cnfStyle w:val="000000000000" w:firstRow="0" w:lastRow="0" w:firstColumn="0" w:lastColumn="0" w:oddVBand="0" w:evenVBand="0" w:oddHBand="0" w:evenHBand="0" w:firstRowFirstColumn="0" w:firstRowLastColumn="0" w:lastRowFirstColumn="0" w:lastRowLastColumn="0"/>
              <w:rPr>
                <w:color w:val="000000"/>
              </w:rPr>
            </w:pPr>
            <w:r w:rsidRPr="00A77C50">
              <w:rPr>
                <w:color w:val="000000"/>
              </w:rPr>
              <w:t>Australian Skills Quality Authority</w:t>
            </w:r>
          </w:p>
        </w:tc>
      </w:tr>
      <w:tr w:rsidR="006F5B5F" w14:paraId="37BC6C77" w14:textId="77777777" w:rsidTr="00A77C50">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0" w:type="auto"/>
          </w:tcPr>
          <w:p w14:paraId="34E47A0B" w14:textId="5C1B20C8" w:rsidR="006F5B5F" w:rsidRPr="00221FC9" w:rsidRDefault="006F5B5F" w:rsidP="006F5B5F">
            <w:pPr>
              <w:pStyle w:val="PwCNormal-Single"/>
              <w:rPr>
                <w:color w:val="000000"/>
              </w:rPr>
            </w:pPr>
            <w:r>
              <w:rPr>
                <w:color w:val="000000"/>
              </w:rPr>
              <w:t>Anthony Doyle</w:t>
            </w:r>
          </w:p>
        </w:tc>
        <w:tc>
          <w:tcPr>
            <w:tcW w:w="0" w:type="auto"/>
          </w:tcPr>
          <w:p w14:paraId="5284479E" w14:textId="0FD611BD" w:rsidR="006F5B5F" w:rsidRPr="00A77C50" w:rsidRDefault="006F5B5F" w:rsidP="006F5B5F">
            <w:pPr>
              <w:pStyle w:val="PwCNormal-Single"/>
              <w:cnfStyle w:val="000000100000" w:firstRow="0" w:lastRow="0" w:firstColumn="0" w:lastColumn="0" w:oddVBand="0" w:evenVBand="0" w:oddHBand="1" w:evenHBand="0" w:firstRowFirstColumn="0" w:firstRowLastColumn="0" w:lastRowFirstColumn="0" w:lastRowLastColumn="0"/>
              <w:rPr>
                <w:color w:val="000000"/>
              </w:rPr>
            </w:pPr>
            <w:r w:rsidRPr="00A77C50">
              <w:rPr>
                <w:color w:val="000000"/>
              </w:rPr>
              <w:t>Association of Independent Schools South Australia</w:t>
            </w:r>
          </w:p>
        </w:tc>
      </w:tr>
      <w:tr w:rsidR="006F5B5F" w14:paraId="143070CD" w14:textId="77777777" w:rsidTr="00A77C50">
        <w:trPr>
          <w:trHeight w:val="423"/>
        </w:trPr>
        <w:tc>
          <w:tcPr>
            <w:cnfStyle w:val="001000000000" w:firstRow="0" w:lastRow="0" w:firstColumn="1" w:lastColumn="0" w:oddVBand="0" w:evenVBand="0" w:oddHBand="0" w:evenHBand="0" w:firstRowFirstColumn="0" w:firstRowLastColumn="0" w:lastRowFirstColumn="0" w:lastRowLastColumn="0"/>
            <w:tcW w:w="0" w:type="auto"/>
          </w:tcPr>
          <w:p w14:paraId="5299D291" w14:textId="55EEB6AD" w:rsidR="006F5B5F" w:rsidRPr="00221FC9" w:rsidRDefault="006F5B5F" w:rsidP="006F5B5F">
            <w:pPr>
              <w:pStyle w:val="PwCNormal-Single"/>
              <w:rPr>
                <w:color w:val="000000"/>
              </w:rPr>
            </w:pPr>
            <w:r>
              <w:rPr>
                <w:color w:val="000000"/>
              </w:rPr>
              <w:t>Arti Dogra</w:t>
            </w:r>
          </w:p>
        </w:tc>
        <w:tc>
          <w:tcPr>
            <w:tcW w:w="0" w:type="auto"/>
          </w:tcPr>
          <w:p w14:paraId="33B725C3" w14:textId="3AB0FE0A" w:rsidR="006F5B5F" w:rsidRPr="00A77C50" w:rsidRDefault="006F5B5F" w:rsidP="006F5B5F">
            <w:pPr>
              <w:pStyle w:val="PwCNormal-Single"/>
              <w:cnfStyle w:val="000000000000" w:firstRow="0" w:lastRow="0" w:firstColumn="0" w:lastColumn="0" w:oddVBand="0" w:evenVBand="0" w:oddHBand="0" w:evenHBand="0" w:firstRowFirstColumn="0" w:firstRowLastColumn="0" w:lastRowFirstColumn="0" w:lastRowLastColumn="0"/>
              <w:rPr>
                <w:color w:val="000000"/>
              </w:rPr>
            </w:pPr>
            <w:r w:rsidRPr="00A77C50">
              <w:rPr>
                <w:color w:val="000000"/>
              </w:rPr>
              <w:t>School Curriculum and Standards Authority (WA)</w:t>
            </w:r>
          </w:p>
        </w:tc>
      </w:tr>
      <w:tr w:rsidR="006F5B5F" w14:paraId="3756D0C4" w14:textId="77777777" w:rsidTr="00A77C50">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0" w:type="auto"/>
          </w:tcPr>
          <w:p w14:paraId="21641C7A" w14:textId="10CAE36C" w:rsidR="006F5B5F" w:rsidRPr="00221FC9" w:rsidRDefault="006F5B5F" w:rsidP="006F5B5F">
            <w:pPr>
              <w:pStyle w:val="PwCNormal-Single"/>
              <w:rPr>
                <w:color w:val="000000"/>
              </w:rPr>
            </w:pPr>
            <w:r>
              <w:rPr>
                <w:color w:val="000000"/>
              </w:rPr>
              <w:t>Australian Special Education Principals Association Representatives</w:t>
            </w:r>
          </w:p>
        </w:tc>
        <w:tc>
          <w:tcPr>
            <w:tcW w:w="0" w:type="auto"/>
          </w:tcPr>
          <w:p w14:paraId="134ACAE8" w14:textId="52A6FB06" w:rsidR="006F5B5F" w:rsidRPr="00A77C50" w:rsidRDefault="006F5B5F" w:rsidP="006F5B5F">
            <w:pPr>
              <w:pStyle w:val="PwCNormal-Single"/>
              <w:cnfStyle w:val="000000100000" w:firstRow="0" w:lastRow="0" w:firstColumn="0" w:lastColumn="0" w:oddVBand="0" w:evenVBand="0" w:oddHBand="1" w:evenHBand="0" w:firstRowFirstColumn="0" w:firstRowLastColumn="0" w:lastRowFirstColumn="0" w:lastRowLastColumn="0"/>
              <w:rPr>
                <w:color w:val="000000"/>
              </w:rPr>
            </w:pPr>
            <w:r w:rsidRPr="00A77C50">
              <w:rPr>
                <w:color w:val="000000"/>
              </w:rPr>
              <w:t>Australian Special Education Principals Association </w:t>
            </w:r>
          </w:p>
        </w:tc>
      </w:tr>
      <w:tr w:rsidR="006F5B5F" w14:paraId="6DB42FCC" w14:textId="77777777" w:rsidTr="00A77C50">
        <w:trPr>
          <w:trHeight w:val="423"/>
        </w:trPr>
        <w:tc>
          <w:tcPr>
            <w:cnfStyle w:val="001000000000" w:firstRow="0" w:lastRow="0" w:firstColumn="1" w:lastColumn="0" w:oddVBand="0" w:evenVBand="0" w:oddHBand="0" w:evenHBand="0" w:firstRowFirstColumn="0" w:firstRowLastColumn="0" w:lastRowFirstColumn="0" w:lastRowLastColumn="0"/>
            <w:tcW w:w="0" w:type="auto"/>
          </w:tcPr>
          <w:p w14:paraId="1893C8AC" w14:textId="40A70FC9" w:rsidR="006F5B5F" w:rsidRPr="00221FC9" w:rsidRDefault="006F5B5F" w:rsidP="006F5B5F">
            <w:pPr>
              <w:pStyle w:val="PwCNormal-Single"/>
              <w:rPr>
                <w:color w:val="000000"/>
              </w:rPr>
            </w:pPr>
            <w:r>
              <w:rPr>
                <w:color w:val="000000"/>
              </w:rPr>
              <w:t>Catherine Sip</w:t>
            </w:r>
          </w:p>
        </w:tc>
        <w:tc>
          <w:tcPr>
            <w:tcW w:w="0" w:type="auto"/>
          </w:tcPr>
          <w:p w14:paraId="4C1F740F" w14:textId="6EA53A11" w:rsidR="006F5B5F" w:rsidRPr="00A77C50" w:rsidRDefault="006F5B5F" w:rsidP="006F5B5F">
            <w:pPr>
              <w:pStyle w:val="PwCNormal-Single"/>
              <w:cnfStyle w:val="000000000000" w:firstRow="0" w:lastRow="0" w:firstColumn="0" w:lastColumn="0" w:oddVBand="0" w:evenVBand="0" w:oddHBand="0" w:evenHBand="0" w:firstRowFirstColumn="0" w:firstRowLastColumn="0" w:lastRowFirstColumn="0" w:lastRowLastColumn="0"/>
              <w:rPr>
                <w:color w:val="000000"/>
              </w:rPr>
            </w:pPr>
            <w:r w:rsidRPr="00A77C50">
              <w:rPr>
                <w:color w:val="000000"/>
              </w:rPr>
              <w:t>Association of Independent Schools NSW</w:t>
            </w:r>
          </w:p>
        </w:tc>
      </w:tr>
      <w:tr w:rsidR="006F5B5F" w14:paraId="26D8837A" w14:textId="77777777" w:rsidTr="00A77C50">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0" w:type="auto"/>
          </w:tcPr>
          <w:p w14:paraId="349AA8D6" w14:textId="45A97F07" w:rsidR="006F5B5F" w:rsidRPr="00221FC9" w:rsidRDefault="006F5B5F" w:rsidP="006F5B5F">
            <w:pPr>
              <w:pStyle w:val="PwCNormal-Single"/>
              <w:rPr>
                <w:color w:val="000000"/>
              </w:rPr>
            </w:pPr>
            <w:r>
              <w:rPr>
                <w:color w:val="000000"/>
              </w:rPr>
              <w:t>Catholic Secondary Principals Australia Representatives</w:t>
            </w:r>
          </w:p>
        </w:tc>
        <w:tc>
          <w:tcPr>
            <w:tcW w:w="0" w:type="auto"/>
          </w:tcPr>
          <w:p w14:paraId="74EF9949" w14:textId="5EB15105" w:rsidR="006F5B5F" w:rsidRPr="00A77C50" w:rsidRDefault="006F5B5F" w:rsidP="006F5B5F">
            <w:pPr>
              <w:pStyle w:val="PwCNormal-Single"/>
              <w:cnfStyle w:val="000000100000" w:firstRow="0" w:lastRow="0" w:firstColumn="0" w:lastColumn="0" w:oddVBand="0" w:evenVBand="0" w:oddHBand="1" w:evenHBand="0" w:firstRowFirstColumn="0" w:firstRowLastColumn="0" w:lastRowFirstColumn="0" w:lastRowLastColumn="0"/>
              <w:rPr>
                <w:color w:val="000000"/>
              </w:rPr>
            </w:pPr>
            <w:r w:rsidRPr="00A77C50">
              <w:rPr>
                <w:color w:val="000000"/>
              </w:rPr>
              <w:t>Catholic Secondary Principals Australia </w:t>
            </w:r>
          </w:p>
        </w:tc>
      </w:tr>
      <w:tr w:rsidR="006F5B5F" w14:paraId="1CF9FCDE" w14:textId="77777777" w:rsidTr="00A77C50">
        <w:trPr>
          <w:trHeight w:val="423"/>
        </w:trPr>
        <w:tc>
          <w:tcPr>
            <w:cnfStyle w:val="001000000000" w:firstRow="0" w:lastRow="0" w:firstColumn="1" w:lastColumn="0" w:oddVBand="0" w:evenVBand="0" w:oddHBand="0" w:evenHBand="0" w:firstRowFirstColumn="0" w:firstRowLastColumn="0" w:lastRowFirstColumn="0" w:lastRowLastColumn="0"/>
            <w:tcW w:w="0" w:type="auto"/>
          </w:tcPr>
          <w:p w14:paraId="5B389FD5" w14:textId="3A444C4D" w:rsidR="006F5B5F" w:rsidRPr="00221FC9" w:rsidRDefault="006F5B5F" w:rsidP="006F5B5F">
            <w:pPr>
              <w:pStyle w:val="PwCNormal-Single"/>
              <w:rPr>
                <w:color w:val="000000"/>
              </w:rPr>
            </w:pPr>
            <w:r>
              <w:rPr>
                <w:color w:val="000000"/>
              </w:rPr>
              <w:t>Chris Ronan</w:t>
            </w:r>
          </w:p>
        </w:tc>
        <w:tc>
          <w:tcPr>
            <w:tcW w:w="0" w:type="auto"/>
          </w:tcPr>
          <w:p w14:paraId="2FB06406" w14:textId="27A3AC3E" w:rsidR="006F5B5F" w:rsidRPr="00A77C50" w:rsidRDefault="006F5B5F" w:rsidP="006F5B5F">
            <w:pPr>
              <w:pStyle w:val="PwCNormal-Single"/>
              <w:cnfStyle w:val="000000000000" w:firstRow="0" w:lastRow="0" w:firstColumn="0" w:lastColumn="0" w:oddVBand="0" w:evenVBand="0" w:oddHBand="0" w:evenHBand="0" w:firstRowFirstColumn="0" w:firstRowLastColumn="0" w:lastRowFirstColumn="0" w:lastRowLastColumn="0"/>
              <w:rPr>
                <w:color w:val="000000"/>
              </w:rPr>
            </w:pPr>
            <w:r w:rsidRPr="00A77C50">
              <w:rPr>
                <w:color w:val="000000"/>
              </w:rPr>
              <w:t>Society for the Provision of Education in Rural Australia</w:t>
            </w:r>
          </w:p>
        </w:tc>
      </w:tr>
      <w:tr w:rsidR="006F5B5F" w14:paraId="6188B4C2" w14:textId="77777777" w:rsidTr="00A77C50">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0" w:type="auto"/>
          </w:tcPr>
          <w:p w14:paraId="3D669D73" w14:textId="464CBBCD" w:rsidR="006F5B5F" w:rsidRPr="00221FC9" w:rsidRDefault="006F5B5F" w:rsidP="006F5B5F">
            <w:pPr>
              <w:pStyle w:val="PwCNormal-Single"/>
              <w:rPr>
                <w:color w:val="000000"/>
              </w:rPr>
            </w:pPr>
            <w:r>
              <w:rPr>
                <w:color w:val="000000"/>
              </w:rPr>
              <w:t>Christine Rynne</w:t>
            </w:r>
          </w:p>
        </w:tc>
        <w:tc>
          <w:tcPr>
            <w:tcW w:w="0" w:type="auto"/>
          </w:tcPr>
          <w:p w14:paraId="07B5B90C" w14:textId="05213FC8" w:rsidR="006F5B5F" w:rsidRPr="00A77C50" w:rsidRDefault="006F5B5F" w:rsidP="006F5B5F">
            <w:pPr>
              <w:pStyle w:val="PwCNormal-Single"/>
              <w:cnfStyle w:val="000000100000" w:firstRow="0" w:lastRow="0" w:firstColumn="0" w:lastColumn="0" w:oddVBand="0" w:evenVBand="0" w:oddHBand="1" w:evenHBand="0" w:firstRowFirstColumn="0" w:firstRowLastColumn="0" w:lastRowFirstColumn="0" w:lastRowLastColumn="0"/>
              <w:rPr>
                <w:color w:val="000000"/>
              </w:rPr>
            </w:pPr>
            <w:r w:rsidRPr="00A77C50">
              <w:rPr>
                <w:color w:val="000000"/>
              </w:rPr>
              <w:t>St Laurence's College</w:t>
            </w:r>
          </w:p>
        </w:tc>
      </w:tr>
      <w:tr w:rsidR="006F5B5F" w14:paraId="50D1340B" w14:textId="77777777" w:rsidTr="00A77C50">
        <w:trPr>
          <w:trHeight w:val="423"/>
        </w:trPr>
        <w:tc>
          <w:tcPr>
            <w:cnfStyle w:val="001000000000" w:firstRow="0" w:lastRow="0" w:firstColumn="1" w:lastColumn="0" w:oddVBand="0" w:evenVBand="0" w:oddHBand="0" w:evenHBand="0" w:firstRowFirstColumn="0" w:firstRowLastColumn="0" w:lastRowFirstColumn="0" w:lastRowLastColumn="0"/>
            <w:tcW w:w="0" w:type="auto"/>
          </w:tcPr>
          <w:p w14:paraId="548B678B" w14:textId="258C16B1" w:rsidR="006F5B5F" w:rsidRPr="00221FC9" w:rsidRDefault="006F5B5F" w:rsidP="006F5B5F">
            <w:pPr>
              <w:pStyle w:val="PwCNormal-Single"/>
              <w:rPr>
                <w:color w:val="000000"/>
              </w:rPr>
            </w:pPr>
            <w:r>
              <w:rPr>
                <w:color w:val="000000"/>
              </w:rPr>
              <w:t>Claire Hearn</w:t>
            </w:r>
          </w:p>
        </w:tc>
        <w:tc>
          <w:tcPr>
            <w:tcW w:w="0" w:type="auto"/>
          </w:tcPr>
          <w:p w14:paraId="1C35A394" w14:textId="605F180D" w:rsidR="006F5B5F" w:rsidRPr="00A77C50" w:rsidRDefault="006F5B5F" w:rsidP="006F5B5F">
            <w:pPr>
              <w:pStyle w:val="PwCNormal-Single"/>
              <w:cnfStyle w:val="000000000000" w:firstRow="0" w:lastRow="0" w:firstColumn="0" w:lastColumn="0" w:oddVBand="0" w:evenVBand="0" w:oddHBand="0" w:evenHBand="0" w:firstRowFirstColumn="0" w:firstRowLastColumn="0" w:lastRowFirstColumn="0" w:lastRowLastColumn="0"/>
              <w:rPr>
                <w:color w:val="000000"/>
              </w:rPr>
            </w:pPr>
            <w:r w:rsidRPr="00A77C50">
              <w:rPr>
                <w:color w:val="000000"/>
              </w:rPr>
              <w:t>School of Isolated and Distance Education </w:t>
            </w:r>
          </w:p>
        </w:tc>
      </w:tr>
      <w:tr w:rsidR="006F5B5F" w14:paraId="42265776" w14:textId="77777777" w:rsidTr="00A77C50">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0" w:type="auto"/>
          </w:tcPr>
          <w:p w14:paraId="04C65B39" w14:textId="79E5BCD3" w:rsidR="006F5B5F" w:rsidRPr="00221FC9" w:rsidRDefault="006F5B5F" w:rsidP="006F5B5F">
            <w:pPr>
              <w:pStyle w:val="PwCNormal-Single"/>
              <w:rPr>
                <w:color w:val="000000"/>
              </w:rPr>
            </w:pPr>
            <w:r>
              <w:rPr>
                <w:color w:val="000000"/>
              </w:rPr>
              <w:t>Daniel McCarthy</w:t>
            </w:r>
          </w:p>
        </w:tc>
        <w:tc>
          <w:tcPr>
            <w:tcW w:w="0" w:type="auto"/>
          </w:tcPr>
          <w:p w14:paraId="2E565C79" w14:textId="6BB31CE2" w:rsidR="006F5B5F" w:rsidRPr="00A77C50" w:rsidRDefault="006F5B5F" w:rsidP="006F5B5F">
            <w:pPr>
              <w:pStyle w:val="PwCNormal-Single"/>
              <w:cnfStyle w:val="000000100000" w:firstRow="0" w:lastRow="0" w:firstColumn="0" w:lastColumn="0" w:oddVBand="0" w:evenVBand="0" w:oddHBand="1" w:evenHBand="0" w:firstRowFirstColumn="0" w:firstRowLastColumn="0" w:lastRowFirstColumn="0" w:lastRowLastColumn="0"/>
              <w:rPr>
                <w:color w:val="000000"/>
              </w:rPr>
            </w:pPr>
            <w:r w:rsidRPr="00A77C50">
              <w:rPr>
                <w:color w:val="000000"/>
              </w:rPr>
              <w:t>Department for Innovation and Skills SA</w:t>
            </w:r>
          </w:p>
        </w:tc>
      </w:tr>
      <w:tr w:rsidR="006F5B5F" w14:paraId="6FFAB9CD" w14:textId="77777777" w:rsidTr="00A77C50">
        <w:trPr>
          <w:trHeight w:val="423"/>
        </w:trPr>
        <w:tc>
          <w:tcPr>
            <w:cnfStyle w:val="001000000000" w:firstRow="0" w:lastRow="0" w:firstColumn="1" w:lastColumn="0" w:oddVBand="0" w:evenVBand="0" w:oddHBand="0" w:evenHBand="0" w:firstRowFirstColumn="0" w:firstRowLastColumn="0" w:lastRowFirstColumn="0" w:lastRowLastColumn="0"/>
            <w:tcW w:w="0" w:type="auto"/>
          </w:tcPr>
          <w:p w14:paraId="53F62AF9" w14:textId="1BDBA54F" w:rsidR="006F5B5F" w:rsidRPr="00221FC9" w:rsidRDefault="006F5B5F" w:rsidP="006F5B5F">
            <w:pPr>
              <w:pStyle w:val="PwCNormal-Single"/>
              <w:rPr>
                <w:color w:val="000000"/>
              </w:rPr>
            </w:pPr>
            <w:r>
              <w:rPr>
                <w:color w:val="000000"/>
              </w:rPr>
              <w:t>Danielle Keenan</w:t>
            </w:r>
          </w:p>
        </w:tc>
        <w:tc>
          <w:tcPr>
            <w:tcW w:w="0" w:type="auto"/>
          </w:tcPr>
          <w:p w14:paraId="702C5661" w14:textId="1E54D030" w:rsidR="006F5B5F" w:rsidRPr="00A77C50" w:rsidRDefault="006F5B5F" w:rsidP="006F5B5F">
            <w:pPr>
              <w:pStyle w:val="PwCNormal-Single"/>
              <w:cnfStyle w:val="000000000000" w:firstRow="0" w:lastRow="0" w:firstColumn="0" w:lastColumn="0" w:oddVBand="0" w:evenVBand="0" w:oddHBand="0" w:evenHBand="0" w:firstRowFirstColumn="0" w:firstRowLastColumn="0" w:lastRowFirstColumn="0" w:lastRowLastColumn="0"/>
              <w:rPr>
                <w:color w:val="000000"/>
              </w:rPr>
            </w:pPr>
            <w:r w:rsidRPr="00A77C50">
              <w:rPr>
                <w:color w:val="000000"/>
              </w:rPr>
              <w:t>Society for the Provision of Education in Rural Australia</w:t>
            </w:r>
          </w:p>
        </w:tc>
      </w:tr>
      <w:tr w:rsidR="006F5B5F" w14:paraId="6C294162" w14:textId="77777777" w:rsidTr="00A77C50">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0" w:type="auto"/>
          </w:tcPr>
          <w:p w14:paraId="00B6E357" w14:textId="351DC9E5" w:rsidR="006F5B5F" w:rsidRPr="00221FC9" w:rsidRDefault="006F5B5F" w:rsidP="006F5B5F">
            <w:pPr>
              <w:pStyle w:val="PwCNormal-Single"/>
              <w:rPr>
                <w:color w:val="000000"/>
              </w:rPr>
            </w:pPr>
            <w:r>
              <w:rPr>
                <w:color w:val="000000"/>
              </w:rPr>
              <w:t>Darryl Buchanan</w:t>
            </w:r>
          </w:p>
        </w:tc>
        <w:tc>
          <w:tcPr>
            <w:tcW w:w="0" w:type="auto"/>
          </w:tcPr>
          <w:p w14:paraId="360EADAB" w14:textId="0560100D" w:rsidR="006F5B5F" w:rsidRPr="00A77C50" w:rsidRDefault="006F5B5F" w:rsidP="006F5B5F">
            <w:pPr>
              <w:pStyle w:val="PwCNormal-Single"/>
              <w:cnfStyle w:val="000000100000" w:firstRow="0" w:lastRow="0" w:firstColumn="0" w:lastColumn="0" w:oddVBand="0" w:evenVBand="0" w:oddHBand="1" w:evenHBand="0" w:firstRowFirstColumn="0" w:firstRowLastColumn="0" w:lastRowFirstColumn="0" w:lastRowLastColumn="0"/>
              <w:rPr>
                <w:color w:val="000000"/>
              </w:rPr>
            </w:pPr>
            <w:r w:rsidRPr="00A77C50">
              <w:rPr>
                <w:color w:val="000000"/>
              </w:rPr>
              <w:t>Association of Independent Schools NSW</w:t>
            </w:r>
          </w:p>
        </w:tc>
      </w:tr>
      <w:tr w:rsidR="006F5B5F" w14:paraId="21451F66" w14:textId="77777777" w:rsidTr="00A77C50">
        <w:trPr>
          <w:trHeight w:val="423"/>
        </w:trPr>
        <w:tc>
          <w:tcPr>
            <w:cnfStyle w:val="001000000000" w:firstRow="0" w:lastRow="0" w:firstColumn="1" w:lastColumn="0" w:oddVBand="0" w:evenVBand="0" w:oddHBand="0" w:evenHBand="0" w:firstRowFirstColumn="0" w:firstRowLastColumn="0" w:lastRowFirstColumn="0" w:lastRowLastColumn="0"/>
            <w:tcW w:w="0" w:type="auto"/>
          </w:tcPr>
          <w:p w14:paraId="05BE5068" w14:textId="283A1DF8" w:rsidR="006F5B5F" w:rsidRPr="00221FC9" w:rsidRDefault="006F5B5F" w:rsidP="006F5B5F">
            <w:pPr>
              <w:pStyle w:val="PwCNormal-Single"/>
              <w:rPr>
                <w:color w:val="000000"/>
              </w:rPr>
            </w:pPr>
            <w:r>
              <w:rPr>
                <w:color w:val="000000"/>
              </w:rPr>
              <w:t>Daryl Sutton</w:t>
            </w:r>
          </w:p>
        </w:tc>
        <w:tc>
          <w:tcPr>
            <w:tcW w:w="0" w:type="auto"/>
          </w:tcPr>
          <w:p w14:paraId="57DBAB3D" w14:textId="315E27A8" w:rsidR="006F5B5F" w:rsidRPr="00A77C50" w:rsidRDefault="006F5B5F" w:rsidP="006F5B5F">
            <w:pPr>
              <w:pStyle w:val="PwCNormal-Single"/>
              <w:cnfStyle w:val="000000000000" w:firstRow="0" w:lastRow="0" w:firstColumn="0" w:lastColumn="0" w:oddVBand="0" w:evenVBand="0" w:oddHBand="0" w:evenHBand="0" w:firstRowFirstColumn="0" w:firstRowLastColumn="0" w:lastRowFirstColumn="0" w:lastRowLastColumn="0"/>
              <w:rPr>
                <w:color w:val="000000"/>
              </w:rPr>
            </w:pPr>
            <w:r w:rsidRPr="00A77C50">
              <w:rPr>
                <w:color w:val="000000"/>
              </w:rPr>
              <w:t>Victorian Curriculum and Assessment Authority </w:t>
            </w:r>
          </w:p>
        </w:tc>
      </w:tr>
      <w:tr w:rsidR="006F5B5F" w14:paraId="0C89C761" w14:textId="77777777" w:rsidTr="00A77C50">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0" w:type="auto"/>
          </w:tcPr>
          <w:p w14:paraId="73D25688" w14:textId="693FA74A" w:rsidR="006F5B5F" w:rsidRPr="00221FC9" w:rsidRDefault="006F5B5F" w:rsidP="006F5B5F">
            <w:pPr>
              <w:pStyle w:val="PwCNormal-Single"/>
              <w:rPr>
                <w:color w:val="000000"/>
              </w:rPr>
            </w:pPr>
            <w:r>
              <w:rPr>
                <w:color w:val="000000"/>
              </w:rPr>
              <w:t>Dianne Campbell</w:t>
            </w:r>
          </w:p>
        </w:tc>
        <w:tc>
          <w:tcPr>
            <w:tcW w:w="0" w:type="auto"/>
          </w:tcPr>
          <w:p w14:paraId="4BB8D32A" w14:textId="791EC643" w:rsidR="006F5B5F" w:rsidRPr="00A77C50" w:rsidRDefault="006F5B5F" w:rsidP="006F5B5F">
            <w:pPr>
              <w:pStyle w:val="PwCNormal-Single"/>
              <w:cnfStyle w:val="000000100000" w:firstRow="0" w:lastRow="0" w:firstColumn="0" w:lastColumn="0" w:oddVBand="0" w:evenVBand="0" w:oddHBand="1" w:evenHBand="0" w:firstRowFirstColumn="0" w:firstRowLastColumn="0" w:lastRowFirstColumn="0" w:lastRowLastColumn="0"/>
              <w:rPr>
                <w:color w:val="000000"/>
              </w:rPr>
            </w:pPr>
            <w:r w:rsidRPr="00A77C50">
              <w:rPr>
                <w:color w:val="000000"/>
              </w:rPr>
              <w:t>Department of Industry, Tourism and Trade, Northern Territory Government of Australia</w:t>
            </w:r>
          </w:p>
        </w:tc>
      </w:tr>
      <w:tr w:rsidR="006F5B5F" w14:paraId="13FCFDDD" w14:textId="77777777" w:rsidTr="00A77C50">
        <w:trPr>
          <w:trHeight w:val="423"/>
        </w:trPr>
        <w:tc>
          <w:tcPr>
            <w:cnfStyle w:val="001000000000" w:firstRow="0" w:lastRow="0" w:firstColumn="1" w:lastColumn="0" w:oddVBand="0" w:evenVBand="0" w:oddHBand="0" w:evenHBand="0" w:firstRowFirstColumn="0" w:firstRowLastColumn="0" w:lastRowFirstColumn="0" w:lastRowLastColumn="0"/>
            <w:tcW w:w="0" w:type="auto"/>
          </w:tcPr>
          <w:p w14:paraId="1CB294E7" w14:textId="68DA42EE" w:rsidR="006F5B5F" w:rsidRPr="00221FC9" w:rsidRDefault="006F5B5F" w:rsidP="006F5B5F">
            <w:pPr>
              <w:pStyle w:val="PwCNormal-Single"/>
              <w:rPr>
                <w:color w:val="000000"/>
              </w:rPr>
            </w:pPr>
            <w:r>
              <w:rPr>
                <w:color w:val="000000"/>
              </w:rPr>
              <w:lastRenderedPageBreak/>
              <w:t>Diwa Hopkins</w:t>
            </w:r>
          </w:p>
        </w:tc>
        <w:tc>
          <w:tcPr>
            <w:tcW w:w="0" w:type="auto"/>
          </w:tcPr>
          <w:p w14:paraId="51250350" w14:textId="67C43024" w:rsidR="006F5B5F" w:rsidRPr="00A77C50" w:rsidRDefault="006F5B5F" w:rsidP="006F5B5F">
            <w:pPr>
              <w:pStyle w:val="PwCNormal-Single"/>
              <w:cnfStyle w:val="000000000000" w:firstRow="0" w:lastRow="0" w:firstColumn="0" w:lastColumn="0" w:oddVBand="0" w:evenVBand="0" w:oddHBand="0" w:evenHBand="0" w:firstRowFirstColumn="0" w:firstRowLastColumn="0" w:lastRowFirstColumn="0" w:lastRowLastColumn="0"/>
              <w:rPr>
                <w:color w:val="000000"/>
              </w:rPr>
            </w:pPr>
            <w:r>
              <w:rPr>
                <w:color w:val="000000"/>
              </w:rPr>
              <w:t>Regional Australia Institute </w:t>
            </w:r>
          </w:p>
        </w:tc>
      </w:tr>
      <w:tr w:rsidR="006F5B5F" w14:paraId="11C36AA1" w14:textId="77777777" w:rsidTr="00A77C50">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0" w:type="auto"/>
          </w:tcPr>
          <w:p w14:paraId="6BA3CD0B" w14:textId="248BAA97" w:rsidR="006F5B5F" w:rsidRPr="00221FC9" w:rsidRDefault="006F5B5F" w:rsidP="006F5B5F">
            <w:pPr>
              <w:pStyle w:val="PwCNormal-Single"/>
              <w:rPr>
                <w:color w:val="000000"/>
              </w:rPr>
            </w:pPr>
            <w:r>
              <w:rPr>
                <w:color w:val="000000"/>
              </w:rPr>
              <w:t>Donna Bucher</w:t>
            </w:r>
          </w:p>
        </w:tc>
        <w:tc>
          <w:tcPr>
            <w:tcW w:w="0" w:type="auto"/>
          </w:tcPr>
          <w:p w14:paraId="7BDE1473" w14:textId="4BC82221" w:rsidR="006F5B5F" w:rsidRPr="00A77C50" w:rsidRDefault="006F5B5F" w:rsidP="006F5B5F">
            <w:pPr>
              <w:pStyle w:val="PwCNormal-Single"/>
              <w:cnfStyle w:val="000000100000" w:firstRow="0" w:lastRow="0" w:firstColumn="0" w:lastColumn="0" w:oddVBand="0" w:evenVBand="0" w:oddHBand="1" w:evenHBand="0" w:firstRowFirstColumn="0" w:firstRowLastColumn="0" w:lastRowFirstColumn="0" w:lastRowLastColumn="0"/>
              <w:rPr>
                <w:color w:val="000000"/>
              </w:rPr>
            </w:pPr>
            <w:r>
              <w:rPr>
                <w:color w:val="000000"/>
              </w:rPr>
              <w:t>Catholic Schools Tasmania</w:t>
            </w:r>
          </w:p>
        </w:tc>
      </w:tr>
      <w:tr w:rsidR="006F5B5F" w14:paraId="73D6A3DB" w14:textId="77777777" w:rsidTr="00A77C50">
        <w:trPr>
          <w:trHeight w:val="423"/>
        </w:trPr>
        <w:tc>
          <w:tcPr>
            <w:cnfStyle w:val="001000000000" w:firstRow="0" w:lastRow="0" w:firstColumn="1" w:lastColumn="0" w:oddVBand="0" w:evenVBand="0" w:oddHBand="0" w:evenHBand="0" w:firstRowFirstColumn="0" w:firstRowLastColumn="0" w:lastRowFirstColumn="0" w:lastRowLastColumn="0"/>
            <w:tcW w:w="0" w:type="auto"/>
          </w:tcPr>
          <w:p w14:paraId="10DE56DE" w14:textId="36F60B9A" w:rsidR="006F5B5F" w:rsidRPr="00221FC9" w:rsidRDefault="006F5B5F" w:rsidP="006F5B5F">
            <w:pPr>
              <w:pStyle w:val="PwCNormal-Single"/>
              <w:rPr>
                <w:color w:val="000000"/>
              </w:rPr>
            </w:pPr>
            <w:r>
              <w:rPr>
                <w:color w:val="000000"/>
              </w:rPr>
              <w:t>Ellen Lintjens</w:t>
            </w:r>
          </w:p>
        </w:tc>
        <w:tc>
          <w:tcPr>
            <w:tcW w:w="0" w:type="auto"/>
          </w:tcPr>
          <w:p w14:paraId="5B735D7E" w14:textId="3646AD91" w:rsidR="006F5B5F" w:rsidRPr="00A77C50" w:rsidRDefault="006F5B5F" w:rsidP="006F5B5F">
            <w:pPr>
              <w:pStyle w:val="PwCNormal-Single"/>
              <w:cnfStyle w:val="000000000000" w:firstRow="0" w:lastRow="0" w:firstColumn="0" w:lastColumn="0" w:oddVBand="0" w:evenVBand="0" w:oddHBand="0" w:evenHBand="0" w:firstRowFirstColumn="0" w:firstRowLastColumn="0" w:lastRowFirstColumn="0" w:lastRowLastColumn="0"/>
              <w:rPr>
                <w:color w:val="000000"/>
              </w:rPr>
            </w:pPr>
            <w:r>
              <w:rPr>
                <w:color w:val="000000"/>
              </w:rPr>
              <w:t>NSW Department of Education</w:t>
            </w:r>
          </w:p>
        </w:tc>
      </w:tr>
      <w:tr w:rsidR="006F5B5F" w14:paraId="5636F8A2" w14:textId="77777777" w:rsidTr="00A77C50">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0" w:type="auto"/>
          </w:tcPr>
          <w:p w14:paraId="0C58F6C8" w14:textId="16938CC3" w:rsidR="006F5B5F" w:rsidRPr="00221FC9" w:rsidRDefault="006F5B5F" w:rsidP="006F5B5F">
            <w:pPr>
              <w:pStyle w:val="PwCNormal-Single"/>
              <w:rPr>
                <w:color w:val="000000"/>
              </w:rPr>
            </w:pPr>
            <w:r>
              <w:rPr>
                <w:color w:val="000000"/>
              </w:rPr>
              <w:t>Emily Wilson</w:t>
            </w:r>
          </w:p>
        </w:tc>
        <w:tc>
          <w:tcPr>
            <w:tcW w:w="0" w:type="auto"/>
          </w:tcPr>
          <w:p w14:paraId="39B0FF17" w14:textId="72C8E1B2" w:rsidR="006F5B5F" w:rsidRPr="00A77C50" w:rsidRDefault="006F5B5F" w:rsidP="006F5B5F">
            <w:pPr>
              <w:pStyle w:val="PwCNormal-Single"/>
              <w:cnfStyle w:val="000000100000" w:firstRow="0" w:lastRow="0" w:firstColumn="0" w:lastColumn="0" w:oddVBand="0" w:evenVBand="0" w:oddHBand="1" w:evenHBand="0" w:firstRowFirstColumn="0" w:firstRowLastColumn="0" w:lastRowFirstColumn="0" w:lastRowLastColumn="0"/>
              <w:rPr>
                <w:color w:val="000000"/>
              </w:rPr>
            </w:pPr>
            <w:r>
              <w:rPr>
                <w:color w:val="000000"/>
              </w:rPr>
              <w:t>Queensland Catholic Education Commission </w:t>
            </w:r>
          </w:p>
        </w:tc>
      </w:tr>
      <w:tr w:rsidR="006F5B5F" w14:paraId="0FD4B504" w14:textId="77777777" w:rsidTr="00A77C50">
        <w:trPr>
          <w:trHeight w:val="423"/>
        </w:trPr>
        <w:tc>
          <w:tcPr>
            <w:cnfStyle w:val="001000000000" w:firstRow="0" w:lastRow="0" w:firstColumn="1" w:lastColumn="0" w:oddVBand="0" w:evenVBand="0" w:oddHBand="0" w:evenHBand="0" w:firstRowFirstColumn="0" w:firstRowLastColumn="0" w:lastRowFirstColumn="0" w:lastRowLastColumn="0"/>
            <w:tcW w:w="0" w:type="auto"/>
          </w:tcPr>
          <w:p w14:paraId="15ED528B" w14:textId="6869E2BB" w:rsidR="006F5B5F" w:rsidRPr="00221FC9" w:rsidRDefault="006F5B5F" w:rsidP="006F5B5F">
            <w:pPr>
              <w:pStyle w:val="PwCNormal-Single"/>
              <w:rPr>
                <w:color w:val="000000"/>
              </w:rPr>
            </w:pPr>
            <w:r>
              <w:rPr>
                <w:color w:val="000000"/>
              </w:rPr>
              <w:t>Emma Handford</w:t>
            </w:r>
          </w:p>
        </w:tc>
        <w:tc>
          <w:tcPr>
            <w:tcW w:w="0" w:type="auto"/>
          </w:tcPr>
          <w:p w14:paraId="0DE47121" w14:textId="29797573" w:rsidR="006F5B5F" w:rsidRPr="00A77C50" w:rsidRDefault="006F5B5F" w:rsidP="006F5B5F">
            <w:pPr>
              <w:pStyle w:val="PwCNormal-Single"/>
              <w:cnfStyle w:val="000000000000" w:firstRow="0" w:lastRow="0" w:firstColumn="0" w:lastColumn="0" w:oddVBand="0" w:evenVBand="0" w:oddHBand="0" w:evenHBand="0" w:firstRowFirstColumn="0" w:firstRowLastColumn="0" w:lastRowFirstColumn="0" w:lastRowLastColumn="0"/>
              <w:rPr>
                <w:color w:val="000000"/>
              </w:rPr>
            </w:pPr>
            <w:r>
              <w:rPr>
                <w:color w:val="000000"/>
              </w:rPr>
              <w:t>Department of Education SA</w:t>
            </w:r>
          </w:p>
        </w:tc>
      </w:tr>
      <w:tr w:rsidR="006F5B5F" w14:paraId="34875D45" w14:textId="77777777" w:rsidTr="00A77C50">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0" w:type="auto"/>
          </w:tcPr>
          <w:p w14:paraId="6E310C81" w14:textId="2398FC06" w:rsidR="006F5B5F" w:rsidRPr="00221FC9" w:rsidRDefault="006F5B5F" w:rsidP="006F5B5F">
            <w:pPr>
              <w:pStyle w:val="PwCNormal-Single"/>
              <w:rPr>
                <w:color w:val="000000"/>
              </w:rPr>
            </w:pPr>
            <w:r>
              <w:rPr>
                <w:color w:val="000000"/>
              </w:rPr>
              <w:t>Genevie Baker</w:t>
            </w:r>
          </w:p>
        </w:tc>
        <w:tc>
          <w:tcPr>
            <w:tcW w:w="0" w:type="auto"/>
          </w:tcPr>
          <w:p w14:paraId="6CF956E4" w14:textId="6E7E9027" w:rsidR="006F5B5F" w:rsidRPr="00A77C50" w:rsidRDefault="006F5B5F" w:rsidP="006F5B5F">
            <w:pPr>
              <w:pStyle w:val="PwCNormal-Single"/>
              <w:cnfStyle w:val="000000100000" w:firstRow="0" w:lastRow="0" w:firstColumn="0" w:lastColumn="0" w:oddVBand="0" w:evenVBand="0" w:oddHBand="1" w:evenHBand="0" w:firstRowFirstColumn="0" w:firstRowLastColumn="0" w:lastRowFirstColumn="0" w:lastRowLastColumn="0"/>
              <w:rPr>
                <w:color w:val="000000"/>
              </w:rPr>
            </w:pPr>
            <w:r>
              <w:rPr>
                <w:color w:val="000000"/>
              </w:rPr>
              <w:t>Catholic Education WA</w:t>
            </w:r>
          </w:p>
        </w:tc>
      </w:tr>
      <w:tr w:rsidR="006F5B5F" w14:paraId="5917D1C7" w14:textId="77777777" w:rsidTr="00A77C50">
        <w:trPr>
          <w:trHeight w:val="423"/>
        </w:trPr>
        <w:tc>
          <w:tcPr>
            <w:cnfStyle w:val="001000000000" w:firstRow="0" w:lastRow="0" w:firstColumn="1" w:lastColumn="0" w:oddVBand="0" w:evenVBand="0" w:oddHBand="0" w:evenHBand="0" w:firstRowFirstColumn="0" w:firstRowLastColumn="0" w:lastRowFirstColumn="0" w:lastRowLastColumn="0"/>
            <w:tcW w:w="0" w:type="auto"/>
          </w:tcPr>
          <w:p w14:paraId="4811DE08" w14:textId="6C79EA23" w:rsidR="006F5B5F" w:rsidRPr="00221FC9" w:rsidRDefault="006F5B5F" w:rsidP="006F5B5F">
            <w:pPr>
              <w:pStyle w:val="PwCNormal-Single"/>
              <w:rPr>
                <w:color w:val="000000"/>
              </w:rPr>
            </w:pPr>
            <w:r>
              <w:rPr>
                <w:color w:val="000000"/>
              </w:rPr>
              <w:t>Gerard Delany</w:t>
            </w:r>
          </w:p>
        </w:tc>
        <w:tc>
          <w:tcPr>
            <w:tcW w:w="0" w:type="auto"/>
          </w:tcPr>
          <w:p w14:paraId="6F382CB3" w14:textId="5B5CDCBE" w:rsidR="006F5B5F" w:rsidRPr="00A77C50" w:rsidRDefault="006F5B5F" w:rsidP="006F5B5F">
            <w:pPr>
              <w:pStyle w:val="PwCNormal-Single"/>
              <w:cnfStyle w:val="000000000000" w:firstRow="0" w:lastRow="0" w:firstColumn="0" w:lastColumn="0" w:oddVBand="0" w:evenVBand="0" w:oddHBand="0" w:evenHBand="0" w:firstRowFirstColumn="0" w:firstRowLastColumn="0" w:lastRowFirstColumn="0" w:lastRowLastColumn="0"/>
              <w:rPr>
                <w:color w:val="000000"/>
              </w:rPr>
            </w:pPr>
            <w:r>
              <w:rPr>
                <w:color w:val="000000"/>
              </w:rPr>
              <w:t>Catholic Schools NSW</w:t>
            </w:r>
          </w:p>
        </w:tc>
      </w:tr>
      <w:tr w:rsidR="006F5B5F" w14:paraId="62AE3C9E" w14:textId="77777777" w:rsidTr="00A77C50">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0" w:type="auto"/>
          </w:tcPr>
          <w:p w14:paraId="01D797CA" w14:textId="5AC9BC54" w:rsidR="006F5B5F" w:rsidRPr="00221FC9" w:rsidRDefault="006F5B5F" w:rsidP="006F5B5F">
            <w:pPr>
              <w:pStyle w:val="PwCNormal-Single"/>
              <w:rPr>
                <w:color w:val="000000"/>
              </w:rPr>
            </w:pPr>
            <w:r>
              <w:rPr>
                <w:color w:val="000000"/>
              </w:rPr>
              <w:t>ITECA</w:t>
            </w:r>
          </w:p>
        </w:tc>
        <w:tc>
          <w:tcPr>
            <w:tcW w:w="0" w:type="auto"/>
          </w:tcPr>
          <w:p w14:paraId="1D94708B" w14:textId="0B2A0505" w:rsidR="006F5B5F" w:rsidRPr="00A77C50" w:rsidRDefault="006F5B5F" w:rsidP="006F5B5F">
            <w:pPr>
              <w:pStyle w:val="PwCNormal-Single"/>
              <w:cnfStyle w:val="000000100000" w:firstRow="0" w:lastRow="0" w:firstColumn="0" w:lastColumn="0" w:oddVBand="0" w:evenVBand="0" w:oddHBand="1" w:evenHBand="0" w:firstRowFirstColumn="0" w:firstRowLastColumn="0" w:lastRowFirstColumn="0" w:lastRowLastColumn="0"/>
              <w:rPr>
                <w:color w:val="000000"/>
              </w:rPr>
            </w:pPr>
            <w:r>
              <w:rPr>
                <w:color w:val="000000"/>
              </w:rPr>
              <w:t>Independent Tertiary Education Council Australia</w:t>
            </w:r>
          </w:p>
        </w:tc>
      </w:tr>
      <w:tr w:rsidR="006F5B5F" w14:paraId="37A958DD" w14:textId="77777777" w:rsidTr="00A77C50">
        <w:trPr>
          <w:trHeight w:val="450"/>
        </w:trPr>
        <w:tc>
          <w:tcPr>
            <w:cnfStyle w:val="001000000000" w:firstRow="0" w:lastRow="0" w:firstColumn="1" w:lastColumn="0" w:oddVBand="0" w:evenVBand="0" w:oddHBand="0" w:evenHBand="0" w:firstRowFirstColumn="0" w:firstRowLastColumn="0" w:lastRowFirstColumn="0" w:lastRowLastColumn="0"/>
            <w:tcW w:w="0" w:type="auto"/>
          </w:tcPr>
          <w:p w14:paraId="5158551C" w14:textId="24FFC2B1" w:rsidR="006F5B5F" w:rsidRPr="00221FC9" w:rsidRDefault="006F5B5F" w:rsidP="006F5B5F">
            <w:pPr>
              <w:pStyle w:val="PwCNormal-Single"/>
              <w:rPr>
                <w:color w:val="000000"/>
              </w:rPr>
            </w:pPr>
            <w:r>
              <w:rPr>
                <w:color w:val="000000"/>
              </w:rPr>
              <w:t>James Hayres</w:t>
            </w:r>
          </w:p>
        </w:tc>
        <w:tc>
          <w:tcPr>
            <w:tcW w:w="0" w:type="auto"/>
          </w:tcPr>
          <w:p w14:paraId="7A054808" w14:textId="7240287A" w:rsidR="006F5B5F" w:rsidRPr="00A77C50" w:rsidRDefault="006F5B5F" w:rsidP="006F5B5F">
            <w:pPr>
              <w:pStyle w:val="PwCNormal-Single"/>
              <w:cnfStyle w:val="000000000000" w:firstRow="0" w:lastRow="0" w:firstColumn="0" w:lastColumn="0" w:oddVBand="0" w:evenVBand="0" w:oddHBand="0" w:evenHBand="0" w:firstRowFirstColumn="0" w:firstRowLastColumn="0" w:lastRowFirstColumn="0" w:lastRowLastColumn="0"/>
              <w:rPr>
                <w:color w:val="000000"/>
              </w:rPr>
            </w:pPr>
            <w:r>
              <w:rPr>
                <w:color w:val="000000"/>
              </w:rPr>
              <w:t>Department of Education WA</w:t>
            </w:r>
          </w:p>
        </w:tc>
      </w:tr>
      <w:tr w:rsidR="006F5B5F" w14:paraId="033307B2" w14:textId="77777777" w:rsidTr="00A77C50">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0" w:type="auto"/>
          </w:tcPr>
          <w:p w14:paraId="76C2D6CC" w14:textId="6E3876D5" w:rsidR="006F5B5F" w:rsidRPr="00221FC9" w:rsidRDefault="006F5B5F" w:rsidP="006F5B5F">
            <w:pPr>
              <w:pStyle w:val="PwCNormal-Single"/>
              <w:rPr>
                <w:color w:val="000000"/>
              </w:rPr>
            </w:pPr>
            <w:r>
              <w:rPr>
                <w:color w:val="000000"/>
              </w:rPr>
              <w:t>Jenni Butler</w:t>
            </w:r>
          </w:p>
        </w:tc>
        <w:tc>
          <w:tcPr>
            <w:tcW w:w="0" w:type="auto"/>
          </w:tcPr>
          <w:p w14:paraId="2F12E6F5" w14:textId="01D3B080" w:rsidR="006F5B5F" w:rsidRPr="00A77C50" w:rsidRDefault="006F5B5F" w:rsidP="006F5B5F">
            <w:pPr>
              <w:pStyle w:val="PwCNormal-Single"/>
              <w:cnfStyle w:val="000000100000" w:firstRow="0" w:lastRow="0" w:firstColumn="0" w:lastColumn="0" w:oddVBand="0" w:evenVBand="0" w:oddHBand="1" w:evenHBand="0" w:firstRowFirstColumn="0" w:firstRowLastColumn="0" w:lastRowFirstColumn="0" w:lastRowLastColumn="0"/>
              <w:rPr>
                <w:color w:val="000000"/>
              </w:rPr>
            </w:pPr>
            <w:r>
              <w:rPr>
                <w:color w:val="000000"/>
              </w:rPr>
              <w:t>TAFE Queensland</w:t>
            </w:r>
          </w:p>
        </w:tc>
      </w:tr>
      <w:tr w:rsidR="006F5B5F" w14:paraId="58C7E851" w14:textId="77777777" w:rsidTr="00A77C50">
        <w:trPr>
          <w:trHeight w:val="423"/>
        </w:trPr>
        <w:tc>
          <w:tcPr>
            <w:cnfStyle w:val="001000000000" w:firstRow="0" w:lastRow="0" w:firstColumn="1" w:lastColumn="0" w:oddVBand="0" w:evenVBand="0" w:oddHBand="0" w:evenHBand="0" w:firstRowFirstColumn="0" w:firstRowLastColumn="0" w:lastRowFirstColumn="0" w:lastRowLastColumn="0"/>
            <w:tcW w:w="0" w:type="auto"/>
          </w:tcPr>
          <w:p w14:paraId="57BADE1A" w14:textId="7BD57549" w:rsidR="006F5B5F" w:rsidRPr="00221FC9" w:rsidRDefault="006F5B5F" w:rsidP="006F5B5F">
            <w:pPr>
              <w:pStyle w:val="PwCNormal-Single"/>
              <w:rPr>
                <w:color w:val="000000"/>
              </w:rPr>
            </w:pPr>
            <w:r>
              <w:rPr>
                <w:color w:val="000000"/>
              </w:rPr>
              <w:t>Jenny Dodd</w:t>
            </w:r>
          </w:p>
        </w:tc>
        <w:tc>
          <w:tcPr>
            <w:tcW w:w="0" w:type="auto"/>
          </w:tcPr>
          <w:p w14:paraId="6730DE2A" w14:textId="38FED93F" w:rsidR="006F5B5F" w:rsidRPr="00A77C50" w:rsidRDefault="006F5B5F" w:rsidP="006F5B5F">
            <w:pPr>
              <w:pStyle w:val="PwCNormal-Single"/>
              <w:cnfStyle w:val="000000000000" w:firstRow="0" w:lastRow="0" w:firstColumn="0" w:lastColumn="0" w:oddVBand="0" w:evenVBand="0" w:oddHBand="0" w:evenHBand="0" w:firstRowFirstColumn="0" w:firstRowLastColumn="0" w:lastRowFirstColumn="0" w:lastRowLastColumn="0"/>
              <w:rPr>
                <w:color w:val="000000"/>
              </w:rPr>
            </w:pPr>
            <w:r>
              <w:rPr>
                <w:color w:val="000000"/>
              </w:rPr>
              <w:t>TAFE Directors Australia</w:t>
            </w:r>
          </w:p>
        </w:tc>
      </w:tr>
      <w:tr w:rsidR="006F5B5F" w14:paraId="5ED04704" w14:textId="77777777" w:rsidTr="00A77C50">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0" w:type="auto"/>
          </w:tcPr>
          <w:p w14:paraId="08285D52" w14:textId="54866CDC" w:rsidR="006F5B5F" w:rsidRPr="00221FC9" w:rsidRDefault="006F5B5F" w:rsidP="006F5B5F">
            <w:pPr>
              <w:pStyle w:val="PwCNormal-Single"/>
              <w:rPr>
                <w:color w:val="000000"/>
              </w:rPr>
            </w:pPr>
            <w:r>
              <w:rPr>
                <w:color w:val="000000"/>
              </w:rPr>
              <w:t>Jenny WIlson</w:t>
            </w:r>
          </w:p>
        </w:tc>
        <w:tc>
          <w:tcPr>
            <w:tcW w:w="0" w:type="auto"/>
          </w:tcPr>
          <w:p w14:paraId="409CEA2B" w14:textId="0CD607E7" w:rsidR="006F5B5F" w:rsidRPr="00A77C50" w:rsidRDefault="006F5B5F" w:rsidP="006F5B5F">
            <w:pPr>
              <w:pStyle w:val="PwCNormal-Single"/>
              <w:cnfStyle w:val="000000100000" w:firstRow="0" w:lastRow="0" w:firstColumn="0" w:lastColumn="0" w:oddVBand="0" w:evenVBand="0" w:oddHBand="1" w:evenHBand="0" w:firstRowFirstColumn="0" w:firstRowLastColumn="0" w:lastRowFirstColumn="0" w:lastRowLastColumn="0"/>
              <w:rPr>
                <w:color w:val="000000"/>
              </w:rPr>
            </w:pPr>
            <w:r>
              <w:rPr>
                <w:color w:val="000000"/>
              </w:rPr>
              <w:t>Melbourne Archdiocese Catholic Schools</w:t>
            </w:r>
          </w:p>
        </w:tc>
      </w:tr>
      <w:tr w:rsidR="006F5B5F" w14:paraId="17488C2C" w14:textId="77777777" w:rsidTr="00A77C50">
        <w:trPr>
          <w:trHeight w:val="423"/>
        </w:trPr>
        <w:tc>
          <w:tcPr>
            <w:cnfStyle w:val="001000000000" w:firstRow="0" w:lastRow="0" w:firstColumn="1" w:lastColumn="0" w:oddVBand="0" w:evenVBand="0" w:oddHBand="0" w:evenHBand="0" w:firstRowFirstColumn="0" w:firstRowLastColumn="0" w:lastRowFirstColumn="0" w:lastRowLastColumn="0"/>
            <w:tcW w:w="0" w:type="auto"/>
          </w:tcPr>
          <w:p w14:paraId="774144A8" w14:textId="54CEA97A" w:rsidR="006F5B5F" w:rsidRPr="00221FC9" w:rsidRDefault="006F5B5F" w:rsidP="006F5B5F">
            <w:pPr>
              <w:pStyle w:val="PwCNormal-Single"/>
              <w:rPr>
                <w:color w:val="000000"/>
              </w:rPr>
            </w:pPr>
            <w:r>
              <w:rPr>
                <w:color w:val="000000"/>
              </w:rPr>
              <w:t>Jessica Jackson</w:t>
            </w:r>
          </w:p>
        </w:tc>
        <w:tc>
          <w:tcPr>
            <w:tcW w:w="0" w:type="auto"/>
          </w:tcPr>
          <w:p w14:paraId="3161FD8B" w14:textId="535A8B69" w:rsidR="006F5B5F" w:rsidRPr="00A77C50" w:rsidRDefault="006F5B5F" w:rsidP="006F5B5F">
            <w:pPr>
              <w:pStyle w:val="PwCNormal-Single"/>
              <w:cnfStyle w:val="000000000000" w:firstRow="0" w:lastRow="0" w:firstColumn="0" w:lastColumn="0" w:oddVBand="0" w:evenVBand="0" w:oddHBand="0" w:evenHBand="0" w:firstRowFirstColumn="0" w:firstRowLastColumn="0" w:lastRowFirstColumn="0" w:lastRowLastColumn="0"/>
              <w:rPr>
                <w:color w:val="000000"/>
              </w:rPr>
            </w:pPr>
            <w:r>
              <w:rPr>
                <w:color w:val="000000"/>
              </w:rPr>
              <w:t>Skills Tasmania</w:t>
            </w:r>
          </w:p>
        </w:tc>
      </w:tr>
      <w:tr w:rsidR="006F5B5F" w14:paraId="219E1BEE" w14:textId="77777777" w:rsidTr="00A77C50">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0" w:type="auto"/>
          </w:tcPr>
          <w:p w14:paraId="5536432F" w14:textId="48B05676" w:rsidR="006F5B5F" w:rsidRPr="00221FC9" w:rsidRDefault="006F5B5F" w:rsidP="006F5B5F">
            <w:pPr>
              <w:pStyle w:val="PwCNormal-Single"/>
              <w:rPr>
                <w:color w:val="000000"/>
              </w:rPr>
            </w:pPr>
            <w:r>
              <w:rPr>
                <w:color w:val="000000"/>
              </w:rPr>
              <w:t>Joanne Gooden</w:t>
            </w:r>
          </w:p>
        </w:tc>
        <w:tc>
          <w:tcPr>
            <w:tcW w:w="0" w:type="auto"/>
          </w:tcPr>
          <w:p w14:paraId="594AB211" w14:textId="35C7326C" w:rsidR="006F5B5F" w:rsidRPr="00A77C50" w:rsidRDefault="006F5B5F" w:rsidP="006F5B5F">
            <w:pPr>
              <w:pStyle w:val="PwCNormal-Single"/>
              <w:cnfStyle w:val="000000100000" w:firstRow="0" w:lastRow="0" w:firstColumn="0" w:lastColumn="0" w:oddVBand="0" w:evenVBand="0" w:oddHBand="1" w:evenHBand="0" w:firstRowFirstColumn="0" w:firstRowLastColumn="0" w:lastRowFirstColumn="0" w:lastRowLastColumn="0"/>
              <w:rPr>
                <w:color w:val="000000"/>
              </w:rPr>
            </w:pPr>
            <w:r>
              <w:rPr>
                <w:color w:val="000000"/>
              </w:rPr>
              <w:t>School of Isolated and Distance Education </w:t>
            </w:r>
          </w:p>
        </w:tc>
      </w:tr>
      <w:tr w:rsidR="006F5B5F" w14:paraId="2B36C1B6" w14:textId="77777777" w:rsidTr="00A77C50">
        <w:trPr>
          <w:trHeight w:val="423"/>
        </w:trPr>
        <w:tc>
          <w:tcPr>
            <w:cnfStyle w:val="001000000000" w:firstRow="0" w:lastRow="0" w:firstColumn="1" w:lastColumn="0" w:oddVBand="0" w:evenVBand="0" w:oddHBand="0" w:evenHBand="0" w:firstRowFirstColumn="0" w:firstRowLastColumn="0" w:lastRowFirstColumn="0" w:lastRowLastColumn="0"/>
            <w:tcW w:w="0" w:type="auto"/>
          </w:tcPr>
          <w:p w14:paraId="49A24690" w14:textId="7B5113B2" w:rsidR="006F5B5F" w:rsidRPr="00221FC9" w:rsidRDefault="006F5B5F" w:rsidP="006F5B5F">
            <w:pPr>
              <w:pStyle w:val="PwCNormal-Single"/>
              <w:rPr>
                <w:color w:val="000000"/>
              </w:rPr>
            </w:pPr>
            <w:r>
              <w:rPr>
                <w:color w:val="000000"/>
              </w:rPr>
              <w:t>Joanne Perry</w:t>
            </w:r>
          </w:p>
        </w:tc>
        <w:tc>
          <w:tcPr>
            <w:tcW w:w="0" w:type="auto"/>
          </w:tcPr>
          <w:p w14:paraId="6A787BEA" w14:textId="07E63722" w:rsidR="006F5B5F" w:rsidRPr="00A77C50" w:rsidRDefault="006F5B5F" w:rsidP="006F5B5F">
            <w:pPr>
              <w:pStyle w:val="PwCNormal-Single"/>
              <w:cnfStyle w:val="000000000000" w:firstRow="0" w:lastRow="0" w:firstColumn="0" w:lastColumn="0" w:oddVBand="0" w:evenVBand="0" w:oddHBand="0" w:evenHBand="0" w:firstRowFirstColumn="0" w:firstRowLastColumn="0" w:lastRowFirstColumn="0" w:lastRowLastColumn="0"/>
              <w:rPr>
                <w:color w:val="000000"/>
              </w:rPr>
            </w:pPr>
            <w:r>
              <w:rPr>
                <w:color w:val="000000"/>
              </w:rPr>
              <w:t>Central Queensland University</w:t>
            </w:r>
          </w:p>
        </w:tc>
      </w:tr>
      <w:tr w:rsidR="006F5B5F" w14:paraId="25B0A809" w14:textId="77777777" w:rsidTr="00A77C50">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0" w:type="auto"/>
          </w:tcPr>
          <w:p w14:paraId="6EB226B3" w14:textId="736B8DE2" w:rsidR="006F5B5F" w:rsidRPr="00221FC9" w:rsidRDefault="006F5B5F" w:rsidP="006F5B5F">
            <w:pPr>
              <w:pStyle w:val="PwCNormal-Single"/>
              <w:rPr>
                <w:color w:val="000000"/>
              </w:rPr>
            </w:pPr>
            <w:r>
              <w:rPr>
                <w:color w:val="000000"/>
              </w:rPr>
              <w:t>Julia Anderson</w:t>
            </w:r>
          </w:p>
        </w:tc>
        <w:tc>
          <w:tcPr>
            <w:tcW w:w="0" w:type="auto"/>
          </w:tcPr>
          <w:p w14:paraId="2AE170C9" w14:textId="4B0A0331" w:rsidR="006F5B5F" w:rsidRPr="00A77C50" w:rsidRDefault="006F5B5F" w:rsidP="006F5B5F">
            <w:pPr>
              <w:pStyle w:val="PwCNormal-Single"/>
              <w:cnfStyle w:val="000000100000" w:firstRow="0" w:lastRow="0" w:firstColumn="0" w:lastColumn="0" w:oddVBand="0" w:evenVBand="0" w:oddHBand="1" w:evenHBand="0" w:firstRowFirstColumn="0" w:firstRowLastColumn="0" w:lastRowFirstColumn="0" w:lastRowLastColumn="0"/>
              <w:rPr>
                <w:color w:val="000000"/>
              </w:rPr>
            </w:pPr>
            <w:r>
              <w:rPr>
                <w:color w:val="000000"/>
              </w:rPr>
              <w:t>Catholic Schools NT</w:t>
            </w:r>
          </w:p>
        </w:tc>
      </w:tr>
      <w:tr w:rsidR="006F5B5F" w14:paraId="5A156D3F" w14:textId="77777777" w:rsidTr="00A77C50">
        <w:trPr>
          <w:trHeight w:val="423"/>
        </w:trPr>
        <w:tc>
          <w:tcPr>
            <w:cnfStyle w:val="001000000000" w:firstRow="0" w:lastRow="0" w:firstColumn="1" w:lastColumn="0" w:oddVBand="0" w:evenVBand="0" w:oddHBand="0" w:evenHBand="0" w:firstRowFirstColumn="0" w:firstRowLastColumn="0" w:lastRowFirstColumn="0" w:lastRowLastColumn="0"/>
            <w:tcW w:w="0" w:type="auto"/>
          </w:tcPr>
          <w:p w14:paraId="052B3305" w14:textId="7B4FC906" w:rsidR="006F5B5F" w:rsidRPr="00221FC9" w:rsidRDefault="006F5B5F" w:rsidP="006F5B5F">
            <w:pPr>
              <w:pStyle w:val="PwCNormal-Single"/>
              <w:rPr>
                <w:color w:val="000000"/>
              </w:rPr>
            </w:pPr>
            <w:r>
              <w:rPr>
                <w:color w:val="000000"/>
              </w:rPr>
              <w:t>Karen Ruppert</w:t>
            </w:r>
          </w:p>
        </w:tc>
        <w:tc>
          <w:tcPr>
            <w:tcW w:w="0" w:type="auto"/>
          </w:tcPr>
          <w:p w14:paraId="6F98F5AA" w14:textId="7DC8E241" w:rsidR="006F5B5F" w:rsidRPr="00A77C50" w:rsidRDefault="006F5B5F" w:rsidP="006F5B5F">
            <w:pPr>
              <w:pStyle w:val="PwCNormal-Single"/>
              <w:cnfStyle w:val="000000000000" w:firstRow="0" w:lastRow="0" w:firstColumn="0" w:lastColumn="0" w:oddVBand="0" w:evenVBand="0" w:oddHBand="0" w:evenHBand="0" w:firstRowFirstColumn="0" w:firstRowLastColumn="0" w:lastRowFirstColumn="0" w:lastRowLastColumn="0"/>
              <w:rPr>
                <w:color w:val="000000"/>
              </w:rPr>
            </w:pPr>
            <w:r w:rsidRPr="00A77C50">
              <w:rPr>
                <w:color w:val="000000"/>
              </w:rPr>
              <w:t>Catholic Schools ACT</w:t>
            </w:r>
          </w:p>
        </w:tc>
      </w:tr>
      <w:tr w:rsidR="006F5B5F" w14:paraId="7D1CCE02" w14:textId="77777777" w:rsidTr="00A77C50">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0" w:type="auto"/>
          </w:tcPr>
          <w:p w14:paraId="030CF8B6" w14:textId="7B4C8D97" w:rsidR="006F5B5F" w:rsidRPr="00221FC9" w:rsidRDefault="006F5B5F" w:rsidP="006F5B5F">
            <w:pPr>
              <w:pStyle w:val="PwCNormal-Single"/>
              <w:rPr>
                <w:color w:val="000000"/>
              </w:rPr>
            </w:pPr>
            <w:r w:rsidRPr="00221FC9">
              <w:rPr>
                <w:color w:val="000000"/>
              </w:rPr>
              <w:t>Karen Watts </w:t>
            </w:r>
          </w:p>
        </w:tc>
        <w:tc>
          <w:tcPr>
            <w:tcW w:w="0" w:type="auto"/>
          </w:tcPr>
          <w:p w14:paraId="65DD7D4D" w14:textId="013E6831" w:rsidR="006F5B5F" w:rsidRPr="00A77C50" w:rsidRDefault="006F5B5F" w:rsidP="006F5B5F">
            <w:pPr>
              <w:pStyle w:val="PwCNormal-Single"/>
              <w:cnfStyle w:val="000000100000" w:firstRow="0" w:lastRow="0" w:firstColumn="0" w:lastColumn="0" w:oddVBand="0" w:evenVBand="0" w:oddHBand="1" w:evenHBand="0" w:firstRowFirstColumn="0" w:firstRowLastColumn="0" w:lastRowFirstColumn="0" w:lastRowLastColumn="0"/>
              <w:rPr>
                <w:color w:val="000000"/>
              </w:rPr>
            </w:pPr>
            <w:r w:rsidRPr="00A77C50">
              <w:rPr>
                <w:color w:val="000000"/>
              </w:rPr>
              <w:t>Central Regional TAFE (WA)</w:t>
            </w:r>
          </w:p>
        </w:tc>
      </w:tr>
      <w:tr w:rsidR="006F5B5F" w14:paraId="23D97E33" w14:textId="77777777" w:rsidTr="00A77C50">
        <w:trPr>
          <w:trHeight w:val="423"/>
        </w:trPr>
        <w:tc>
          <w:tcPr>
            <w:cnfStyle w:val="001000000000" w:firstRow="0" w:lastRow="0" w:firstColumn="1" w:lastColumn="0" w:oddVBand="0" w:evenVBand="0" w:oddHBand="0" w:evenHBand="0" w:firstRowFirstColumn="0" w:firstRowLastColumn="0" w:lastRowFirstColumn="0" w:lastRowLastColumn="0"/>
            <w:tcW w:w="0" w:type="auto"/>
          </w:tcPr>
          <w:p w14:paraId="5518172A" w14:textId="4DC7C6E8" w:rsidR="006F5B5F" w:rsidRPr="00221FC9" w:rsidRDefault="006F5B5F" w:rsidP="006F5B5F">
            <w:pPr>
              <w:pStyle w:val="PwCNormal-Single"/>
              <w:rPr>
                <w:color w:val="000000"/>
              </w:rPr>
            </w:pPr>
            <w:r>
              <w:rPr>
                <w:color w:val="000000"/>
              </w:rPr>
              <w:t>Kate Thompson</w:t>
            </w:r>
          </w:p>
        </w:tc>
        <w:tc>
          <w:tcPr>
            <w:tcW w:w="0" w:type="auto"/>
          </w:tcPr>
          <w:p w14:paraId="0BFA7EA7" w14:textId="10E5AFAA" w:rsidR="006F5B5F" w:rsidRPr="00A77C50" w:rsidRDefault="006F5B5F" w:rsidP="006F5B5F">
            <w:pPr>
              <w:pStyle w:val="PwCNormal-Single"/>
              <w:cnfStyle w:val="000000000000" w:firstRow="0" w:lastRow="0" w:firstColumn="0" w:lastColumn="0" w:oddVBand="0" w:evenVBand="0" w:oddHBand="0" w:evenHBand="0" w:firstRowFirstColumn="0" w:firstRowLastColumn="0" w:lastRowFirstColumn="0" w:lastRowLastColumn="0"/>
              <w:rPr>
                <w:color w:val="000000"/>
              </w:rPr>
            </w:pPr>
            <w:r w:rsidRPr="00A77C50">
              <w:rPr>
                <w:color w:val="000000"/>
              </w:rPr>
              <w:t>Isolated Children's Parents' Association</w:t>
            </w:r>
          </w:p>
        </w:tc>
      </w:tr>
      <w:tr w:rsidR="006F5B5F" w14:paraId="4A3EF050" w14:textId="77777777" w:rsidTr="00A77C50">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0" w:type="auto"/>
          </w:tcPr>
          <w:p w14:paraId="69CB2079" w14:textId="22C76275" w:rsidR="006F5B5F" w:rsidRPr="00221FC9" w:rsidRDefault="006F5B5F" w:rsidP="006F5B5F">
            <w:pPr>
              <w:pStyle w:val="PwCNormal-Single"/>
              <w:rPr>
                <w:color w:val="000000"/>
              </w:rPr>
            </w:pPr>
            <w:r>
              <w:rPr>
                <w:color w:val="000000"/>
              </w:rPr>
              <w:t>Katherine Bassett</w:t>
            </w:r>
          </w:p>
        </w:tc>
        <w:tc>
          <w:tcPr>
            <w:tcW w:w="0" w:type="auto"/>
          </w:tcPr>
          <w:p w14:paraId="7A487F0C" w14:textId="0DEBA447" w:rsidR="006F5B5F" w:rsidRPr="00A77C50" w:rsidRDefault="006F5B5F" w:rsidP="006F5B5F">
            <w:pPr>
              <w:pStyle w:val="PwCNormal-Single"/>
              <w:cnfStyle w:val="000000100000" w:firstRow="0" w:lastRow="0" w:firstColumn="0" w:lastColumn="0" w:oddVBand="0" w:evenVBand="0" w:oddHBand="1" w:evenHBand="0" w:firstRowFirstColumn="0" w:firstRowLastColumn="0" w:lastRowFirstColumn="0" w:lastRowLastColumn="0"/>
              <w:rPr>
                <w:color w:val="000000"/>
              </w:rPr>
            </w:pPr>
            <w:r>
              <w:rPr>
                <w:color w:val="000000"/>
              </w:rPr>
              <w:t>Regional Australia Institute </w:t>
            </w:r>
          </w:p>
        </w:tc>
      </w:tr>
      <w:tr w:rsidR="006F5B5F" w14:paraId="0FAD8D3B" w14:textId="77777777" w:rsidTr="00A77C50">
        <w:trPr>
          <w:trHeight w:val="423"/>
        </w:trPr>
        <w:tc>
          <w:tcPr>
            <w:cnfStyle w:val="001000000000" w:firstRow="0" w:lastRow="0" w:firstColumn="1" w:lastColumn="0" w:oddVBand="0" w:evenVBand="0" w:oddHBand="0" w:evenHBand="0" w:firstRowFirstColumn="0" w:firstRowLastColumn="0" w:lastRowFirstColumn="0" w:lastRowLastColumn="0"/>
            <w:tcW w:w="0" w:type="auto"/>
          </w:tcPr>
          <w:p w14:paraId="6B95F7C4" w14:textId="06F2A870" w:rsidR="006F5B5F" w:rsidRPr="00221FC9" w:rsidRDefault="006F5B5F" w:rsidP="006F5B5F">
            <w:pPr>
              <w:pStyle w:val="PwCNormal-Single"/>
              <w:rPr>
                <w:color w:val="000000"/>
              </w:rPr>
            </w:pPr>
            <w:r>
              <w:rPr>
                <w:color w:val="000000"/>
              </w:rPr>
              <w:t>Kim Houghton</w:t>
            </w:r>
          </w:p>
        </w:tc>
        <w:tc>
          <w:tcPr>
            <w:tcW w:w="0" w:type="auto"/>
          </w:tcPr>
          <w:p w14:paraId="3781F555" w14:textId="2C34807F" w:rsidR="006F5B5F" w:rsidRPr="00A77C50" w:rsidRDefault="006F5B5F" w:rsidP="006F5B5F">
            <w:pPr>
              <w:pStyle w:val="PwCNormal-Single"/>
              <w:cnfStyle w:val="000000000000" w:firstRow="0" w:lastRow="0" w:firstColumn="0" w:lastColumn="0" w:oddVBand="0" w:evenVBand="0" w:oddHBand="0" w:evenHBand="0" w:firstRowFirstColumn="0" w:firstRowLastColumn="0" w:lastRowFirstColumn="0" w:lastRowLastColumn="0"/>
              <w:rPr>
                <w:color w:val="000000"/>
              </w:rPr>
            </w:pPr>
            <w:r>
              <w:rPr>
                <w:color w:val="000000"/>
              </w:rPr>
              <w:t>Regional Australia Institute </w:t>
            </w:r>
          </w:p>
        </w:tc>
      </w:tr>
      <w:tr w:rsidR="006F5B5F" w14:paraId="38226C42" w14:textId="77777777" w:rsidTr="00A77C50">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0" w:type="auto"/>
          </w:tcPr>
          <w:p w14:paraId="100FD1A0" w14:textId="1043E13C" w:rsidR="006F5B5F" w:rsidRPr="00221FC9" w:rsidRDefault="006F5B5F" w:rsidP="006F5B5F">
            <w:pPr>
              <w:pStyle w:val="PwCNormal-Single"/>
              <w:rPr>
                <w:color w:val="000000"/>
              </w:rPr>
            </w:pPr>
            <w:r>
              <w:rPr>
                <w:color w:val="000000"/>
              </w:rPr>
              <w:t>Kristen Nyholt</w:t>
            </w:r>
          </w:p>
        </w:tc>
        <w:tc>
          <w:tcPr>
            <w:tcW w:w="0" w:type="auto"/>
          </w:tcPr>
          <w:p w14:paraId="220515CF" w14:textId="28BD474E" w:rsidR="006F5B5F" w:rsidRPr="00A77C50" w:rsidRDefault="006F5B5F" w:rsidP="006F5B5F">
            <w:pPr>
              <w:pStyle w:val="PwCNormal-Single"/>
              <w:cnfStyle w:val="000000100000" w:firstRow="0" w:lastRow="0" w:firstColumn="0" w:lastColumn="0" w:oddVBand="0" w:evenVBand="0" w:oddHBand="1" w:evenHBand="0" w:firstRowFirstColumn="0" w:firstRowLastColumn="0" w:lastRowFirstColumn="0" w:lastRowLastColumn="0"/>
              <w:rPr>
                <w:color w:val="000000"/>
              </w:rPr>
            </w:pPr>
            <w:r w:rsidRPr="00A77C50">
              <w:rPr>
                <w:color w:val="000000"/>
              </w:rPr>
              <w:t>TAFE SA</w:t>
            </w:r>
          </w:p>
        </w:tc>
      </w:tr>
      <w:tr w:rsidR="006F5B5F" w14:paraId="7664C372" w14:textId="77777777" w:rsidTr="00A77C50">
        <w:trPr>
          <w:trHeight w:val="423"/>
        </w:trPr>
        <w:tc>
          <w:tcPr>
            <w:cnfStyle w:val="001000000000" w:firstRow="0" w:lastRow="0" w:firstColumn="1" w:lastColumn="0" w:oddVBand="0" w:evenVBand="0" w:oddHBand="0" w:evenHBand="0" w:firstRowFirstColumn="0" w:firstRowLastColumn="0" w:lastRowFirstColumn="0" w:lastRowLastColumn="0"/>
            <w:tcW w:w="0" w:type="auto"/>
          </w:tcPr>
          <w:p w14:paraId="1B9FF373" w14:textId="2EA5C9E7" w:rsidR="006F5B5F" w:rsidRPr="00221FC9" w:rsidRDefault="006F5B5F" w:rsidP="006F5B5F">
            <w:pPr>
              <w:pStyle w:val="PwCNormal-Single"/>
              <w:rPr>
                <w:color w:val="000000"/>
              </w:rPr>
            </w:pPr>
            <w:r>
              <w:rPr>
                <w:color w:val="000000"/>
              </w:rPr>
              <w:t>Krystal Morrison</w:t>
            </w:r>
          </w:p>
        </w:tc>
        <w:tc>
          <w:tcPr>
            <w:tcW w:w="0" w:type="auto"/>
          </w:tcPr>
          <w:p w14:paraId="7C6CD643" w14:textId="479612A5" w:rsidR="006F5B5F" w:rsidRPr="00A77C50" w:rsidRDefault="006F5B5F" w:rsidP="006F5B5F">
            <w:pPr>
              <w:pStyle w:val="PwCNormal-Single"/>
              <w:cnfStyle w:val="000000000000" w:firstRow="0" w:lastRow="0" w:firstColumn="0" w:lastColumn="0" w:oddVBand="0" w:evenVBand="0" w:oddHBand="0" w:evenHBand="0" w:firstRowFirstColumn="0" w:firstRowLastColumn="0" w:lastRowFirstColumn="0" w:lastRowLastColumn="0"/>
              <w:rPr>
                <w:color w:val="000000"/>
              </w:rPr>
            </w:pPr>
            <w:r w:rsidRPr="00A77C50">
              <w:rPr>
                <w:color w:val="000000"/>
              </w:rPr>
              <w:t>Department of Education Northern Territory Government</w:t>
            </w:r>
          </w:p>
        </w:tc>
      </w:tr>
      <w:tr w:rsidR="006F5B5F" w14:paraId="63057A2E" w14:textId="77777777" w:rsidTr="00A77C50">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0" w:type="auto"/>
          </w:tcPr>
          <w:p w14:paraId="12AAD70A" w14:textId="431585DC" w:rsidR="006F5B5F" w:rsidRPr="00221FC9" w:rsidRDefault="006F5B5F" w:rsidP="006F5B5F">
            <w:pPr>
              <w:pStyle w:val="PwCNormal-Single"/>
              <w:rPr>
                <w:color w:val="000000"/>
              </w:rPr>
            </w:pPr>
            <w:r w:rsidRPr="00221FC9">
              <w:rPr>
                <w:color w:val="000000"/>
              </w:rPr>
              <w:t>Kym Turner</w:t>
            </w:r>
          </w:p>
        </w:tc>
        <w:tc>
          <w:tcPr>
            <w:tcW w:w="0" w:type="auto"/>
          </w:tcPr>
          <w:p w14:paraId="3F66BA4A" w14:textId="7948A725" w:rsidR="006F5B5F" w:rsidRPr="00A77C50" w:rsidRDefault="006F5B5F" w:rsidP="006F5B5F">
            <w:pPr>
              <w:pStyle w:val="PwCNormal-Single"/>
              <w:cnfStyle w:val="000000100000" w:firstRow="0" w:lastRow="0" w:firstColumn="0" w:lastColumn="0" w:oddVBand="0" w:evenVBand="0" w:oddHBand="1" w:evenHBand="0" w:firstRowFirstColumn="0" w:firstRowLastColumn="0" w:lastRowFirstColumn="0" w:lastRowLastColumn="0"/>
              <w:rPr>
                <w:color w:val="000000"/>
              </w:rPr>
            </w:pPr>
            <w:r w:rsidRPr="00A77C50">
              <w:rPr>
                <w:color w:val="000000"/>
              </w:rPr>
              <w:t>Department of Education (QLD)</w:t>
            </w:r>
          </w:p>
        </w:tc>
      </w:tr>
      <w:tr w:rsidR="006F5B5F" w14:paraId="476C8EAB" w14:textId="77777777" w:rsidTr="00A77C50">
        <w:trPr>
          <w:trHeight w:val="423"/>
        </w:trPr>
        <w:tc>
          <w:tcPr>
            <w:cnfStyle w:val="001000000000" w:firstRow="0" w:lastRow="0" w:firstColumn="1" w:lastColumn="0" w:oddVBand="0" w:evenVBand="0" w:oddHBand="0" w:evenHBand="0" w:firstRowFirstColumn="0" w:firstRowLastColumn="0" w:lastRowFirstColumn="0" w:lastRowLastColumn="0"/>
            <w:tcW w:w="0" w:type="auto"/>
          </w:tcPr>
          <w:p w14:paraId="642D139F" w14:textId="5716E2A5" w:rsidR="006F5B5F" w:rsidRPr="00221FC9" w:rsidRDefault="006F5B5F" w:rsidP="006F5B5F">
            <w:pPr>
              <w:pStyle w:val="PwCNormal-Single"/>
              <w:rPr>
                <w:color w:val="000000"/>
              </w:rPr>
            </w:pPr>
            <w:r>
              <w:rPr>
                <w:color w:val="000000"/>
              </w:rPr>
              <w:t>Linda Johnston</w:t>
            </w:r>
          </w:p>
        </w:tc>
        <w:tc>
          <w:tcPr>
            <w:tcW w:w="0" w:type="auto"/>
          </w:tcPr>
          <w:p w14:paraId="05E89A1A" w14:textId="24425313" w:rsidR="006F5B5F" w:rsidRPr="00A77C50" w:rsidRDefault="006F5B5F" w:rsidP="006F5B5F">
            <w:pPr>
              <w:pStyle w:val="PwCNormal-Single"/>
              <w:cnfStyle w:val="000000000000" w:firstRow="0" w:lastRow="0" w:firstColumn="0" w:lastColumn="0" w:oddVBand="0" w:evenVBand="0" w:oddHBand="0" w:evenHBand="0" w:firstRowFirstColumn="0" w:firstRowLastColumn="0" w:lastRowFirstColumn="0" w:lastRowLastColumn="0"/>
              <w:rPr>
                <w:color w:val="000000"/>
              </w:rPr>
            </w:pPr>
            <w:r w:rsidRPr="00A77C50">
              <w:rPr>
                <w:color w:val="000000"/>
              </w:rPr>
              <w:t>TAFE NSW</w:t>
            </w:r>
          </w:p>
        </w:tc>
      </w:tr>
      <w:tr w:rsidR="006F5B5F" w14:paraId="5AC0BDD1" w14:textId="77777777" w:rsidTr="00A77C50">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0" w:type="auto"/>
          </w:tcPr>
          <w:p w14:paraId="2AAA0AF1" w14:textId="56E29F04" w:rsidR="006F5B5F" w:rsidRPr="00221FC9" w:rsidRDefault="006F5B5F" w:rsidP="006F5B5F">
            <w:pPr>
              <w:pStyle w:val="PwCNormal-Single"/>
              <w:rPr>
                <w:color w:val="000000"/>
              </w:rPr>
            </w:pPr>
            <w:r>
              <w:rPr>
                <w:color w:val="000000"/>
              </w:rPr>
              <w:t>Dr Lizzie Knight</w:t>
            </w:r>
          </w:p>
        </w:tc>
        <w:tc>
          <w:tcPr>
            <w:tcW w:w="0" w:type="auto"/>
          </w:tcPr>
          <w:p w14:paraId="3D3FFC59" w14:textId="1E083DB4" w:rsidR="006F5B5F" w:rsidRPr="00A77C50" w:rsidRDefault="006F5B5F" w:rsidP="006F5B5F">
            <w:pPr>
              <w:pStyle w:val="PwCNormal-Single"/>
              <w:cnfStyle w:val="000000100000" w:firstRow="0" w:lastRow="0" w:firstColumn="0" w:lastColumn="0" w:oddVBand="0" w:evenVBand="0" w:oddHBand="1" w:evenHBand="0" w:firstRowFirstColumn="0" w:firstRowLastColumn="0" w:lastRowFirstColumn="0" w:lastRowLastColumn="0"/>
              <w:rPr>
                <w:color w:val="000000"/>
              </w:rPr>
            </w:pPr>
            <w:r w:rsidRPr="00A77C50">
              <w:rPr>
                <w:color w:val="000000"/>
              </w:rPr>
              <w:t>Career Industry Council of Australia</w:t>
            </w:r>
          </w:p>
        </w:tc>
      </w:tr>
      <w:tr w:rsidR="006F5B5F" w14:paraId="10B624BE" w14:textId="77777777" w:rsidTr="00A77C50">
        <w:trPr>
          <w:trHeight w:val="423"/>
        </w:trPr>
        <w:tc>
          <w:tcPr>
            <w:cnfStyle w:val="001000000000" w:firstRow="0" w:lastRow="0" w:firstColumn="1" w:lastColumn="0" w:oddVBand="0" w:evenVBand="0" w:oddHBand="0" w:evenHBand="0" w:firstRowFirstColumn="0" w:firstRowLastColumn="0" w:lastRowFirstColumn="0" w:lastRowLastColumn="0"/>
            <w:tcW w:w="0" w:type="auto"/>
          </w:tcPr>
          <w:p w14:paraId="2F3EF2D0" w14:textId="4CEE6171" w:rsidR="006F5B5F" w:rsidRPr="00221FC9" w:rsidRDefault="006F5B5F" w:rsidP="006F5B5F">
            <w:pPr>
              <w:pStyle w:val="PwCNormal-Single"/>
              <w:rPr>
                <w:color w:val="000000"/>
              </w:rPr>
            </w:pPr>
            <w:r>
              <w:rPr>
                <w:color w:val="000000"/>
              </w:rPr>
              <w:t>Louise Murphy</w:t>
            </w:r>
          </w:p>
        </w:tc>
        <w:tc>
          <w:tcPr>
            <w:tcW w:w="0" w:type="auto"/>
          </w:tcPr>
          <w:p w14:paraId="1FC62CEC" w14:textId="081C3D46" w:rsidR="006F5B5F" w:rsidRPr="00A77C50" w:rsidRDefault="006F5B5F" w:rsidP="006F5B5F">
            <w:pPr>
              <w:pStyle w:val="PwCNormal-Single"/>
              <w:cnfStyle w:val="000000000000" w:firstRow="0" w:lastRow="0" w:firstColumn="0" w:lastColumn="0" w:oddVBand="0" w:evenVBand="0" w:oddHBand="0" w:evenHBand="0" w:firstRowFirstColumn="0" w:firstRowLastColumn="0" w:lastRowFirstColumn="0" w:lastRowLastColumn="0"/>
              <w:rPr>
                <w:color w:val="000000"/>
              </w:rPr>
            </w:pPr>
            <w:r w:rsidRPr="00A77C50">
              <w:rPr>
                <w:color w:val="000000"/>
              </w:rPr>
              <w:t>Catholic Education South Australia</w:t>
            </w:r>
          </w:p>
        </w:tc>
      </w:tr>
      <w:tr w:rsidR="006F5B5F" w14:paraId="774DFBA5" w14:textId="77777777" w:rsidTr="00A77C50">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0" w:type="auto"/>
          </w:tcPr>
          <w:p w14:paraId="36AC39AE" w14:textId="1E8FD6FE" w:rsidR="006F5B5F" w:rsidRPr="00221FC9" w:rsidRDefault="006F5B5F" w:rsidP="006F5B5F">
            <w:pPr>
              <w:pStyle w:val="PwCNormal-Single"/>
              <w:rPr>
                <w:color w:val="000000"/>
              </w:rPr>
            </w:pPr>
            <w:r>
              <w:rPr>
                <w:color w:val="000000"/>
              </w:rPr>
              <w:t>Marie Previte</w:t>
            </w:r>
          </w:p>
        </w:tc>
        <w:tc>
          <w:tcPr>
            <w:tcW w:w="0" w:type="auto"/>
          </w:tcPr>
          <w:p w14:paraId="5B2A0D52" w14:textId="1D896F9C" w:rsidR="006F5B5F" w:rsidRPr="00A77C50" w:rsidRDefault="006F5B5F" w:rsidP="006F5B5F">
            <w:pPr>
              <w:pStyle w:val="PwCNormal-Single"/>
              <w:cnfStyle w:val="000000100000" w:firstRow="0" w:lastRow="0" w:firstColumn="0" w:lastColumn="0" w:oddVBand="0" w:evenVBand="0" w:oddHBand="1" w:evenHBand="0" w:firstRowFirstColumn="0" w:firstRowLastColumn="0" w:lastRowFirstColumn="0" w:lastRowLastColumn="0"/>
              <w:rPr>
                <w:color w:val="000000"/>
              </w:rPr>
            </w:pPr>
            <w:r>
              <w:rPr>
                <w:color w:val="000000"/>
              </w:rPr>
              <w:t>Edmund Rice Education Australia</w:t>
            </w:r>
          </w:p>
        </w:tc>
      </w:tr>
      <w:tr w:rsidR="006F5B5F" w14:paraId="0F667FE8" w14:textId="77777777" w:rsidTr="00A77C50">
        <w:trPr>
          <w:trHeight w:val="423"/>
        </w:trPr>
        <w:tc>
          <w:tcPr>
            <w:cnfStyle w:val="001000000000" w:firstRow="0" w:lastRow="0" w:firstColumn="1" w:lastColumn="0" w:oddVBand="0" w:evenVBand="0" w:oddHBand="0" w:evenHBand="0" w:firstRowFirstColumn="0" w:firstRowLastColumn="0" w:lastRowFirstColumn="0" w:lastRowLastColumn="0"/>
            <w:tcW w:w="0" w:type="auto"/>
          </w:tcPr>
          <w:p w14:paraId="05BBE8A0" w14:textId="6FEA1B1D" w:rsidR="006F5B5F" w:rsidRPr="00221FC9" w:rsidRDefault="006F5B5F" w:rsidP="006F5B5F">
            <w:pPr>
              <w:pStyle w:val="PwCNormal-Single"/>
              <w:rPr>
                <w:color w:val="000000"/>
              </w:rPr>
            </w:pPr>
            <w:r>
              <w:rPr>
                <w:color w:val="000000"/>
              </w:rPr>
              <w:t>Mark Maddox</w:t>
            </w:r>
          </w:p>
        </w:tc>
        <w:tc>
          <w:tcPr>
            <w:tcW w:w="0" w:type="auto"/>
          </w:tcPr>
          <w:p w14:paraId="392D06B1" w14:textId="4FEBF5D5" w:rsidR="006F5B5F" w:rsidRPr="00A77C50" w:rsidRDefault="006F5B5F" w:rsidP="006F5B5F">
            <w:pPr>
              <w:pStyle w:val="PwCNormal-Single"/>
              <w:cnfStyle w:val="000000000000" w:firstRow="0" w:lastRow="0" w:firstColumn="0" w:lastColumn="0" w:oddVBand="0" w:evenVBand="0" w:oddHBand="0" w:evenHBand="0" w:firstRowFirstColumn="0" w:firstRowLastColumn="0" w:lastRowFirstColumn="0" w:lastRowLastColumn="0"/>
              <w:rPr>
                <w:color w:val="000000"/>
              </w:rPr>
            </w:pPr>
            <w:r>
              <w:rPr>
                <w:color w:val="000000"/>
              </w:rPr>
              <w:t>Queensland Curriculum and Standards Authority</w:t>
            </w:r>
          </w:p>
        </w:tc>
      </w:tr>
      <w:tr w:rsidR="006F5B5F" w14:paraId="415EFDFB" w14:textId="77777777" w:rsidTr="00A77C50">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0" w:type="auto"/>
          </w:tcPr>
          <w:p w14:paraId="6A45A552" w14:textId="2EE6E753" w:rsidR="006F5B5F" w:rsidRPr="00221FC9" w:rsidRDefault="006F5B5F" w:rsidP="006F5B5F">
            <w:pPr>
              <w:pStyle w:val="PwCNormal-Single"/>
              <w:rPr>
                <w:color w:val="000000"/>
              </w:rPr>
            </w:pPr>
            <w:r>
              <w:rPr>
                <w:color w:val="000000"/>
              </w:rPr>
              <w:t>Mark Sivills</w:t>
            </w:r>
          </w:p>
        </w:tc>
        <w:tc>
          <w:tcPr>
            <w:tcW w:w="0" w:type="auto"/>
          </w:tcPr>
          <w:p w14:paraId="27429BC8" w14:textId="5E5F2827" w:rsidR="006F5B5F" w:rsidRPr="00A77C50" w:rsidRDefault="006F5B5F" w:rsidP="006F5B5F">
            <w:pPr>
              <w:pStyle w:val="PwCNormal-Single"/>
              <w:cnfStyle w:val="000000100000" w:firstRow="0" w:lastRow="0" w:firstColumn="0" w:lastColumn="0" w:oddVBand="0" w:evenVBand="0" w:oddHBand="1" w:evenHBand="0" w:firstRowFirstColumn="0" w:firstRowLastColumn="0" w:lastRowFirstColumn="0" w:lastRowLastColumn="0"/>
              <w:rPr>
                <w:color w:val="000000"/>
              </w:rPr>
            </w:pPr>
            <w:r>
              <w:rPr>
                <w:color w:val="000000"/>
              </w:rPr>
              <w:t>Department of Education Tasmania</w:t>
            </w:r>
          </w:p>
        </w:tc>
      </w:tr>
      <w:tr w:rsidR="006F5B5F" w14:paraId="570CDB59" w14:textId="77777777" w:rsidTr="00A77C50">
        <w:trPr>
          <w:trHeight w:val="423"/>
        </w:trPr>
        <w:tc>
          <w:tcPr>
            <w:cnfStyle w:val="001000000000" w:firstRow="0" w:lastRow="0" w:firstColumn="1" w:lastColumn="0" w:oddVBand="0" w:evenVBand="0" w:oddHBand="0" w:evenHBand="0" w:firstRowFirstColumn="0" w:firstRowLastColumn="0" w:lastRowFirstColumn="0" w:lastRowLastColumn="0"/>
            <w:tcW w:w="0" w:type="auto"/>
          </w:tcPr>
          <w:p w14:paraId="7442541B" w14:textId="7A154820" w:rsidR="006F5B5F" w:rsidRPr="00221FC9" w:rsidRDefault="006F5B5F" w:rsidP="006F5B5F">
            <w:pPr>
              <w:pStyle w:val="PwCNormal-Single"/>
              <w:rPr>
                <w:color w:val="000000"/>
              </w:rPr>
            </w:pPr>
            <w:r>
              <w:rPr>
                <w:color w:val="000000"/>
              </w:rPr>
              <w:t>Matthew Dixon</w:t>
            </w:r>
          </w:p>
        </w:tc>
        <w:tc>
          <w:tcPr>
            <w:tcW w:w="0" w:type="auto"/>
          </w:tcPr>
          <w:p w14:paraId="63949B0B" w14:textId="6AF4D434" w:rsidR="006F5B5F" w:rsidRPr="00A77C50" w:rsidRDefault="006F5B5F" w:rsidP="006F5B5F">
            <w:pPr>
              <w:pStyle w:val="PwCNormal-Single"/>
              <w:cnfStyle w:val="000000000000" w:firstRow="0" w:lastRow="0" w:firstColumn="0" w:lastColumn="0" w:oddVBand="0" w:evenVBand="0" w:oddHBand="0" w:evenHBand="0" w:firstRowFirstColumn="0" w:firstRowLastColumn="0" w:lastRowFirstColumn="0" w:lastRowLastColumn="0"/>
              <w:rPr>
                <w:color w:val="000000"/>
              </w:rPr>
            </w:pPr>
            <w:r>
              <w:rPr>
                <w:color w:val="000000"/>
              </w:rPr>
              <w:t>School of Isolated and Distance Education </w:t>
            </w:r>
          </w:p>
        </w:tc>
      </w:tr>
      <w:tr w:rsidR="006F5B5F" w14:paraId="01ADC409" w14:textId="77777777" w:rsidTr="00A77C50">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0" w:type="auto"/>
          </w:tcPr>
          <w:p w14:paraId="2347C3D2" w14:textId="2570E800" w:rsidR="006F5B5F" w:rsidRDefault="006F5B5F" w:rsidP="006F5B5F">
            <w:pPr>
              <w:pStyle w:val="PwCNormal-Single"/>
            </w:pPr>
            <w:r>
              <w:rPr>
                <w:color w:val="000000"/>
              </w:rPr>
              <w:lastRenderedPageBreak/>
              <w:t>Maureen Chapman</w:t>
            </w:r>
          </w:p>
        </w:tc>
        <w:tc>
          <w:tcPr>
            <w:tcW w:w="0" w:type="auto"/>
          </w:tcPr>
          <w:p w14:paraId="342EC7A5" w14:textId="6C0639EA" w:rsidR="006F5B5F" w:rsidRDefault="006F5B5F" w:rsidP="006F5B5F">
            <w:pPr>
              <w:pStyle w:val="PwCNormal-Single"/>
              <w:cnfStyle w:val="000000100000" w:firstRow="0" w:lastRow="0" w:firstColumn="0" w:lastColumn="0" w:oddVBand="0" w:evenVBand="0" w:oddHBand="1" w:evenHBand="0" w:firstRowFirstColumn="0" w:firstRowLastColumn="0" w:lastRowFirstColumn="0" w:lastRowLastColumn="0"/>
            </w:pPr>
            <w:r>
              <w:rPr>
                <w:color w:val="000000"/>
              </w:rPr>
              <w:t>TAFE NSW</w:t>
            </w:r>
          </w:p>
        </w:tc>
      </w:tr>
      <w:tr w:rsidR="006F5B5F" w14:paraId="360F9B8A" w14:textId="77777777" w:rsidTr="00A77C50">
        <w:trPr>
          <w:trHeight w:val="423"/>
        </w:trPr>
        <w:tc>
          <w:tcPr>
            <w:cnfStyle w:val="001000000000" w:firstRow="0" w:lastRow="0" w:firstColumn="1" w:lastColumn="0" w:oddVBand="0" w:evenVBand="0" w:oddHBand="0" w:evenHBand="0" w:firstRowFirstColumn="0" w:firstRowLastColumn="0" w:lastRowFirstColumn="0" w:lastRowLastColumn="0"/>
            <w:tcW w:w="0" w:type="auto"/>
          </w:tcPr>
          <w:p w14:paraId="02463E80" w14:textId="168BA73C" w:rsidR="006F5B5F" w:rsidRPr="00221FC9" w:rsidRDefault="006F5B5F" w:rsidP="006F5B5F">
            <w:pPr>
              <w:pStyle w:val="PwCNormal-Single"/>
              <w:rPr>
                <w:color w:val="000000"/>
              </w:rPr>
            </w:pPr>
            <w:r>
              <w:rPr>
                <w:color w:val="000000"/>
              </w:rPr>
              <w:t>Melanie Alexandra</w:t>
            </w:r>
          </w:p>
        </w:tc>
        <w:tc>
          <w:tcPr>
            <w:tcW w:w="0" w:type="auto"/>
          </w:tcPr>
          <w:p w14:paraId="1A0B141F" w14:textId="0CE68481" w:rsidR="006F5B5F" w:rsidRDefault="006F5B5F" w:rsidP="006F5B5F">
            <w:pPr>
              <w:pStyle w:val="PwCNormal-Single"/>
              <w:cnfStyle w:val="000000000000" w:firstRow="0" w:lastRow="0" w:firstColumn="0" w:lastColumn="0" w:oddVBand="0" w:evenVBand="0" w:oddHBand="0" w:evenHBand="0" w:firstRowFirstColumn="0" w:firstRowLastColumn="0" w:lastRowFirstColumn="0" w:lastRowLastColumn="0"/>
            </w:pPr>
            <w:r>
              <w:rPr>
                <w:color w:val="000000"/>
              </w:rPr>
              <w:t>Independent Schools QLD</w:t>
            </w:r>
          </w:p>
        </w:tc>
      </w:tr>
      <w:tr w:rsidR="006F5B5F" w14:paraId="4F35DA18" w14:textId="77777777" w:rsidTr="00A77C50">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0" w:type="auto"/>
          </w:tcPr>
          <w:p w14:paraId="0FCED268" w14:textId="1FA23F7F" w:rsidR="006F5B5F" w:rsidRPr="00221FC9" w:rsidRDefault="006F5B5F" w:rsidP="006F5B5F">
            <w:pPr>
              <w:pStyle w:val="PwCNormal-Single"/>
              <w:rPr>
                <w:color w:val="000000"/>
              </w:rPr>
            </w:pPr>
            <w:r>
              <w:rPr>
                <w:color w:val="000000"/>
              </w:rPr>
              <w:t>Melissa Pinney</w:t>
            </w:r>
          </w:p>
        </w:tc>
        <w:tc>
          <w:tcPr>
            <w:tcW w:w="0" w:type="auto"/>
          </w:tcPr>
          <w:p w14:paraId="6DF0F00B" w14:textId="360182ED" w:rsidR="006F5B5F" w:rsidRDefault="006F5B5F" w:rsidP="006F5B5F">
            <w:pPr>
              <w:pStyle w:val="PwCNormal-Single"/>
              <w:cnfStyle w:val="000000100000" w:firstRow="0" w:lastRow="0" w:firstColumn="0" w:lastColumn="0" w:oddVBand="0" w:evenVBand="0" w:oddHBand="1" w:evenHBand="0" w:firstRowFirstColumn="0" w:firstRowLastColumn="0" w:lastRowFirstColumn="0" w:lastRowLastColumn="0"/>
            </w:pPr>
            <w:r>
              <w:rPr>
                <w:color w:val="000000"/>
              </w:rPr>
              <w:t>Education Directorate, ACT Government</w:t>
            </w:r>
          </w:p>
        </w:tc>
      </w:tr>
      <w:tr w:rsidR="006F5B5F" w14:paraId="784EC2CC" w14:textId="77777777" w:rsidTr="00A77C50">
        <w:trPr>
          <w:trHeight w:val="423"/>
        </w:trPr>
        <w:tc>
          <w:tcPr>
            <w:cnfStyle w:val="001000000000" w:firstRow="0" w:lastRow="0" w:firstColumn="1" w:lastColumn="0" w:oddVBand="0" w:evenVBand="0" w:oddHBand="0" w:evenHBand="0" w:firstRowFirstColumn="0" w:firstRowLastColumn="0" w:lastRowFirstColumn="0" w:lastRowLastColumn="0"/>
            <w:tcW w:w="0" w:type="auto"/>
          </w:tcPr>
          <w:p w14:paraId="5FFCAD8C" w14:textId="64CAB089" w:rsidR="006F5B5F" w:rsidRPr="00221FC9" w:rsidRDefault="006F5B5F" w:rsidP="006F5B5F">
            <w:pPr>
              <w:pStyle w:val="PwCNormal-Single"/>
              <w:rPr>
                <w:color w:val="000000"/>
              </w:rPr>
            </w:pPr>
            <w:r>
              <w:rPr>
                <w:color w:val="000000"/>
              </w:rPr>
              <w:t>Mike Frost</w:t>
            </w:r>
          </w:p>
        </w:tc>
        <w:tc>
          <w:tcPr>
            <w:tcW w:w="0" w:type="auto"/>
          </w:tcPr>
          <w:p w14:paraId="7B61F707" w14:textId="27B71605" w:rsidR="006F5B5F" w:rsidRDefault="006F5B5F" w:rsidP="006F5B5F">
            <w:pPr>
              <w:pStyle w:val="PwCNormal-Single"/>
              <w:cnfStyle w:val="000000000000" w:firstRow="0" w:lastRow="0" w:firstColumn="0" w:lastColumn="0" w:oddVBand="0" w:evenVBand="0" w:oddHBand="0" w:evenHBand="0" w:firstRowFirstColumn="0" w:firstRowLastColumn="0" w:lastRowFirstColumn="0" w:lastRowLastColumn="0"/>
            </w:pPr>
            <w:r>
              <w:rPr>
                <w:color w:val="000000"/>
              </w:rPr>
              <w:t>Independent Schools of Tasmania</w:t>
            </w:r>
          </w:p>
        </w:tc>
      </w:tr>
      <w:tr w:rsidR="006F5B5F" w14:paraId="067E79D7" w14:textId="77777777" w:rsidTr="00A77C50">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0" w:type="auto"/>
          </w:tcPr>
          <w:p w14:paraId="009404AC" w14:textId="3F21D5C0" w:rsidR="006F5B5F" w:rsidRPr="00221FC9" w:rsidRDefault="006F5B5F" w:rsidP="006F5B5F">
            <w:pPr>
              <w:pStyle w:val="PwCNormal-Single"/>
              <w:rPr>
                <w:color w:val="000000"/>
              </w:rPr>
            </w:pPr>
            <w:r>
              <w:rPr>
                <w:color w:val="000000"/>
              </w:rPr>
              <w:t>Monique Evans</w:t>
            </w:r>
          </w:p>
        </w:tc>
        <w:tc>
          <w:tcPr>
            <w:tcW w:w="0" w:type="auto"/>
          </w:tcPr>
          <w:p w14:paraId="66CDF6B5" w14:textId="33AEC90A" w:rsidR="006F5B5F" w:rsidRDefault="006F5B5F" w:rsidP="006F5B5F">
            <w:pPr>
              <w:pStyle w:val="PwCNormal-Single"/>
              <w:cnfStyle w:val="000000100000" w:firstRow="0" w:lastRow="0" w:firstColumn="0" w:lastColumn="0" w:oddVBand="0" w:evenVBand="0" w:oddHBand="1" w:evenHBand="0" w:firstRowFirstColumn="0" w:firstRowLastColumn="0" w:lastRowFirstColumn="0" w:lastRowLastColumn="0"/>
            </w:pPr>
            <w:r>
              <w:rPr>
                <w:color w:val="000000"/>
              </w:rPr>
              <w:t>Marist Regional College</w:t>
            </w:r>
          </w:p>
        </w:tc>
      </w:tr>
      <w:tr w:rsidR="006F5B5F" w14:paraId="16D8716D" w14:textId="77777777" w:rsidTr="00A77C50">
        <w:trPr>
          <w:trHeight w:val="423"/>
        </w:trPr>
        <w:tc>
          <w:tcPr>
            <w:cnfStyle w:val="001000000000" w:firstRow="0" w:lastRow="0" w:firstColumn="1" w:lastColumn="0" w:oddVBand="0" w:evenVBand="0" w:oddHBand="0" w:evenHBand="0" w:firstRowFirstColumn="0" w:firstRowLastColumn="0" w:lastRowFirstColumn="0" w:lastRowLastColumn="0"/>
            <w:tcW w:w="0" w:type="auto"/>
          </w:tcPr>
          <w:p w14:paraId="3D14D8CA" w14:textId="5F53D88A" w:rsidR="006F5B5F" w:rsidRPr="00221FC9" w:rsidRDefault="006F5B5F" w:rsidP="006F5B5F">
            <w:pPr>
              <w:pStyle w:val="PwCNormal-Single"/>
              <w:rPr>
                <w:color w:val="000000"/>
              </w:rPr>
            </w:pPr>
            <w:r>
              <w:rPr>
                <w:color w:val="000000"/>
              </w:rPr>
              <w:t>Pam Hargreaves</w:t>
            </w:r>
          </w:p>
        </w:tc>
        <w:tc>
          <w:tcPr>
            <w:tcW w:w="0" w:type="auto"/>
          </w:tcPr>
          <w:p w14:paraId="6096DE3B" w14:textId="222CC7AC" w:rsidR="006F5B5F" w:rsidRDefault="006F5B5F" w:rsidP="006F5B5F">
            <w:pPr>
              <w:pStyle w:val="PwCNormal-Single"/>
              <w:cnfStyle w:val="000000000000" w:firstRow="0" w:lastRow="0" w:firstColumn="0" w:lastColumn="0" w:oddVBand="0" w:evenVBand="0" w:oddHBand="0" w:evenHBand="0" w:firstRowFirstColumn="0" w:firstRowLastColumn="0" w:lastRowFirstColumn="0" w:lastRowLastColumn="0"/>
            </w:pPr>
            <w:r>
              <w:rPr>
                <w:color w:val="000000"/>
              </w:rPr>
              <w:t>Independent Schools Victoria</w:t>
            </w:r>
          </w:p>
        </w:tc>
      </w:tr>
      <w:tr w:rsidR="006F5B5F" w14:paraId="7716549F" w14:textId="77777777" w:rsidTr="00A77C50">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0" w:type="auto"/>
          </w:tcPr>
          <w:p w14:paraId="08841CF8" w14:textId="4F08DA2C" w:rsidR="006F5B5F" w:rsidRPr="00221FC9" w:rsidRDefault="006F5B5F" w:rsidP="006F5B5F">
            <w:pPr>
              <w:pStyle w:val="PwCNormal-Single"/>
              <w:rPr>
                <w:color w:val="000000"/>
              </w:rPr>
            </w:pPr>
            <w:r>
              <w:rPr>
                <w:color w:val="000000"/>
              </w:rPr>
              <w:t>Peter Devery</w:t>
            </w:r>
          </w:p>
        </w:tc>
        <w:tc>
          <w:tcPr>
            <w:tcW w:w="0" w:type="auto"/>
          </w:tcPr>
          <w:p w14:paraId="0250F6BD" w14:textId="0C8813C8" w:rsidR="006F5B5F" w:rsidRDefault="006F5B5F" w:rsidP="006F5B5F">
            <w:pPr>
              <w:pStyle w:val="PwCNormal-Single"/>
              <w:cnfStyle w:val="000000100000" w:firstRow="0" w:lastRow="0" w:firstColumn="0" w:lastColumn="0" w:oddVBand="0" w:evenVBand="0" w:oddHBand="1" w:evenHBand="0" w:firstRowFirstColumn="0" w:firstRowLastColumn="0" w:lastRowFirstColumn="0" w:lastRowLastColumn="0"/>
            </w:pPr>
            <w:r>
              <w:rPr>
                <w:color w:val="000000"/>
              </w:rPr>
              <w:t>Melbourne Archdiocese Catholic Schools</w:t>
            </w:r>
          </w:p>
        </w:tc>
      </w:tr>
      <w:tr w:rsidR="006F5B5F" w14:paraId="1C28FB53" w14:textId="77777777" w:rsidTr="00A77C50">
        <w:trPr>
          <w:trHeight w:val="423"/>
        </w:trPr>
        <w:tc>
          <w:tcPr>
            <w:cnfStyle w:val="001000000000" w:firstRow="0" w:lastRow="0" w:firstColumn="1" w:lastColumn="0" w:oddVBand="0" w:evenVBand="0" w:oddHBand="0" w:evenHBand="0" w:firstRowFirstColumn="0" w:firstRowLastColumn="0" w:lastRowFirstColumn="0" w:lastRowLastColumn="0"/>
            <w:tcW w:w="0" w:type="auto"/>
          </w:tcPr>
          <w:p w14:paraId="2EB95F29" w14:textId="6AFCAB38" w:rsidR="006F5B5F" w:rsidRPr="00221FC9" w:rsidRDefault="006F5B5F" w:rsidP="006F5B5F">
            <w:pPr>
              <w:pStyle w:val="PwCNormal-Single"/>
              <w:rPr>
                <w:color w:val="000000"/>
              </w:rPr>
            </w:pPr>
            <w:r>
              <w:rPr>
                <w:color w:val="000000"/>
              </w:rPr>
              <w:t>Peter Helibuth</w:t>
            </w:r>
          </w:p>
        </w:tc>
        <w:tc>
          <w:tcPr>
            <w:tcW w:w="0" w:type="auto"/>
          </w:tcPr>
          <w:p w14:paraId="2D6F269C" w14:textId="4AC43C55" w:rsidR="006F5B5F" w:rsidRDefault="006F5B5F" w:rsidP="006F5B5F">
            <w:pPr>
              <w:pStyle w:val="PwCNormal-Single"/>
              <w:cnfStyle w:val="000000000000" w:firstRow="0" w:lastRow="0" w:firstColumn="0" w:lastColumn="0" w:oddVBand="0" w:evenVBand="0" w:oddHBand="0" w:evenHBand="0" w:firstRowFirstColumn="0" w:firstRowLastColumn="0" w:lastRowFirstColumn="0" w:lastRowLastColumn="0"/>
            </w:pPr>
            <w:r>
              <w:rPr>
                <w:color w:val="000000"/>
              </w:rPr>
              <w:t>Central Queensland University</w:t>
            </w:r>
          </w:p>
        </w:tc>
      </w:tr>
      <w:tr w:rsidR="006F5B5F" w14:paraId="2B8FC593" w14:textId="77777777" w:rsidTr="00A77C50">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0" w:type="auto"/>
          </w:tcPr>
          <w:p w14:paraId="6B3E7205" w14:textId="72F89AA2" w:rsidR="006F5B5F" w:rsidRPr="00221FC9" w:rsidRDefault="006F5B5F" w:rsidP="006F5B5F">
            <w:pPr>
              <w:pStyle w:val="PwCNormal-Single"/>
              <w:rPr>
                <w:color w:val="000000"/>
              </w:rPr>
            </w:pPr>
            <w:r>
              <w:rPr>
                <w:color w:val="000000"/>
              </w:rPr>
              <w:t>Peter Teo</w:t>
            </w:r>
          </w:p>
        </w:tc>
        <w:tc>
          <w:tcPr>
            <w:tcW w:w="0" w:type="auto"/>
          </w:tcPr>
          <w:p w14:paraId="55229A8C" w14:textId="5520B67E" w:rsidR="006F5B5F" w:rsidRDefault="006F5B5F" w:rsidP="006F5B5F">
            <w:pPr>
              <w:pStyle w:val="PwCNormal-Single"/>
              <w:cnfStyle w:val="000000100000" w:firstRow="0" w:lastRow="0" w:firstColumn="0" w:lastColumn="0" w:oddVBand="0" w:evenVBand="0" w:oddHBand="1" w:evenHBand="0" w:firstRowFirstColumn="0" w:firstRowLastColumn="0" w:lastRowFirstColumn="0" w:lastRowLastColumn="0"/>
            </w:pPr>
            <w:r>
              <w:rPr>
                <w:color w:val="000000"/>
              </w:rPr>
              <w:t>Education Directorate, ACT Government</w:t>
            </w:r>
          </w:p>
        </w:tc>
      </w:tr>
      <w:tr w:rsidR="006F5B5F" w14:paraId="1E1AED60" w14:textId="77777777" w:rsidTr="00A77C50">
        <w:trPr>
          <w:trHeight w:val="423"/>
        </w:trPr>
        <w:tc>
          <w:tcPr>
            <w:cnfStyle w:val="001000000000" w:firstRow="0" w:lastRow="0" w:firstColumn="1" w:lastColumn="0" w:oddVBand="0" w:evenVBand="0" w:oddHBand="0" w:evenHBand="0" w:firstRowFirstColumn="0" w:firstRowLastColumn="0" w:lastRowFirstColumn="0" w:lastRowLastColumn="0"/>
            <w:tcW w:w="0" w:type="auto"/>
          </w:tcPr>
          <w:p w14:paraId="459B74A4" w14:textId="48BD93E8" w:rsidR="006F5B5F" w:rsidRPr="00221FC9" w:rsidRDefault="006F5B5F" w:rsidP="006F5B5F">
            <w:pPr>
              <w:pStyle w:val="PwCNormal-Single"/>
              <w:rPr>
                <w:color w:val="000000"/>
              </w:rPr>
            </w:pPr>
            <w:r>
              <w:rPr>
                <w:color w:val="000000"/>
              </w:rPr>
              <w:t>Rachel Holland</w:t>
            </w:r>
          </w:p>
        </w:tc>
        <w:tc>
          <w:tcPr>
            <w:tcW w:w="0" w:type="auto"/>
          </w:tcPr>
          <w:p w14:paraId="7B48420D" w14:textId="76821F47" w:rsidR="006F5B5F" w:rsidRDefault="006F5B5F" w:rsidP="006F5B5F">
            <w:pPr>
              <w:pStyle w:val="PwCNormal-Single"/>
              <w:cnfStyle w:val="000000000000" w:firstRow="0" w:lastRow="0" w:firstColumn="0" w:lastColumn="0" w:oddVBand="0" w:evenVBand="0" w:oddHBand="0" w:evenHBand="0" w:firstRowFirstColumn="0" w:firstRowLastColumn="0" w:lastRowFirstColumn="0" w:lastRowLastColumn="0"/>
            </w:pPr>
            <w:r>
              <w:rPr>
                <w:color w:val="000000"/>
              </w:rPr>
              <w:t>TasTAFE</w:t>
            </w:r>
          </w:p>
        </w:tc>
      </w:tr>
      <w:tr w:rsidR="006F5B5F" w14:paraId="00D4739B" w14:textId="77777777" w:rsidTr="00A77C50">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0" w:type="auto"/>
          </w:tcPr>
          <w:p w14:paraId="0A115112" w14:textId="0A4E878D" w:rsidR="006F5B5F" w:rsidRPr="00221FC9" w:rsidRDefault="006F5B5F" w:rsidP="006F5B5F">
            <w:pPr>
              <w:pStyle w:val="PwCNormal-Single"/>
              <w:rPr>
                <w:color w:val="000000"/>
              </w:rPr>
            </w:pPr>
            <w:r>
              <w:rPr>
                <w:color w:val="000000"/>
              </w:rPr>
              <w:t>Rob Hill</w:t>
            </w:r>
          </w:p>
        </w:tc>
        <w:tc>
          <w:tcPr>
            <w:tcW w:w="0" w:type="auto"/>
          </w:tcPr>
          <w:p w14:paraId="5B344F56" w14:textId="2FB89C76" w:rsidR="006F5B5F" w:rsidRDefault="006F5B5F" w:rsidP="006F5B5F">
            <w:pPr>
              <w:pStyle w:val="PwCNormal-Single"/>
              <w:cnfStyle w:val="000000100000" w:firstRow="0" w:lastRow="0" w:firstColumn="0" w:lastColumn="0" w:oddVBand="0" w:evenVBand="0" w:oddHBand="1" w:evenHBand="0" w:firstRowFirstColumn="0" w:firstRowLastColumn="0" w:lastRowFirstColumn="0" w:lastRowLastColumn="0"/>
            </w:pPr>
            <w:r>
              <w:rPr>
                <w:color w:val="000000"/>
              </w:rPr>
              <w:t>Department of Education Tasmania</w:t>
            </w:r>
          </w:p>
        </w:tc>
      </w:tr>
      <w:tr w:rsidR="006F5B5F" w14:paraId="053E7946" w14:textId="77777777" w:rsidTr="00A77C50">
        <w:trPr>
          <w:trHeight w:val="423"/>
        </w:trPr>
        <w:tc>
          <w:tcPr>
            <w:cnfStyle w:val="001000000000" w:firstRow="0" w:lastRow="0" w:firstColumn="1" w:lastColumn="0" w:oddVBand="0" w:evenVBand="0" w:oddHBand="0" w:evenHBand="0" w:firstRowFirstColumn="0" w:firstRowLastColumn="0" w:lastRowFirstColumn="0" w:lastRowLastColumn="0"/>
            <w:tcW w:w="0" w:type="auto"/>
          </w:tcPr>
          <w:p w14:paraId="7163C138" w14:textId="0F84B409" w:rsidR="006F5B5F" w:rsidRPr="00221FC9" w:rsidRDefault="006F5B5F" w:rsidP="006F5B5F">
            <w:pPr>
              <w:pStyle w:val="PwCNormal-Single"/>
              <w:rPr>
                <w:color w:val="000000"/>
              </w:rPr>
            </w:pPr>
            <w:r>
              <w:rPr>
                <w:color w:val="000000"/>
              </w:rPr>
              <w:t>Robert Spencer</w:t>
            </w:r>
          </w:p>
        </w:tc>
        <w:tc>
          <w:tcPr>
            <w:tcW w:w="0" w:type="auto"/>
          </w:tcPr>
          <w:p w14:paraId="4A359914" w14:textId="22B66AA3" w:rsidR="006F5B5F" w:rsidRDefault="006F5B5F" w:rsidP="006F5B5F">
            <w:pPr>
              <w:pStyle w:val="PwCNormal-Single"/>
              <w:cnfStyle w:val="000000000000" w:firstRow="0" w:lastRow="0" w:firstColumn="0" w:lastColumn="0" w:oddVBand="0" w:evenVBand="0" w:oddHBand="0" w:evenHBand="0" w:firstRowFirstColumn="0" w:firstRowLastColumn="0" w:lastRowFirstColumn="0" w:lastRowLastColumn="0"/>
            </w:pPr>
            <w:r>
              <w:rPr>
                <w:color w:val="000000"/>
              </w:rPr>
              <w:t>Central Queensland University</w:t>
            </w:r>
          </w:p>
        </w:tc>
      </w:tr>
      <w:tr w:rsidR="006F5B5F" w14:paraId="3B1669B9" w14:textId="77777777" w:rsidTr="00A77C50">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0" w:type="auto"/>
          </w:tcPr>
          <w:p w14:paraId="48BF2036" w14:textId="537F275E" w:rsidR="006F5B5F" w:rsidRPr="00221FC9" w:rsidRDefault="006F5B5F" w:rsidP="006F5B5F">
            <w:pPr>
              <w:pStyle w:val="PwCNormal-Single"/>
              <w:rPr>
                <w:color w:val="000000"/>
              </w:rPr>
            </w:pPr>
            <w:r>
              <w:rPr>
                <w:color w:val="000000"/>
              </w:rPr>
              <w:t>Robyn Kleinhans</w:t>
            </w:r>
          </w:p>
        </w:tc>
        <w:tc>
          <w:tcPr>
            <w:tcW w:w="0" w:type="auto"/>
          </w:tcPr>
          <w:p w14:paraId="26162857" w14:textId="015A49E3" w:rsidR="006F5B5F" w:rsidRDefault="006F5B5F" w:rsidP="006F5B5F">
            <w:pPr>
              <w:pStyle w:val="PwCNormal-Single"/>
              <w:cnfStyle w:val="000000100000" w:firstRow="0" w:lastRow="0" w:firstColumn="0" w:lastColumn="0" w:oddVBand="0" w:evenVBand="0" w:oddHBand="1" w:evenHBand="0" w:firstRowFirstColumn="0" w:firstRowLastColumn="0" w:lastRowFirstColumn="0" w:lastRowLastColumn="0"/>
            </w:pPr>
            <w:r>
              <w:rPr>
                <w:color w:val="000000"/>
              </w:rPr>
              <w:t>Central Queensland University</w:t>
            </w:r>
          </w:p>
        </w:tc>
      </w:tr>
      <w:tr w:rsidR="006F5B5F" w14:paraId="21A98B49" w14:textId="77777777" w:rsidTr="00A77C50">
        <w:trPr>
          <w:trHeight w:val="423"/>
        </w:trPr>
        <w:tc>
          <w:tcPr>
            <w:cnfStyle w:val="001000000000" w:firstRow="0" w:lastRow="0" w:firstColumn="1" w:lastColumn="0" w:oddVBand="0" w:evenVBand="0" w:oddHBand="0" w:evenHBand="0" w:firstRowFirstColumn="0" w:firstRowLastColumn="0" w:lastRowFirstColumn="0" w:lastRowLastColumn="0"/>
            <w:tcW w:w="0" w:type="auto"/>
          </w:tcPr>
          <w:p w14:paraId="65E2A90F" w14:textId="631BCBDE" w:rsidR="006F5B5F" w:rsidRPr="00221FC9" w:rsidRDefault="006F5B5F" w:rsidP="006F5B5F">
            <w:pPr>
              <w:pStyle w:val="PwCNormal-Single"/>
              <w:rPr>
                <w:color w:val="000000"/>
              </w:rPr>
            </w:pPr>
            <w:r w:rsidRPr="00221FC9">
              <w:rPr>
                <w:color w:val="000000"/>
              </w:rPr>
              <w:t>Robyn Pemberton</w:t>
            </w:r>
          </w:p>
        </w:tc>
        <w:tc>
          <w:tcPr>
            <w:tcW w:w="0" w:type="auto"/>
          </w:tcPr>
          <w:p w14:paraId="1CA9302A" w14:textId="174FCFEB" w:rsidR="006F5B5F" w:rsidRDefault="006F5B5F" w:rsidP="006F5B5F">
            <w:pPr>
              <w:pStyle w:val="PwCNormal-Single"/>
              <w:cnfStyle w:val="000000000000" w:firstRow="0" w:lastRow="0" w:firstColumn="0" w:lastColumn="0" w:oddVBand="0" w:evenVBand="0" w:oddHBand="0" w:evenHBand="0" w:firstRowFirstColumn="0" w:firstRowLastColumn="0" w:lastRowFirstColumn="0" w:lastRowLastColumn="0"/>
            </w:pPr>
            <w:r>
              <w:rPr>
                <w:color w:val="000000"/>
              </w:rPr>
              <w:t>NSW Department of Education</w:t>
            </w:r>
          </w:p>
        </w:tc>
      </w:tr>
      <w:tr w:rsidR="006F5B5F" w14:paraId="7A15F027" w14:textId="77777777" w:rsidTr="00A77C50">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0" w:type="auto"/>
          </w:tcPr>
          <w:p w14:paraId="005122B3" w14:textId="5B95AF5D" w:rsidR="006F5B5F" w:rsidRPr="00221FC9" w:rsidRDefault="006F5B5F" w:rsidP="006F5B5F">
            <w:pPr>
              <w:pStyle w:val="PwCNormal-Single"/>
              <w:rPr>
                <w:color w:val="000000"/>
              </w:rPr>
            </w:pPr>
            <w:r w:rsidRPr="00221FC9">
              <w:rPr>
                <w:color w:val="000000"/>
              </w:rPr>
              <w:t>Robyn Rosengrave</w:t>
            </w:r>
          </w:p>
        </w:tc>
        <w:tc>
          <w:tcPr>
            <w:tcW w:w="0" w:type="auto"/>
          </w:tcPr>
          <w:p w14:paraId="5A86A287" w14:textId="458B3FF3" w:rsidR="006F5B5F" w:rsidRDefault="006F5B5F" w:rsidP="006F5B5F">
            <w:pPr>
              <w:pStyle w:val="PwCNormal-Single"/>
              <w:cnfStyle w:val="000000100000" w:firstRow="0" w:lastRow="0" w:firstColumn="0" w:lastColumn="0" w:oddVBand="0" w:evenVBand="0" w:oddHBand="1" w:evenHBand="0" w:firstRowFirstColumn="0" w:firstRowLastColumn="0" w:lastRowFirstColumn="0" w:lastRowLastColumn="0"/>
            </w:pPr>
            <w:r>
              <w:rPr>
                <w:color w:val="000000"/>
              </w:rPr>
              <w:t>Department of Education (QLD)</w:t>
            </w:r>
          </w:p>
        </w:tc>
      </w:tr>
      <w:tr w:rsidR="006F5B5F" w14:paraId="7B8DFA5E" w14:textId="77777777" w:rsidTr="00A77C50">
        <w:trPr>
          <w:trHeight w:val="423"/>
        </w:trPr>
        <w:tc>
          <w:tcPr>
            <w:cnfStyle w:val="001000000000" w:firstRow="0" w:lastRow="0" w:firstColumn="1" w:lastColumn="0" w:oddVBand="0" w:evenVBand="0" w:oddHBand="0" w:evenHBand="0" w:firstRowFirstColumn="0" w:firstRowLastColumn="0" w:lastRowFirstColumn="0" w:lastRowLastColumn="0"/>
            <w:tcW w:w="0" w:type="auto"/>
          </w:tcPr>
          <w:p w14:paraId="36AB0393" w14:textId="161E8EC4" w:rsidR="006F5B5F" w:rsidRPr="00221FC9" w:rsidRDefault="006F5B5F" w:rsidP="006F5B5F">
            <w:pPr>
              <w:pStyle w:val="PwCNormal-Single"/>
              <w:rPr>
                <w:color w:val="000000"/>
              </w:rPr>
            </w:pPr>
            <w:r w:rsidRPr="00221FC9">
              <w:rPr>
                <w:color w:val="000000"/>
              </w:rPr>
              <w:t>Ros Raimond</w:t>
            </w:r>
          </w:p>
        </w:tc>
        <w:tc>
          <w:tcPr>
            <w:tcW w:w="0" w:type="auto"/>
          </w:tcPr>
          <w:p w14:paraId="0F95A956" w14:textId="33A48A0E" w:rsidR="006F5B5F" w:rsidRDefault="006F5B5F" w:rsidP="006F5B5F">
            <w:pPr>
              <w:pStyle w:val="PwCNormal-Single"/>
              <w:cnfStyle w:val="000000000000" w:firstRow="0" w:lastRow="0" w:firstColumn="0" w:lastColumn="0" w:oddVBand="0" w:evenVBand="0" w:oddHBand="0" w:evenHBand="0" w:firstRowFirstColumn="0" w:firstRowLastColumn="0" w:lastRowFirstColumn="0" w:lastRowLastColumn="0"/>
            </w:pPr>
            <w:r>
              <w:rPr>
                <w:color w:val="000000"/>
              </w:rPr>
              <w:t>NSW Education Authority</w:t>
            </w:r>
          </w:p>
        </w:tc>
      </w:tr>
      <w:tr w:rsidR="006F5B5F" w14:paraId="3B36B346" w14:textId="77777777" w:rsidTr="00A77C50">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0" w:type="auto"/>
          </w:tcPr>
          <w:p w14:paraId="10CAD5D9" w14:textId="55C1CA49" w:rsidR="006F5B5F" w:rsidRPr="00221FC9" w:rsidRDefault="006F5B5F" w:rsidP="006F5B5F">
            <w:pPr>
              <w:pStyle w:val="PwCNormal-Single"/>
              <w:rPr>
                <w:color w:val="000000"/>
              </w:rPr>
            </w:pPr>
            <w:r w:rsidRPr="00221FC9">
              <w:rPr>
                <w:color w:val="000000"/>
              </w:rPr>
              <w:t>Ross Manford</w:t>
            </w:r>
          </w:p>
        </w:tc>
        <w:tc>
          <w:tcPr>
            <w:tcW w:w="0" w:type="auto"/>
          </w:tcPr>
          <w:p w14:paraId="09E5428C" w14:textId="23B9587A" w:rsidR="006F5B5F" w:rsidRDefault="006F5B5F" w:rsidP="006F5B5F">
            <w:pPr>
              <w:pStyle w:val="PwCNormal-Single"/>
              <w:cnfStyle w:val="000000100000" w:firstRow="0" w:lastRow="0" w:firstColumn="0" w:lastColumn="0" w:oddVBand="0" w:evenVBand="0" w:oddHBand="1" w:evenHBand="0" w:firstRowFirstColumn="0" w:firstRowLastColumn="0" w:lastRowFirstColumn="0" w:lastRowLastColumn="0"/>
            </w:pPr>
            <w:r>
              <w:rPr>
                <w:color w:val="000000"/>
              </w:rPr>
              <w:t>TAFE NSW</w:t>
            </w:r>
          </w:p>
        </w:tc>
      </w:tr>
      <w:tr w:rsidR="006F5B5F" w14:paraId="03292AC9" w14:textId="77777777" w:rsidTr="00A77C50">
        <w:trPr>
          <w:trHeight w:val="423"/>
        </w:trPr>
        <w:tc>
          <w:tcPr>
            <w:cnfStyle w:val="001000000000" w:firstRow="0" w:lastRow="0" w:firstColumn="1" w:lastColumn="0" w:oddVBand="0" w:evenVBand="0" w:oddHBand="0" w:evenHBand="0" w:firstRowFirstColumn="0" w:firstRowLastColumn="0" w:lastRowFirstColumn="0" w:lastRowLastColumn="0"/>
            <w:tcW w:w="0" w:type="auto"/>
          </w:tcPr>
          <w:p w14:paraId="3C886A08" w14:textId="004F2266" w:rsidR="006F5B5F" w:rsidRPr="00221FC9" w:rsidRDefault="006F5B5F" w:rsidP="006F5B5F">
            <w:pPr>
              <w:pStyle w:val="PwCNormal-Single"/>
              <w:rPr>
                <w:color w:val="000000"/>
              </w:rPr>
            </w:pPr>
            <w:r>
              <w:rPr>
                <w:color w:val="000000"/>
              </w:rPr>
              <w:t>Samantha Avitaia</w:t>
            </w:r>
          </w:p>
        </w:tc>
        <w:tc>
          <w:tcPr>
            <w:tcW w:w="0" w:type="auto"/>
          </w:tcPr>
          <w:p w14:paraId="5A2972E2" w14:textId="1E6DEE42" w:rsidR="006F5B5F" w:rsidRDefault="006F5B5F" w:rsidP="006F5B5F">
            <w:pPr>
              <w:pStyle w:val="PwCNormal-Single"/>
              <w:cnfStyle w:val="000000000000" w:firstRow="0" w:lastRow="0" w:firstColumn="0" w:lastColumn="0" w:oddVBand="0" w:evenVBand="0" w:oddHBand="0" w:evenHBand="0" w:firstRowFirstColumn="0" w:firstRowLastColumn="0" w:lastRowFirstColumn="0" w:lastRowLastColumn="0"/>
            </w:pPr>
            <w:r>
              <w:rPr>
                <w:color w:val="000000"/>
              </w:rPr>
              <w:t>Society for the Provision of Education in Rural Australia</w:t>
            </w:r>
          </w:p>
        </w:tc>
      </w:tr>
      <w:tr w:rsidR="006F5B5F" w14:paraId="21C6B94B" w14:textId="77777777" w:rsidTr="00A77C50">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0" w:type="auto"/>
          </w:tcPr>
          <w:p w14:paraId="5D5B1CF6" w14:textId="50A046BE" w:rsidR="006F5B5F" w:rsidRPr="00221FC9" w:rsidRDefault="006F5B5F" w:rsidP="006F5B5F">
            <w:pPr>
              <w:pStyle w:val="PwCNormal-Single"/>
              <w:rPr>
                <w:color w:val="000000"/>
              </w:rPr>
            </w:pPr>
            <w:r>
              <w:rPr>
                <w:color w:val="000000"/>
              </w:rPr>
              <w:t>Sandra Christians</w:t>
            </w:r>
          </w:p>
        </w:tc>
        <w:tc>
          <w:tcPr>
            <w:tcW w:w="0" w:type="auto"/>
          </w:tcPr>
          <w:p w14:paraId="534F3C3C" w14:textId="6FDEFD7A" w:rsidR="006F5B5F" w:rsidRDefault="006F5B5F" w:rsidP="006F5B5F">
            <w:pPr>
              <w:pStyle w:val="PwCNormal-Single"/>
              <w:cnfStyle w:val="000000100000" w:firstRow="0" w:lastRow="0" w:firstColumn="0" w:lastColumn="0" w:oddVBand="0" w:evenVBand="0" w:oddHBand="1" w:evenHBand="0" w:firstRowFirstColumn="0" w:firstRowLastColumn="0" w:lastRowFirstColumn="0" w:lastRowLastColumn="0"/>
            </w:pPr>
            <w:r>
              <w:rPr>
                <w:color w:val="000000"/>
              </w:rPr>
              <w:t>Australian Skills Quality Authority</w:t>
            </w:r>
          </w:p>
        </w:tc>
      </w:tr>
      <w:tr w:rsidR="006F5B5F" w14:paraId="28C99D6A" w14:textId="77777777" w:rsidTr="00A77C50">
        <w:trPr>
          <w:trHeight w:val="423"/>
        </w:trPr>
        <w:tc>
          <w:tcPr>
            <w:cnfStyle w:val="001000000000" w:firstRow="0" w:lastRow="0" w:firstColumn="1" w:lastColumn="0" w:oddVBand="0" w:evenVBand="0" w:oddHBand="0" w:evenHBand="0" w:firstRowFirstColumn="0" w:firstRowLastColumn="0" w:lastRowFirstColumn="0" w:lastRowLastColumn="0"/>
            <w:tcW w:w="0" w:type="auto"/>
          </w:tcPr>
          <w:p w14:paraId="5FBF3083" w14:textId="1BC12B46" w:rsidR="006F5B5F" w:rsidRPr="00221FC9" w:rsidRDefault="006F5B5F" w:rsidP="006F5B5F">
            <w:pPr>
              <w:pStyle w:val="PwCNormal-Single"/>
              <w:rPr>
                <w:color w:val="000000"/>
              </w:rPr>
            </w:pPr>
            <w:r>
              <w:rPr>
                <w:color w:val="000000"/>
              </w:rPr>
              <w:t>Sandra Marshall</w:t>
            </w:r>
          </w:p>
        </w:tc>
        <w:tc>
          <w:tcPr>
            <w:tcW w:w="0" w:type="auto"/>
          </w:tcPr>
          <w:p w14:paraId="6B655062" w14:textId="5228C927" w:rsidR="006F5B5F" w:rsidRDefault="006F5B5F" w:rsidP="006F5B5F">
            <w:pPr>
              <w:pStyle w:val="PwCNormal-Single"/>
              <w:cnfStyle w:val="000000000000" w:firstRow="0" w:lastRow="0" w:firstColumn="0" w:lastColumn="0" w:oddVBand="0" w:evenVBand="0" w:oddHBand="0" w:evenHBand="0" w:firstRowFirstColumn="0" w:firstRowLastColumn="0" w:lastRowFirstColumn="0" w:lastRowLastColumn="0"/>
            </w:pPr>
            <w:r>
              <w:rPr>
                <w:color w:val="000000"/>
              </w:rPr>
              <w:t>Department of Education (Tasmania)</w:t>
            </w:r>
          </w:p>
        </w:tc>
      </w:tr>
      <w:tr w:rsidR="006F5B5F" w14:paraId="6793A182" w14:textId="77777777" w:rsidTr="00A77C50">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0" w:type="auto"/>
          </w:tcPr>
          <w:p w14:paraId="59A8AEDE" w14:textId="5423FB24" w:rsidR="006F5B5F" w:rsidRPr="00221FC9" w:rsidRDefault="006F5B5F" w:rsidP="006F5B5F">
            <w:pPr>
              <w:pStyle w:val="PwCNormal-Single"/>
              <w:rPr>
                <w:color w:val="000000"/>
              </w:rPr>
            </w:pPr>
            <w:r>
              <w:rPr>
                <w:color w:val="000000"/>
              </w:rPr>
              <w:t>Sarah Lance </w:t>
            </w:r>
          </w:p>
        </w:tc>
        <w:tc>
          <w:tcPr>
            <w:tcW w:w="0" w:type="auto"/>
          </w:tcPr>
          <w:p w14:paraId="14ED1D8F" w14:textId="4DEDAB0B" w:rsidR="006F5B5F" w:rsidRDefault="006F5B5F" w:rsidP="006F5B5F">
            <w:pPr>
              <w:pStyle w:val="PwCNormal-Single"/>
              <w:cnfStyle w:val="000000100000" w:firstRow="0" w:lastRow="0" w:firstColumn="0" w:lastColumn="0" w:oddVBand="0" w:evenVBand="0" w:oddHBand="1" w:evenHBand="0" w:firstRowFirstColumn="0" w:firstRowLastColumn="0" w:lastRowFirstColumn="0" w:lastRowLastColumn="0"/>
            </w:pPr>
            <w:r>
              <w:rPr>
                <w:color w:val="000000"/>
              </w:rPr>
              <w:t>TAFE SA</w:t>
            </w:r>
          </w:p>
        </w:tc>
      </w:tr>
      <w:tr w:rsidR="006F5B5F" w14:paraId="40D02FC7" w14:textId="77777777" w:rsidTr="00A77C50">
        <w:trPr>
          <w:trHeight w:val="423"/>
        </w:trPr>
        <w:tc>
          <w:tcPr>
            <w:cnfStyle w:val="001000000000" w:firstRow="0" w:lastRow="0" w:firstColumn="1" w:lastColumn="0" w:oddVBand="0" w:evenVBand="0" w:oddHBand="0" w:evenHBand="0" w:firstRowFirstColumn="0" w:firstRowLastColumn="0" w:lastRowFirstColumn="0" w:lastRowLastColumn="0"/>
            <w:tcW w:w="0" w:type="auto"/>
          </w:tcPr>
          <w:p w14:paraId="25A7D8A9" w14:textId="0465C89B" w:rsidR="006F5B5F" w:rsidRPr="00221FC9" w:rsidRDefault="006F5B5F" w:rsidP="006F5B5F">
            <w:pPr>
              <w:pStyle w:val="PwCNormal-Single"/>
              <w:rPr>
                <w:color w:val="000000"/>
              </w:rPr>
            </w:pPr>
            <w:r>
              <w:rPr>
                <w:color w:val="000000"/>
              </w:rPr>
              <w:t>Shannon Laidler</w:t>
            </w:r>
          </w:p>
        </w:tc>
        <w:tc>
          <w:tcPr>
            <w:tcW w:w="0" w:type="auto"/>
          </w:tcPr>
          <w:p w14:paraId="44926F9A" w14:textId="52843C26" w:rsidR="006F5B5F" w:rsidRDefault="006F5B5F" w:rsidP="006F5B5F">
            <w:pPr>
              <w:pStyle w:val="PwCNormal-Single"/>
              <w:cnfStyle w:val="000000000000" w:firstRow="0" w:lastRow="0" w:firstColumn="0" w:lastColumn="0" w:oddVBand="0" w:evenVBand="0" w:oddHBand="0" w:evenHBand="0" w:firstRowFirstColumn="0" w:firstRowLastColumn="0" w:lastRowFirstColumn="0" w:lastRowLastColumn="0"/>
            </w:pPr>
            <w:r>
              <w:rPr>
                <w:color w:val="000000"/>
              </w:rPr>
              <w:t>School of Isolated and Distance Education</w:t>
            </w:r>
          </w:p>
        </w:tc>
      </w:tr>
      <w:tr w:rsidR="006F5B5F" w14:paraId="496B191C" w14:textId="77777777" w:rsidTr="00A77C50">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0" w:type="auto"/>
          </w:tcPr>
          <w:p w14:paraId="0DC5AE0D" w14:textId="2362BFF0" w:rsidR="006F5B5F" w:rsidRPr="00221FC9" w:rsidRDefault="006F5B5F" w:rsidP="006F5B5F">
            <w:pPr>
              <w:pStyle w:val="PwCNormal-Single"/>
              <w:rPr>
                <w:color w:val="000000"/>
              </w:rPr>
            </w:pPr>
            <w:r>
              <w:rPr>
                <w:color w:val="000000"/>
              </w:rPr>
              <w:t>Shanti Philpott</w:t>
            </w:r>
          </w:p>
        </w:tc>
        <w:tc>
          <w:tcPr>
            <w:tcW w:w="0" w:type="auto"/>
          </w:tcPr>
          <w:p w14:paraId="31DB6980" w14:textId="60D3D8E7" w:rsidR="006F5B5F" w:rsidRDefault="006F5B5F" w:rsidP="006F5B5F">
            <w:pPr>
              <w:pStyle w:val="PwCNormal-Single"/>
              <w:cnfStyle w:val="000000100000" w:firstRow="0" w:lastRow="0" w:firstColumn="0" w:lastColumn="0" w:oddVBand="0" w:evenVBand="0" w:oddHBand="1" w:evenHBand="0" w:firstRowFirstColumn="0" w:firstRowLastColumn="0" w:lastRowFirstColumn="0" w:lastRowLastColumn="0"/>
            </w:pPr>
            <w:r>
              <w:rPr>
                <w:color w:val="000000"/>
              </w:rPr>
              <w:t>School of Isolated and Distance Education </w:t>
            </w:r>
          </w:p>
        </w:tc>
      </w:tr>
      <w:tr w:rsidR="006F5B5F" w14:paraId="30CF2E19" w14:textId="77777777" w:rsidTr="00A77C50">
        <w:trPr>
          <w:trHeight w:val="423"/>
        </w:trPr>
        <w:tc>
          <w:tcPr>
            <w:cnfStyle w:val="001000000000" w:firstRow="0" w:lastRow="0" w:firstColumn="1" w:lastColumn="0" w:oddVBand="0" w:evenVBand="0" w:oddHBand="0" w:evenHBand="0" w:firstRowFirstColumn="0" w:firstRowLastColumn="0" w:lastRowFirstColumn="0" w:lastRowLastColumn="0"/>
            <w:tcW w:w="0" w:type="auto"/>
          </w:tcPr>
          <w:p w14:paraId="2CAF1732" w14:textId="5FC2DDB0" w:rsidR="006F5B5F" w:rsidRPr="00221FC9" w:rsidRDefault="006F5B5F" w:rsidP="006F5B5F">
            <w:pPr>
              <w:pStyle w:val="PwCNormal-Single"/>
              <w:rPr>
                <w:color w:val="000000"/>
              </w:rPr>
            </w:pPr>
            <w:r>
              <w:rPr>
                <w:color w:val="000000"/>
              </w:rPr>
              <w:t>Steven Atkins</w:t>
            </w:r>
          </w:p>
        </w:tc>
        <w:tc>
          <w:tcPr>
            <w:tcW w:w="0" w:type="auto"/>
          </w:tcPr>
          <w:p w14:paraId="78E97F8D" w14:textId="1F540F51" w:rsidR="006F5B5F" w:rsidRDefault="006F5B5F" w:rsidP="006F5B5F">
            <w:pPr>
              <w:pStyle w:val="PwCNormal-Single"/>
              <w:cnfStyle w:val="000000000000" w:firstRow="0" w:lastRow="0" w:firstColumn="0" w:lastColumn="0" w:oddVBand="0" w:evenVBand="0" w:oddHBand="0" w:evenHBand="0" w:firstRowFirstColumn="0" w:firstRowLastColumn="0" w:lastRowFirstColumn="0" w:lastRowLastColumn="0"/>
            </w:pPr>
            <w:r>
              <w:rPr>
                <w:color w:val="000000"/>
              </w:rPr>
              <w:t>TAFE NSW</w:t>
            </w:r>
          </w:p>
        </w:tc>
      </w:tr>
      <w:tr w:rsidR="006F5B5F" w14:paraId="2644A301" w14:textId="77777777" w:rsidTr="00A77C50">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0" w:type="auto"/>
          </w:tcPr>
          <w:p w14:paraId="172841E3" w14:textId="16B63C27" w:rsidR="006F5B5F" w:rsidRPr="00221FC9" w:rsidRDefault="006F5B5F" w:rsidP="006F5B5F">
            <w:pPr>
              <w:pStyle w:val="PwCNormal-Single"/>
              <w:rPr>
                <w:color w:val="000000"/>
              </w:rPr>
            </w:pPr>
            <w:r>
              <w:rPr>
                <w:color w:val="000000"/>
              </w:rPr>
              <w:t>Susan Coffey</w:t>
            </w:r>
          </w:p>
        </w:tc>
        <w:tc>
          <w:tcPr>
            <w:tcW w:w="0" w:type="auto"/>
          </w:tcPr>
          <w:p w14:paraId="50F6C732" w14:textId="013BF8D8" w:rsidR="006F5B5F" w:rsidRDefault="006F5B5F" w:rsidP="006F5B5F">
            <w:pPr>
              <w:pStyle w:val="PwCNormal-Single"/>
              <w:cnfStyle w:val="000000100000" w:firstRow="0" w:lastRow="0" w:firstColumn="0" w:lastColumn="0" w:oddVBand="0" w:evenVBand="0" w:oddHBand="1" w:evenHBand="0" w:firstRowFirstColumn="0" w:firstRowLastColumn="0" w:lastRowFirstColumn="0" w:lastRowLastColumn="0"/>
            </w:pPr>
            <w:r>
              <w:rPr>
                <w:color w:val="000000"/>
              </w:rPr>
              <w:t>Society for the Provision of Education in Rural Australia</w:t>
            </w:r>
          </w:p>
        </w:tc>
      </w:tr>
      <w:tr w:rsidR="006F5B5F" w14:paraId="7492C983" w14:textId="77777777" w:rsidTr="00A77C50">
        <w:trPr>
          <w:trHeight w:val="423"/>
        </w:trPr>
        <w:tc>
          <w:tcPr>
            <w:cnfStyle w:val="001000000000" w:firstRow="0" w:lastRow="0" w:firstColumn="1" w:lastColumn="0" w:oddVBand="0" w:evenVBand="0" w:oddHBand="0" w:evenHBand="0" w:firstRowFirstColumn="0" w:firstRowLastColumn="0" w:lastRowFirstColumn="0" w:lastRowLastColumn="0"/>
            <w:tcW w:w="0" w:type="auto"/>
          </w:tcPr>
          <w:p w14:paraId="322E2F09" w14:textId="74D6707E" w:rsidR="006F5B5F" w:rsidRPr="00221FC9" w:rsidRDefault="006F5B5F" w:rsidP="006F5B5F">
            <w:pPr>
              <w:pStyle w:val="PwCNormal-Single"/>
              <w:rPr>
                <w:color w:val="000000"/>
              </w:rPr>
            </w:pPr>
            <w:r>
              <w:rPr>
                <w:color w:val="000000"/>
              </w:rPr>
              <w:t>Tom Rowe</w:t>
            </w:r>
          </w:p>
        </w:tc>
        <w:tc>
          <w:tcPr>
            <w:tcW w:w="0" w:type="auto"/>
          </w:tcPr>
          <w:p w14:paraId="1AB0329F" w14:textId="7354E2CA" w:rsidR="006F5B5F" w:rsidRDefault="006F5B5F" w:rsidP="006F5B5F">
            <w:pPr>
              <w:pStyle w:val="PwCNormal-Single"/>
              <w:cnfStyle w:val="000000000000" w:firstRow="0" w:lastRow="0" w:firstColumn="0" w:lastColumn="0" w:oddVBand="0" w:evenVBand="0" w:oddHBand="0" w:evenHBand="0" w:firstRowFirstColumn="0" w:firstRowLastColumn="0" w:lastRowFirstColumn="0" w:lastRowLastColumn="0"/>
            </w:pPr>
            <w:r>
              <w:rPr>
                <w:color w:val="000000"/>
              </w:rPr>
              <w:t>TAFE Queensland South West</w:t>
            </w:r>
          </w:p>
        </w:tc>
      </w:tr>
      <w:tr w:rsidR="006F5B5F" w14:paraId="0FA3F3D6" w14:textId="77777777" w:rsidTr="00A77C50">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0" w:type="auto"/>
          </w:tcPr>
          <w:p w14:paraId="3E4998EE" w14:textId="63BEA05E" w:rsidR="006F5B5F" w:rsidRPr="00221FC9" w:rsidRDefault="006F5B5F" w:rsidP="006F5B5F">
            <w:pPr>
              <w:pStyle w:val="PwCNormal-Single"/>
              <w:rPr>
                <w:color w:val="000000"/>
              </w:rPr>
            </w:pPr>
            <w:r>
              <w:rPr>
                <w:color w:val="000000"/>
              </w:rPr>
              <w:t>Trent Engel</w:t>
            </w:r>
          </w:p>
        </w:tc>
        <w:tc>
          <w:tcPr>
            <w:tcW w:w="0" w:type="auto"/>
          </w:tcPr>
          <w:p w14:paraId="55649B3A" w14:textId="39DB6ECC" w:rsidR="006F5B5F" w:rsidRDefault="006F5B5F" w:rsidP="006F5B5F">
            <w:pPr>
              <w:pStyle w:val="PwCNormal-Single"/>
              <w:cnfStyle w:val="000000100000" w:firstRow="0" w:lastRow="0" w:firstColumn="0" w:lastColumn="0" w:oddVBand="0" w:evenVBand="0" w:oddHBand="1" w:evenHBand="0" w:firstRowFirstColumn="0" w:firstRowLastColumn="0" w:lastRowFirstColumn="0" w:lastRowLastColumn="0"/>
            </w:pPr>
            <w:r>
              <w:rPr>
                <w:color w:val="000000"/>
              </w:rPr>
              <w:t>Townsville Catholic Education</w:t>
            </w:r>
          </w:p>
        </w:tc>
      </w:tr>
      <w:tr w:rsidR="006F5B5F" w14:paraId="50C90A98" w14:textId="77777777" w:rsidTr="00A77C50">
        <w:trPr>
          <w:trHeight w:val="423"/>
        </w:trPr>
        <w:tc>
          <w:tcPr>
            <w:cnfStyle w:val="001000000000" w:firstRow="0" w:lastRow="0" w:firstColumn="1" w:lastColumn="0" w:oddVBand="0" w:evenVBand="0" w:oddHBand="0" w:evenHBand="0" w:firstRowFirstColumn="0" w:firstRowLastColumn="0" w:lastRowFirstColumn="0" w:lastRowLastColumn="0"/>
            <w:tcW w:w="0" w:type="auto"/>
          </w:tcPr>
          <w:p w14:paraId="1FCE2492" w14:textId="133310C3" w:rsidR="006F5B5F" w:rsidRPr="00221FC9" w:rsidRDefault="006F5B5F" w:rsidP="006F5B5F">
            <w:pPr>
              <w:pStyle w:val="PwCNormal-Single"/>
              <w:rPr>
                <w:color w:val="000000"/>
              </w:rPr>
            </w:pPr>
            <w:r>
              <w:rPr>
                <w:color w:val="000000"/>
              </w:rPr>
              <w:t>Wade McLeod</w:t>
            </w:r>
          </w:p>
        </w:tc>
        <w:tc>
          <w:tcPr>
            <w:tcW w:w="0" w:type="auto"/>
          </w:tcPr>
          <w:p w14:paraId="22CDEB4F" w14:textId="67C941F2" w:rsidR="006F5B5F" w:rsidRDefault="006F5B5F" w:rsidP="006F5B5F">
            <w:pPr>
              <w:pStyle w:val="PwCNormal-Single"/>
              <w:cnfStyle w:val="000000000000" w:firstRow="0" w:lastRow="0" w:firstColumn="0" w:lastColumn="0" w:oddVBand="0" w:evenVBand="0" w:oddHBand="0" w:evenHBand="0" w:firstRowFirstColumn="0" w:firstRowLastColumn="0" w:lastRowFirstColumn="0" w:lastRowLastColumn="0"/>
            </w:pPr>
            <w:r>
              <w:rPr>
                <w:color w:val="000000"/>
              </w:rPr>
              <w:t>Association of Independent Schools WA</w:t>
            </w:r>
          </w:p>
        </w:tc>
      </w:tr>
      <w:tr w:rsidR="006F5B5F" w14:paraId="6A82FE02" w14:textId="77777777" w:rsidTr="00A77C50">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0" w:type="auto"/>
          </w:tcPr>
          <w:p w14:paraId="4BA83B57" w14:textId="37F98A66" w:rsidR="006F5B5F" w:rsidRPr="00221FC9" w:rsidRDefault="006F5B5F" w:rsidP="006F5B5F">
            <w:pPr>
              <w:pStyle w:val="PwCNormal-Single"/>
              <w:rPr>
                <w:color w:val="000000"/>
              </w:rPr>
            </w:pPr>
            <w:r>
              <w:rPr>
                <w:color w:val="000000"/>
              </w:rPr>
              <w:t>Wayne Wilson</w:t>
            </w:r>
          </w:p>
        </w:tc>
        <w:tc>
          <w:tcPr>
            <w:tcW w:w="0" w:type="auto"/>
          </w:tcPr>
          <w:p w14:paraId="6B4FABE9" w14:textId="578CAD11" w:rsidR="006F5B5F" w:rsidRDefault="006F5B5F" w:rsidP="006F5B5F">
            <w:pPr>
              <w:pStyle w:val="PwCNormal-Single"/>
              <w:cnfStyle w:val="000000100000" w:firstRow="0" w:lastRow="0" w:firstColumn="0" w:lastColumn="0" w:oddVBand="0" w:evenVBand="0" w:oddHBand="1" w:evenHBand="0" w:firstRowFirstColumn="0" w:firstRowLastColumn="0" w:lastRowFirstColumn="0" w:lastRowLastColumn="0"/>
            </w:pPr>
            <w:r>
              <w:rPr>
                <w:color w:val="000000"/>
              </w:rPr>
              <w:t>School of Isolated and Distance Education </w:t>
            </w:r>
          </w:p>
        </w:tc>
      </w:tr>
      <w:tr w:rsidR="006F5B5F" w14:paraId="39ED0BC3" w14:textId="77777777" w:rsidTr="00A77C50">
        <w:trPr>
          <w:trHeight w:val="423"/>
        </w:trPr>
        <w:tc>
          <w:tcPr>
            <w:cnfStyle w:val="001000000000" w:firstRow="0" w:lastRow="0" w:firstColumn="1" w:lastColumn="0" w:oddVBand="0" w:evenVBand="0" w:oddHBand="0" w:evenHBand="0" w:firstRowFirstColumn="0" w:firstRowLastColumn="0" w:lastRowFirstColumn="0" w:lastRowLastColumn="0"/>
            <w:tcW w:w="0" w:type="auto"/>
          </w:tcPr>
          <w:p w14:paraId="3E577003" w14:textId="71E248B7" w:rsidR="006F5B5F" w:rsidRPr="00221FC9" w:rsidRDefault="006F5B5F" w:rsidP="006F5B5F">
            <w:pPr>
              <w:pStyle w:val="PwCNormal-Single"/>
              <w:rPr>
                <w:color w:val="000000"/>
              </w:rPr>
            </w:pPr>
            <w:r>
              <w:rPr>
                <w:color w:val="000000"/>
              </w:rPr>
              <w:t>Wendi Masters</w:t>
            </w:r>
          </w:p>
        </w:tc>
        <w:tc>
          <w:tcPr>
            <w:tcW w:w="0" w:type="auto"/>
          </w:tcPr>
          <w:p w14:paraId="7975DEB0" w14:textId="692C3DA0" w:rsidR="006F5B5F" w:rsidRDefault="006F5B5F" w:rsidP="006F5B5F">
            <w:pPr>
              <w:pStyle w:val="PwCNormal-Single"/>
              <w:cnfStyle w:val="000000000000" w:firstRow="0" w:lastRow="0" w:firstColumn="0" w:lastColumn="0" w:oddVBand="0" w:evenVBand="0" w:oddHBand="0" w:evenHBand="0" w:firstRowFirstColumn="0" w:firstRowLastColumn="0" w:lastRowFirstColumn="0" w:lastRowLastColumn="0"/>
            </w:pPr>
            <w:r>
              <w:rPr>
                <w:color w:val="000000"/>
                <w:shd w:val="clear" w:color="auto" w:fill="FFFFFF"/>
              </w:rPr>
              <w:t>Department of Employment, Small Business and Training</w:t>
            </w:r>
          </w:p>
        </w:tc>
      </w:tr>
      <w:tr w:rsidR="006F5B5F" w14:paraId="7686872A" w14:textId="77777777" w:rsidTr="00A77C50">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0" w:type="auto"/>
          </w:tcPr>
          <w:p w14:paraId="55E8FB33" w14:textId="37883646" w:rsidR="006F5B5F" w:rsidRPr="00221FC9" w:rsidRDefault="006F5B5F" w:rsidP="006F5B5F">
            <w:pPr>
              <w:pStyle w:val="PwCNormal-Single"/>
              <w:rPr>
                <w:color w:val="000000"/>
              </w:rPr>
            </w:pPr>
            <w:r>
              <w:rPr>
                <w:color w:val="000000"/>
              </w:rPr>
              <w:t>Wes Heberlein</w:t>
            </w:r>
          </w:p>
        </w:tc>
        <w:tc>
          <w:tcPr>
            <w:tcW w:w="0" w:type="auto"/>
          </w:tcPr>
          <w:p w14:paraId="382ECD4B" w14:textId="32B712B8" w:rsidR="006F5B5F" w:rsidRDefault="006F5B5F" w:rsidP="006F5B5F">
            <w:pPr>
              <w:pStyle w:val="PwCNormal-Single"/>
              <w:cnfStyle w:val="000000100000" w:firstRow="0" w:lastRow="0" w:firstColumn="0" w:lastColumn="0" w:oddVBand="0" w:evenVBand="0" w:oddHBand="1" w:evenHBand="0" w:firstRowFirstColumn="0" w:firstRowLastColumn="0" w:lastRowFirstColumn="0" w:lastRowLastColumn="0"/>
            </w:pPr>
            <w:r>
              <w:rPr>
                <w:color w:val="000000"/>
              </w:rPr>
              <w:t>Central Queensland University</w:t>
            </w:r>
          </w:p>
        </w:tc>
      </w:tr>
      <w:tr w:rsidR="006F5B5F" w14:paraId="7F6B17A3" w14:textId="77777777" w:rsidTr="00A77C50">
        <w:trPr>
          <w:trHeight w:val="423"/>
        </w:trPr>
        <w:tc>
          <w:tcPr>
            <w:cnfStyle w:val="001000000000" w:firstRow="0" w:lastRow="0" w:firstColumn="1" w:lastColumn="0" w:oddVBand="0" w:evenVBand="0" w:oddHBand="0" w:evenHBand="0" w:firstRowFirstColumn="0" w:firstRowLastColumn="0" w:lastRowFirstColumn="0" w:lastRowLastColumn="0"/>
            <w:tcW w:w="0" w:type="auto"/>
          </w:tcPr>
          <w:p w14:paraId="21FC5D0E" w14:textId="0B5CA47A" w:rsidR="006F5B5F" w:rsidRDefault="006F5B5F" w:rsidP="006F5B5F">
            <w:pPr>
              <w:pStyle w:val="PwCNormal-Single"/>
            </w:pPr>
            <w:r>
              <w:lastRenderedPageBreak/>
              <w:t>Wes McGrath</w:t>
            </w:r>
          </w:p>
        </w:tc>
        <w:tc>
          <w:tcPr>
            <w:tcW w:w="0" w:type="auto"/>
          </w:tcPr>
          <w:p w14:paraId="090AD3C6" w14:textId="5C593D9F" w:rsidR="006F5B5F" w:rsidRDefault="006F5B5F" w:rsidP="006F5B5F">
            <w:pPr>
              <w:pStyle w:val="PwCNormal-Single"/>
              <w:cnfStyle w:val="000000000000" w:firstRow="0" w:lastRow="0" w:firstColumn="0" w:lastColumn="0" w:oddVBand="0" w:evenVBand="0" w:oddHBand="0" w:evenHBand="0" w:firstRowFirstColumn="0" w:firstRowLastColumn="0" w:lastRowFirstColumn="0" w:lastRowLastColumn="0"/>
            </w:pPr>
            <w:r>
              <w:t>Catholic Education WA</w:t>
            </w:r>
          </w:p>
        </w:tc>
      </w:tr>
    </w:tbl>
    <w:p w14:paraId="6136A401" w14:textId="77777777" w:rsidR="00C22375" w:rsidRDefault="00C22375" w:rsidP="000E7E78">
      <w:pPr>
        <w:pStyle w:val="PwCNormal"/>
        <w:numPr>
          <w:ilvl w:val="0"/>
          <w:numId w:val="0"/>
        </w:numPr>
      </w:pPr>
    </w:p>
    <w:p w14:paraId="04C760F8" w14:textId="77777777" w:rsidR="00E006EC" w:rsidRDefault="00E006EC" w:rsidP="000E7E78">
      <w:pPr>
        <w:pStyle w:val="PwCNormal"/>
        <w:numPr>
          <w:ilvl w:val="0"/>
          <w:numId w:val="0"/>
        </w:numPr>
      </w:pPr>
    </w:p>
    <w:p w14:paraId="39A1C100" w14:textId="61C95B7B" w:rsidR="00E006EC" w:rsidRPr="006842FF" w:rsidRDefault="00E006EC" w:rsidP="000E7E78">
      <w:pPr>
        <w:pStyle w:val="PwCNormal"/>
        <w:numPr>
          <w:ilvl w:val="0"/>
          <w:numId w:val="0"/>
        </w:numPr>
        <w:sectPr w:rsidR="00E006EC" w:rsidRPr="006842FF" w:rsidSect="00564AF1">
          <w:headerReference w:type="first" r:id="rId41"/>
          <w:type w:val="oddPage"/>
          <w:pgSz w:w="11907" w:h="16840" w:code="9"/>
          <w:pgMar w:top="1588" w:right="1021" w:bottom="1418" w:left="1021" w:header="567" w:footer="567" w:gutter="0"/>
          <w:cols w:space="227"/>
          <w:titlePg/>
          <w:docGrid w:linePitch="360"/>
        </w:sectPr>
      </w:pPr>
    </w:p>
    <w:p w14:paraId="2E283C46" w14:textId="77777777" w:rsidR="008637F7" w:rsidRDefault="008637F7" w:rsidP="000874BA">
      <w:pPr>
        <w:pStyle w:val="PwCNormal-Single"/>
      </w:pPr>
      <w:bookmarkStart w:id="12" w:name="ConsultOnly"/>
    </w:p>
    <w:p w14:paraId="589D036C" w14:textId="17F88DA4" w:rsidR="000874BA" w:rsidRDefault="000874BA" w:rsidP="000874BA">
      <w:pPr>
        <w:pStyle w:val="PwCNormal-Single"/>
      </w:pPr>
    </w:p>
    <w:bookmarkEnd w:id="12"/>
    <w:p w14:paraId="1A9936B4" w14:textId="77777777" w:rsidR="000874BA" w:rsidRPr="000874BA" w:rsidRDefault="000874BA" w:rsidP="000874BA">
      <w:pPr>
        <w:pStyle w:val="PwCNormal-Single"/>
      </w:pPr>
    </w:p>
    <w:p w14:paraId="02D46386" w14:textId="77777777" w:rsidR="005236F7" w:rsidRPr="006842FF" w:rsidRDefault="005236F7" w:rsidP="000874BA">
      <w:pPr>
        <w:pStyle w:val="PwCNormal-Single"/>
      </w:pPr>
    </w:p>
    <w:sectPr w:rsidR="005236F7" w:rsidRPr="006842FF" w:rsidSect="008A3C08">
      <w:headerReference w:type="even" r:id="rId42"/>
      <w:headerReference w:type="default" r:id="rId43"/>
      <w:footerReference w:type="even" r:id="rId44"/>
      <w:footerReference w:type="default" r:id="rId45"/>
      <w:headerReference w:type="first" r:id="rId46"/>
      <w:footerReference w:type="first" r:id="rId47"/>
      <w:type w:val="evenPage"/>
      <w:pgSz w:w="11907" w:h="16840" w:code="9"/>
      <w:pgMar w:top="1701" w:right="1021" w:bottom="1418" w:left="102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18ED1A" w14:textId="77777777" w:rsidR="004259D5" w:rsidRDefault="004259D5" w:rsidP="004343B3">
      <w:pPr>
        <w:pStyle w:val="Separator"/>
      </w:pPr>
      <w:r>
        <w:separator/>
      </w:r>
    </w:p>
    <w:p w14:paraId="6B4CC6E6" w14:textId="77777777" w:rsidR="004259D5" w:rsidRDefault="004259D5"/>
  </w:endnote>
  <w:endnote w:type="continuationSeparator" w:id="0">
    <w:p w14:paraId="2C7F4CB5" w14:textId="77777777" w:rsidR="004259D5" w:rsidRDefault="004259D5" w:rsidP="004343B3">
      <w:pPr>
        <w:pStyle w:val="Separator"/>
      </w:pPr>
      <w:r>
        <w:continuationSeparator/>
      </w:r>
    </w:p>
    <w:p w14:paraId="2AAE8DCD" w14:textId="77777777" w:rsidR="004259D5" w:rsidRDefault="004259D5"/>
  </w:endnote>
  <w:endnote w:type="continuationNotice" w:id="1">
    <w:p w14:paraId="05263498" w14:textId="77777777" w:rsidR="004259D5" w:rsidRDefault="004259D5" w:rsidP="004343B3">
      <w:pPr>
        <w:pStyle w:val="Separator"/>
      </w:pPr>
    </w:p>
    <w:p w14:paraId="25BC527C" w14:textId="77777777" w:rsidR="004259D5" w:rsidRDefault="004259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 New Roman (Body CS)">
    <w:altName w:val="Times New Roman"/>
    <w:panose1 w:val="00000000000000000000"/>
    <w:charset w:val="00"/>
    <w:family w:val="roman"/>
    <w:notTrueType/>
    <w:pitch w:val="default"/>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84015" w14:textId="5277BC76" w:rsidR="00782BC1" w:rsidRDefault="007E5027" w:rsidP="007E5027">
    <w:pPr>
      <w:pStyle w:val="Footer"/>
    </w:pPr>
    <w: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BBFF4" w14:textId="51433789" w:rsidR="005B5B97" w:rsidRDefault="005B5B97" w:rsidP="00361597">
    <w:pPr>
      <w:pStyle w:val="Footer"/>
    </w:pPr>
    <w:r>
      <w:rPr>
        <w:noProof/>
      </w:rPr>
      <w:fldChar w:fldCharType="begin"/>
    </w:r>
    <w:r>
      <w:rPr>
        <w:noProof/>
      </w:rPr>
      <w:instrText xml:space="preserve"> STYLEREF "Cover Outcome Headline" </w:instrText>
    </w:r>
    <w:r>
      <w:rPr>
        <w:noProof/>
      </w:rPr>
      <w:fldChar w:fldCharType="separate"/>
    </w:r>
    <w:r w:rsidR="004F7112">
      <w:rPr>
        <w:noProof/>
      </w:rPr>
      <w:t>VET Delivered to Secondary Students</w:t>
    </w:r>
    <w:r>
      <w:rPr>
        <w:noProof/>
      </w:rPr>
      <w:fldChar w:fldCharType="end"/>
    </w:r>
  </w:p>
  <w:p w14:paraId="6B7FB98C" w14:textId="77777777" w:rsidR="005B5B97" w:rsidRPr="002628D1" w:rsidRDefault="005B5B97" w:rsidP="006650EF">
    <w:pPr>
      <w:pStyle w:val="Footer-Even"/>
    </w:pPr>
    <w:r>
      <w:t>PwC</w:t>
    </w:r>
    <w:r>
      <w:ptab w:relativeTo="margin" w:alignment="right" w:leader="none"/>
    </w:r>
    <w:r>
      <w:fldChar w:fldCharType="begin"/>
    </w:r>
    <w:r>
      <w:instrText xml:space="preserve"> PAGE  \* MERGEFORMAT </w:instrText>
    </w:r>
    <w:r>
      <w:fldChar w:fldCharType="separate"/>
    </w:r>
    <w:r w:rsidR="008A7947">
      <w:rPr>
        <w:noProof/>
      </w:rPr>
      <w:t>18</w:t>
    </w:r>
    <w:r>
      <w:rPr>
        <w:noProof/>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DC6E4" w14:textId="4CE2E79B" w:rsidR="005B5B97" w:rsidRPr="008C6722" w:rsidRDefault="005B5B97" w:rsidP="006650EF">
    <w:pPr>
      <w:pStyle w:val="Footer"/>
    </w:pPr>
    <w:r>
      <w:rPr>
        <w:noProof/>
      </w:rPr>
      <w:fldChar w:fldCharType="begin"/>
    </w:r>
    <w:r>
      <w:rPr>
        <w:noProof/>
      </w:rPr>
      <w:instrText xml:space="preserve"> STYLEREF "Cover Outcome Headline" </w:instrText>
    </w:r>
    <w:r>
      <w:rPr>
        <w:noProof/>
      </w:rPr>
      <w:fldChar w:fldCharType="separate"/>
    </w:r>
    <w:r w:rsidR="00747A2B">
      <w:rPr>
        <w:noProof/>
      </w:rPr>
      <w:t>VET Delivered to Secondary Students</w:t>
    </w:r>
    <w:r>
      <w:rPr>
        <w:noProof/>
      </w:rPr>
      <w:fldChar w:fldCharType="end"/>
    </w:r>
  </w:p>
  <w:p w14:paraId="2BF3FC2F" w14:textId="77777777" w:rsidR="005B5B97" w:rsidRPr="008C6722" w:rsidRDefault="005B5B97" w:rsidP="006650EF">
    <w:pPr>
      <w:pStyle w:val="Footer"/>
    </w:pPr>
    <w:r w:rsidRPr="008C6722">
      <w:t>PwC</w:t>
    </w:r>
    <w:r>
      <w:ptab w:relativeTo="margin" w:alignment="right" w:leader="none"/>
    </w:r>
    <w:r>
      <w:fldChar w:fldCharType="begin"/>
    </w:r>
    <w:r>
      <w:instrText xml:space="preserve"> PAGE  \* MERGEFORMAT </w:instrText>
    </w:r>
    <w:r>
      <w:fldChar w:fldCharType="separate"/>
    </w:r>
    <w:r w:rsidR="008A7947">
      <w:rPr>
        <w:noProof/>
      </w:rPr>
      <w:t>19</w:t>
    </w:r>
    <w:r>
      <w:rPr>
        <w:noProof/>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B112B" w14:textId="61107F0B" w:rsidR="005B5B97" w:rsidRDefault="005B5B97" w:rsidP="00361597">
    <w:pPr>
      <w:pStyle w:val="Footer"/>
    </w:pPr>
    <w:r>
      <w:rPr>
        <w:noProof/>
      </w:rPr>
      <w:fldChar w:fldCharType="begin"/>
    </w:r>
    <w:r>
      <w:rPr>
        <w:noProof/>
      </w:rPr>
      <w:instrText xml:space="preserve"> STYLEREF "Cover Outcome Headline" </w:instrText>
    </w:r>
    <w:r>
      <w:rPr>
        <w:noProof/>
      </w:rPr>
      <w:fldChar w:fldCharType="separate"/>
    </w:r>
    <w:r w:rsidR="00747A2B">
      <w:rPr>
        <w:noProof/>
      </w:rPr>
      <w:t>VET Delivered to Secondary Students</w:t>
    </w:r>
    <w:r>
      <w:rPr>
        <w:noProof/>
      </w:rPr>
      <w:fldChar w:fldCharType="end"/>
    </w:r>
  </w:p>
  <w:p w14:paraId="7A5E6294" w14:textId="77777777" w:rsidR="005B5B97" w:rsidRPr="006650EF" w:rsidRDefault="005B5B97" w:rsidP="00776578">
    <w:pPr>
      <w:pStyle w:val="Footer-Even"/>
    </w:pPr>
    <w:r>
      <w:t>PwC</w:t>
    </w:r>
    <w:r>
      <w:ptab w:relativeTo="margin" w:alignment="right" w:leader="none"/>
    </w:r>
    <w:r>
      <w:fldChar w:fldCharType="begin"/>
    </w:r>
    <w:r>
      <w:instrText xml:space="preserve"> PAGE  \* MERGEFORMAT </w:instrText>
    </w:r>
    <w:r>
      <w:fldChar w:fldCharType="separate"/>
    </w:r>
    <w:r w:rsidR="008A7947">
      <w:rPr>
        <w:noProof/>
      </w:rPr>
      <w:t>11</w:t>
    </w:r>
    <w:r>
      <w:rPr>
        <w:noProof/>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E688C" w14:textId="08AC0D49" w:rsidR="005B5B97" w:rsidRPr="00A84ADF" w:rsidRDefault="007E5027" w:rsidP="00721660">
    <w:pPr>
      <w:pStyle w:val="Copyright"/>
    </w:pPr>
    <w:bookmarkStart w:id="13" w:name="DisclaimerEven"/>
    <w:r>
      <w:t>© 2023 PricewaterhouseCoopers Consulting (Australia) Pty Limited. All rights reserved. PwC refers to PricewaterhouseCoopers Consulting (Australia) Pty Limited, and may sometimes refer to the PwC network. Each member firm is a separate legal entity. Please see www.pwc.com/structure for further details. Liability limited by a scheme approved under Professional Standards Legislation.</w:t>
    </w:r>
    <w:bookmarkEnd w:id="13"/>
  </w:p>
  <w:p w14:paraId="1A2D6734" w14:textId="2CC743EA" w:rsidR="005B5B97" w:rsidRDefault="007E5027" w:rsidP="00776578">
    <w:pPr>
      <w:pStyle w:val="URL"/>
      <w:framePr w:wrap="around"/>
    </w:pPr>
    <w:bookmarkStart w:id="14" w:name="URLEven"/>
    <w:r>
      <w:t>www.pwc.com.au</w:t>
    </w:r>
    <w:bookmarkEnd w:id="14"/>
  </w:p>
  <w:p w14:paraId="5ADCED09" w14:textId="77777777" w:rsidR="005B5B97" w:rsidRDefault="005B5B97" w:rsidP="00C57A6A">
    <w:pPr>
      <w:pStyle w:val="LastPageFooter"/>
    </w:pPr>
    <w:bookmarkStart w:id="15" w:name="WLNumber1"/>
    <w:r>
      <w:t xml:space="preserve"> </w:t>
    </w:r>
    <w:bookmarkEnd w:id="15"/>
    <w:r>
      <w:t xml:space="preserve"> </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E7252" w14:textId="18B16E1B" w:rsidR="005B5B97" w:rsidRPr="00A84ADF" w:rsidRDefault="007E5027" w:rsidP="00721660">
    <w:pPr>
      <w:pStyle w:val="Copyright"/>
    </w:pPr>
    <w:bookmarkStart w:id="16" w:name="DisclaimerOdd"/>
    <w:r>
      <w:t>© 2023 PricewaterhouseCoopers Consulting (Australia) Pty Limited. All rights reserved. PwC refers to PricewaterhouseCoopers Consulting (Australia) Pty Limited, and may sometimes refer to the PwC network. Each member firm is a separate legal entity. Please see www.pwc.com/structure for further details. Liability limited by a scheme approved under Professional Standards Legislation.</w:t>
    </w:r>
    <w:bookmarkEnd w:id="16"/>
  </w:p>
  <w:p w14:paraId="14E49460" w14:textId="10B7E5DF" w:rsidR="005B5B97" w:rsidRDefault="007E5027" w:rsidP="00776578">
    <w:pPr>
      <w:pStyle w:val="URL"/>
      <w:framePr w:wrap="around"/>
    </w:pPr>
    <w:bookmarkStart w:id="17" w:name="URLOdd"/>
    <w:r>
      <w:t>www.pwc.com.au</w:t>
    </w:r>
    <w:bookmarkEnd w:id="17"/>
  </w:p>
  <w:p w14:paraId="201CDF86" w14:textId="77777777" w:rsidR="005B5B97" w:rsidRDefault="005B5B97" w:rsidP="00C57A6A">
    <w:pPr>
      <w:pStyle w:val="LastPageFooter"/>
    </w:pPr>
    <w:bookmarkStart w:id="18" w:name="WLNumber2"/>
    <w:r>
      <w:t xml:space="preserve"> </w:t>
    </w:r>
    <w:bookmarkEnd w:id="18"/>
    <w:r>
      <w:t xml:space="preserve"> </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9787C" w14:textId="77777777" w:rsidR="005B5B97" w:rsidRDefault="005B5B97" w:rsidP="00776578">
    <w:pPr>
      <w:pStyle w:val="URL"/>
      <w:framePr w:wrap="around"/>
    </w:pPr>
    <w:r>
      <w:t>www.pwc.com.au</w:t>
    </w:r>
  </w:p>
  <w:p w14:paraId="58BFF713" w14:textId="77777777" w:rsidR="005B5B97" w:rsidRPr="00A84ADF" w:rsidRDefault="005B5B97" w:rsidP="00721660">
    <w:pPr>
      <w:pStyle w:val="Copyright"/>
    </w:pPr>
    <w:r>
      <w:t>© 2014 PricewaterhouseCoopers. All rights reserved.</w:t>
    </w:r>
    <w:r>
      <w:br/>
      <w:t>PwC refers to the Australian member firm, and may sometimes refer to the PwC network.</w:t>
    </w:r>
    <w:r>
      <w:br/>
      <w:t xml:space="preserve">Each member firm is a separate legal entity. Please see </w:t>
    </w:r>
    <w:r w:rsidRPr="00B95011">
      <w:t>www.pwc.com/structure</w:t>
    </w:r>
    <w:r>
      <w:t xml:space="preserve"> for further details.</w:t>
    </w:r>
    <w:r>
      <w:br/>
    </w:r>
    <w:r>
      <w:br/>
    </w:r>
    <w:r w:rsidRPr="00A75868">
      <w:t>Liability limited by a scheme approved under Professional Standards Legislation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DF9D7" w14:textId="66AF1621" w:rsidR="00782BC1" w:rsidRDefault="007E5027" w:rsidP="007E502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2F057" w14:textId="77777777" w:rsidR="000F1586" w:rsidRDefault="000F158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BD40C" w14:textId="2F6C58D5" w:rsidR="005B5B97" w:rsidRDefault="005B5B97" w:rsidP="004259D5">
    <w:pPr>
      <w:pStyle w:val="Footer-ToCEven"/>
    </w:pPr>
    <w:r>
      <w:rPr>
        <w:noProof/>
      </w:rPr>
      <w:fldChar w:fldCharType="begin"/>
    </w:r>
    <w:r>
      <w:rPr>
        <w:noProof/>
      </w:rPr>
      <w:instrText xml:space="preserve"> STYLEREF "Cover Outcome Headline" </w:instrText>
    </w:r>
    <w:r>
      <w:rPr>
        <w:noProof/>
      </w:rPr>
      <w:fldChar w:fldCharType="separate"/>
    </w:r>
    <w:r w:rsidR="004F7112">
      <w:rPr>
        <w:noProof/>
      </w:rPr>
      <w:t>VET Delivered to Secondary Students</w:t>
    </w:r>
    <w:r>
      <w:rPr>
        <w:noProof/>
      </w:rPr>
      <w:fldChar w:fldCharType="end"/>
    </w:r>
  </w:p>
  <w:p w14:paraId="27C2984B" w14:textId="77777777" w:rsidR="005B5B97" w:rsidRPr="006650EF" w:rsidRDefault="005B5B97" w:rsidP="004259D5">
    <w:pPr>
      <w:pStyle w:val="Footer-ToCEven"/>
    </w:pPr>
    <w:r>
      <w:t>PwC</w:t>
    </w:r>
    <w:r>
      <w:tab/>
    </w:r>
    <w:r>
      <w:fldChar w:fldCharType="begin"/>
    </w:r>
    <w:r>
      <w:instrText xml:space="preserve"> PAGE  \* MERGEFORMAT </w:instrText>
    </w:r>
    <w:r>
      <w:fldChar w:fldCharType="separate"/>
    </w:r>
    <w:r>
      <w:rPr>
        <w:noProof/>
      </w:rPr>
      <w:t>ii</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3FA0C" w14:textId="7F4F8E25" w:rsidR="005B5B97" w:rsidRDefault="005B5B97" w:rsidP="004259D5">
    <w:pPr>
      <w:pStyle w:val="Footer-ToC"/>
    </w:pPr>
    <w:r>
      <w:rPr>
        <w:noProof/>
      </w:rPr>
      <w:fldChar w:fldCharType="begin"/>
    </w:r>
    <w:r>
      <w:rPr>
        <w:noProof/>
      </w:rPr>
      <w:instrText xml:space="preserve"> STYLEREF "Cover Outcome Headline" </w:instrText>
    </w:r>
    <w:r>
      <w:rPr>
        <w:noProof/>
      </w:rPr>
      <w:fldChar w:fldCharType="separate"/>
    </w:r>
    <w:r w:rsidR="004F7112">
      <w:rPr>
        <w:noProof/>
      </w:rPr>
      <w:t>VET Delivered to Secondary Students</w:t>
    </w:r>
    <w:r>
      <w:rPr>
        <w:noProof/>
      </w:rPr>
      <w:fldChar w:fldCharType="end"/>
    </w:r>
  </w:p>
  <w:p w14:paraId="49BC8649" w14:textId="77777777" w:rsidR="005B5B97" w:rsidRPr="00A84ADF" w:rsidRDefault="005B5B97" w:rsidP="004259D5">
    <w:pPr>
      <w:pStyle w:val="Footer-ToC"/>
    </w:pPr>
    <w:r>
      <w:t>PwC</w:t>
    </w:r>
    <w:r>
      <w:tab/>
    </w:r>
    <w:r>
      <w:fldChar w:fldCharType="begin"/>
    </w:r>
    <w:r>
      <w:instrText xml:space="preserve"> PAGE  \* MERGEFORMAT </w:instrText>
    </w:r>
    <w:r>
      <w:fldChar w:fldCharType="separate"/>
    </w:r>
    <w:r>
      <w:rPr>
        <w:noProof/>
      </w:rPr>
      <w:t>iii</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D1EB4" w14:textId="37B6CC4A" w:rsidR="005B5B97" w:rsidRDefault="005B5B97" w:rsidP="004259D5">
    <w:pPr>
      <w:pStyle w:val="Footer-ToC"/>
    </w:pPr>
    <w:r>
      <w:rPr>
        <w:noProof/>
      </w:rPr>
      <w:fldChar w:fldCharType="begin"/>
    </w:r>
    <w:r>
      <w:rPr>
        <w:noProof/>
      </w:rPr>
      <w:instrText xml:space="preserve"> STYLEREF "Cover Outcome Headline" </w:instrText>
    </w:r>
    <w:r>
      <w:rPr>
        <w:noProof/>
      </w:rPr>
      <w:fldChar w:fldCharType="separate"/>
    </w:r>
    <w:r w:rsidR="00747A2B">
      <w:rPr>
        <w:noProof/>
      </w:rPr>
      <w:t>VET Delivered to Secondary Students</w:t>
    </w:r>
    <w:r>
      <w:rPr>
        <w:noProof/>
      </w:rPr>
      <w:fldChar w:fldCharType="end"/>
    </w:r>
  </w:p>
  <w:p w14:paraId="59DFD2A1" w14:textId="77777777" w:rsidR="005B5B97" w:rsidRPr="006650EF" w:rsidRDefault="005B5B97" w:rsidP="004259D5">
    <w:pPr>
      <w:pStyle w:val="Footer-ToC"/>
    </w:pPr>
    <w:r>
      <w:t>PwC</w:t>
    </w:r>
    <w:r>
      <w:ptab w:relativeTo="margin" w:alignment="right" w:leader="none"/>
    </w:r>
    <w:r>
      <w:fldChar w:fldCharType="begin"/>
    </w:r>
    <w:r>
      <w:instrText xml:space="preserve"> PAGE  \* MERGEFORMAT </w:instrText>
    </w:r>
    <w:r>
      <w:fldChar w:fldCharType="separate"/>
    </w:r>
    <w:r w:rsidR="008A7947">
      <w:rPr>
        <w:noProof/>
      </w:rPr>
      <w:t>i</w:t>
    </w:r>
    <w:r>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91379" w14:textId="0AFF8567" w:rsidR="005B5B97" w:rsidRDefault="005B5B97" w:rsidP="00361597">
    <w:pPr>
      <w:pStyle w:val="Footer"/>
    </w:pPr>
    <w:r>
      <w:rPr>
        <w:noProof/>
      </w:rPr>
      <w:fldChar w:fldCharType="begin"/>
    </w:r>
    <w:r>
      <w:rPr>
        <w:noProof/>
      </w:rPr>
      <w:instrText xml:space="preserve"> STYLEREF "Cover Outcome Headline" </w:instrText>
    </w:r>
    <w:r>
      <w:rPr>
        <w:noProof/>
      </w:rPr>
      <w:fldChar w:fldCharType="separate"/>
    </w:r>
    <w:r w:rsidR="004F7112">
      <w:rPr>
        <w:noProof/>
      </w:rPr>
      <w:t>VET Delivered to Secondary Students</w:t>
    </w:r>
    <w:r>
      <w:rPr>
        <w:noProof/>
      </w:rPr>
      <w:fldChar w:fldCharType="end"/>
    </w:r>
  </w:p>
  <w:p w14:paraId="406D106D" w14:textId="77777777" w:rsidR="005B5B97" w:rsidRPr="006650EF" w:rsidRDefault="005B5B97" w:rsidP="00361597">
    <w:pPr>
      <w:pStyle w:val="Footer"/>
    </w:pPr>
    <w:r>
      <w:t>PwC</w:t>
    </w:r>
    <w:r>
      <w:ptab w:relativeTo="margin" w:alignment="right" w:leader="none"/>
    </w:r>
    <w:r>
      <w:fldChar w:fldCharType="begin"/>
    </w:r>
    <w:r>
      <w:instrText xml:space="preserve"> PAGE  \* MERGEFORMAT </w:instrText>
    </w:r>
    <w:r>
      <w:fldChar w:fldCharType="separate"/>
    </w:r>
    <w:r w:rsidR="008A7947">
      <w:rPr>
        <w:noProof/>
      </w:rPr>
      <w:t>6</w:t>
    </w:r>
    <w:r>
      <w:rPr>
        <w:noProof/>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92275" w14:textId="45F1EB0F" w:rsidR="005B5B97" w:rsidRPr="008C6722" w:rsidRDefault="005B5B97" w:rsidP="006650EF">
    <w:pPr>
      <w:pStyle w:val="Footer"/>
    </w:pPr>
    <w:r>
      <w:rPr>
        <w:noProof/>
      </w:rPr>
      <w:fldChar w:fldCharType="begin"/>
    </w:r>
    <w:r>
      <w:rPr>
        <w:noProof/>
      </w:rPr>
      <w:instrText xml:space="preserve"> STYLEREF "Cover Outcome Headline" </w:instrText>
    </w:r>
    <w:r>
      <w:rPr>
        <w:noProof/>
      </w:rPr>
      <w:fldChar w:fldCharType="separate"/>
    </w:r>
    <w:r w:rsidR="00747A2B">
      <w:rPr>
        <w:noProof/>
      </w:rPr>
      <w:t>VET Delivered to Secondary Students</w:t>
    </w:r>
    <w:r>
      <w:rPr>
        <w:noProof/>
      </w:rPr>
      <w:fldChar w:fldCharType="end"/>
    </w:r>
  </w:p>
  <w:p w14:paraId="002BD513" w14:textId="77777777" w:rsidR="005B5B97" w:rsidRPr="008C6722" w:rsidRDefault="005B5B97" w:rsidP="006650EF">
    <w:pPr>
      <w:pStyle w:val="Footer"/>
    </w:pPr>
    <w:r w:rsidRPr="008C6722">
      <w:t>PwC</w:t>
    </w:r>
    <w:r>
      <w:ptab w:relativeTo="margin" w:alignment="right" w:leader="none"/>
    </w:r>
    <w:r>
      <w:fldChar w:fldCharType="begin"/>
    </w:r>
    <w:r>
      <w:instrText xml:space="preserve"> PAGE  \* MERGEFORMAT </w:instrText>
    </w:r>
    <w:r>
      <w:fldChar w:fldCharType="separate"/>
    </w:r>
    <w:r w:rsidR="008A7947">
      <w:rPr>
        <w:noProof/>
      </w:rPr>
      <w:t>3</w:t>
    </w:r>
    <w:r>
      <w:rPr>
        <w:noProof/>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E017A" w14:textId="64EC5EE3" w:rsidR="005B5B97" w:rsidRDefault="005B5B97" w:rsidP="00361597">
    <w:pPr>
      <w:pStyle w:val="Footer"/>
    </w:pPr>
    <w:r>
      <w:rPr>
        <w:noProof/>
      </w:rPr>
      <w:fldChar w:fldCharType="begin"/>
    </w:r>
    <w:r>
      <w:rPr>
        <w:noProof/>
      </w:rPr>
      <w:instrText xml:space="preserve"> STYLEREF "Cover Outcome Headline" </w:instrText>
    </w:r>
    <w:r>
      <w:rPr>
        <w:noProof/>
      </w:rPr>
      <w:fldChar w:fldCharType="separate"/>
    </w:r>
    <w:r w:rsidR="00747A2B">
      <w:rPr>
        <w:noProof/>
      </w:rPr>
      <w:t>VET Delivered to Secondary Students</w:t>
    </w:r>
    <w:r>
      <w:rPr>
        <w:noProof/>
      </w:rPr>
      <w:fldChar w:fldCharType="end"/>
    </w:r>
  </w:p>
  <w:p w14:paraId="089B9C9C" w14:textId="77777777" w:rsidR="005B5B97" w:rsidRPr="006650EF" w:rsidRDefault="005B5B97" w:rsidP="00361597">
    <w:pPr>
      <w:pStyle w:val="Footer"/>
    </w:pPr>
    <w:r>
      <w:t>PwC</w:t>
    </w:r>
    <w:r>
      <w:ptab w:relativeTo="margin" w:alignment="right" w:leader="none"/>
    </w:r>
    <w:r>
      <w:fldChar w:fldCharType="begin"/>
    </w:r>
    <w:r>
      <w:instrText xml:space="preserve"> PAGE  \* MERGEFORMAT </w:instrText>
    </w:r>
    <w:r>
      <w:fldChar w:fldCharType="separate"/>
    </w:r>
    <w:r w:rsidR="008A7947">
      <w:rPr>
        <w:noProof/>
      </w:rPr>
      <w:t>7</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29A2CF" w14:textId="77777777" w:rsidR="004259D5" w:rsidRDefault="004259D5" w:rsidP="004343B3">
      <w:pPr>
        <w:pStyle w:val="Separator"/>
      </w:pPr>
      <w:r>
        <w:separator/>
      </w:r>
    </w:p>
  </w:footnote>
  <w:footnote w:type="continuationSeparator" w:id="0">
    <w:p w14:paraId="1C36E5B8" w14:textId="77777777" w:rsidR="004259D5" w:rsidRDefault="004259D5" w:rsidP="004343B3">
      <w:pPr>
        <w:pStyle w:val="Separator"/>
      </w:pPr>
      <w:r>
        <w:continuationSeparator/>
      </w:r>
    </w:p>
  </w:footnote>
  <w:footnote w:type="continuationNotice" w:id="1">
    <w:p w14:paraId="7BD09BE4" w14:textId="77777777" w:rsidR="004259D5" w:rsidRPr="00F20B7D" w:rsidRDefault="004259D5" w:rsidP="00F20B7D">
      <w:pPr>
        <w:pStyle w:val="Footer"/>
        <w:rPr>
          <w:sz w:val="2"/>
          <w:szCs w:val="2"/>
        </w:rPr>
      </w:pPr>
    </w:p>
    <w:p w14:paraId="0CF966DA" w14:textId="77777777" w:rsidR="004259D5" w:rsidRDefault="004259D5"/>
  </w:footnote>
  <w:footnote w:id="2">
    <w:p w14:paraId="22B03BC2" w14:textId="77777777" w:rsidR="008E23A2" w:rsidRPr="008E23A2" w:rsidRDefault="008E23A2" w:rsidP="00AD31AC">
      <w:pPr>
        <w:pStyle w:val="FootnoteText"/>
        <w:spacing w:before="0" w:after="0" w:line="0" w:lineRule="atLeast"/>
        <w:rPr>
          <w:sz w:val="12"/>
          <w:szCs w:val="18"/>
          <w:lang w:val="en-US"/>
        </w:rPr>
      </w:pPr>
      <w:r>
        <w:rPr>
          <w:rStyle w:val="FootnoteReference"/>
        </w:rPr>
        <w:footnoteRef/>
      </w:r>
      <w:r>
        <w:t xml:space="preserve"> </w:t>
      </w:r>
      <w:r w:rsidRPr="008E23A2">
        <w:rPr>
          <w:rFonts w:ascii="Arial" w:hAnsi="Arial"/>
          <w:color w:val="000000"/>
          <w:szCs w:val="14"/>
        </w:rPr>
        <w:t xml:space="preserve">Australian Government: Department of Education, </w:t>
      </w:r>
      <w:proofErr w:type="gramStart"/>
      <w:r w:rsidRPr="008E23A2">
        <w:rPr>
          <w:rFonts w:ascii="Arial" w:hAnsi="Arial"/>
          <w:color w:val="000000"/>
          <w:szCs w:val="14"/>
        </w:rPr>
        <w:t>Skills</w:t>
      </w:r>
      <w:proofErr w:type="gramEnd"/>
      <w:r w:rsidRPr="008E23A2">
        <w:rPr>
          <w:rFonts w:ascii="Arial" w:hAnsi="Arial"/>
          <w:color w:val="000000"/>
          <w:szCs w:val="14"/>
        </w:rPr>
        <w:t xml:space="preserve"> and Employment, ‘National Regional, Rural and Remote Education Strategy’ accessed at https://www.dese.gov.au/reviews-and-consultations/national-regional-rural-and-remote-education-strategy.</w:t>
      </w:r>
    </w:p>
  </w:footnote>
  <w:footnote w:id="3">
    <w:p w14:paraId="0A97B1D1" w14:textId="3866AC79" w:rsidR="00117512" w:rsidRPr="00117512" w:rsidRDefault="00117512" w:rsidP="00AD31AC">
      <w:pPr>
        <w:pStyle w:val="FootnoteText"/>
        <w:spacing w:before="0" w:after="0" w:line="0" w:lineRule="atLeast"/>
        <w:rPr>
          <w:lang w:val="en-US"/>
        </w:rPr>
      </w:pPr>
      <w:r>
        <w:rPr>
          <w:rStyle w:val="FootnoteReference"/>
        </w:rPr>
        <w:footnoteRef/>
      </w:r>
      <w:r>
        <w:t xml:space="preserve"> </w:t>
      </w:r>
      <w:r w:rsidRPr="00117512">
        <w:rPr>
          <w:rFonts w:ascii="Arial" w:hAnsi="Arial"/>
          <w:color w:val="000000"/>
          <w:szCs w:val="14"/>
        </w:rPr>
        <w:t>Australian Bureau of Statistics: ‘</w:t>
      </w:r>
      <w:r w:rsidRPr="00117512">
        <w:rPr>
          <w:rFonts w:ascii="Arial" w:hAnsi="Arial"/>
          <w:color w:val="000000"/>
          <w:szCs w:val="14"/>
          <w:shd w:val="clear" w:color="auto" w:fill="FFFFFF"/>
        </w:rPr>
        <w:t>The Australian Statistical Geography Standard (ASGS) Remoteness Structure’ accessed at https://www.abs.gov.au/websitedbs/d3310114.nsf/home/remoteness+structure.</w:t>
      </w:r>
    </w:p>
  </w:footnote>
  <w:footnote w:id="4">
    <w:p w14:paraId="5F8C07F2" w14:textId="50FF4530" w:rsidR="007A44F4" w:rsidRPr="007A44F4" w:rsidRDefault="007A44F4" w:rsidP="00AD31AC">
      <w:pPr>
        <w:pStyle w:val="FootnoteText"/>
        <w:spacing w:before="0" w:after="0" w:line="0" w:lineRule="atLeast"/>
        <w:rPr>
          <w:lang w:val="en-US"/>
        </w:rPr>
      </w:pPr>
      <w:r>
        <w:rPr>
          <w:rStyle w:val="FootnoteReference"/>
        </w:rPr>
        <w:footnoteRef/>
      </w:r>
      <w:r>
        <w:t xml:space="preserve"> </w:t>
      </w:r>
      <w:r w:rsidRPr="007A44F4">
        <w:rPr>
          <w:rFonts w:ascii="Arial" w:hAnsi="Arial"/>
          <w:color w:val="000000"/>
          <w:szCs w:val="14"/>
        </w:rPr>
        <w:t>National Centre for Vocational Education Research (NCVER), ‘About the VET in Schools Collection’ accessed at https://www.ncver.edu.au/research-and-statistics/collections/vet-in-schools.</w:t>
      </w:r>
    </w:p>
  </w:footnote>
  <w:footnote w:id="5">
    <w:p w14:paraId="68F374F5" w14:textId="4C02D1B5" w:rsidR="007A44F4" w:rsidRPr="007A44F4" w:rsidRDefault="007A44F4" w:rsidP="00AD31AC">
      <w:pPr>
        <w:pStyle w:val="FootnoteText"/>
        <w:spacing w:before="0" w:after="0" w:line="0" w:lineRule="atLeast"/>
        <w:rPr>
          <w:lang w:val="en-US"/>
        </w:rPr>
      </w:pPr>
      <w:r>
        <w:rPr>
          <w:rStyle w:val="FootnoteReference"/>
        </w:rPr>
        <w:footnoteRef/>
      </w:r>
      <w:r>
        <w:t xml:space="preserve"> </w:t>
      </w:r>
      <w:r w:rsidRPr="007A44F4">
        <w:rPr>
          <w:rFonts w:ascii="Arial" w:hAnsi="Arial"/>
          <w:color w:val="000000"/>
          <w:szCs w:val="14"/>
        </w:rPr>
        <w:t>NCVER, ‘VET in Schools 2020’ accessed at https://www.ncver.edu.au/research-and-statistics/publications/all-publications/ vet-in-schools-2020.</w:t>
      </w:r>
    </w:p>
  </w:footnote>
  <w:footnote w:id="6">
    <w:p w14:paraId="6FB15859" w14:textId="69831E6D" w:rsidR="00C67496" w:rsidRPr="00C67496" w:rsidRDefault="00C67496" w:rsidP="00AD31AC">
      <w:pPr>
        <w:pStyle w:val="FootnoteText"/>
        <w:spacing w:before="0" w:after="0" w:line="0" w:lineRule="atLeast"/>
        <w:rPr>
          <w:lang w:val="en-US"/>
        </w:rPr>
      </w:pPr>
      <w:r>
        <w:rPr>
          <w:rStyle w:val="FootnoteReference"/>
        </w:rPr>
        <w:footnoteRef/>
      </w:r>
      <w:r>
        <w:t xml:space="preserve"> </w:t>
      </w:r>
      <w:r w:rsidRPr="00C67496">
        <w:rPr>
          <w:rFonts w:ascii="Arial" w:hAnsi="Arial"/>
          <w:color w:val="000000"/>
          <w:szCs w:val="14"/>
        </w:rPr>
        <w:t xml:space="preserve">NCVER 2021, </w:t>
      </w:r>
      <w:r w:rsidRPr="00C67496">
        <w:rPr>
          <w:rFonts w:ascii="Arial" w:hAnsi="Arial"/>
          <w:i/>
          <w:iCs/>
          <w:color w:val="000000"/>
          <w:szCs w:val="14"/>
        </w:rPr>
        <w:t>VET in Schools 2020: students DataBuilder</w:t>
      </w:r>
      <w:r w:rsidRPr="00C67496">
        <w:rPr>
          <w:rFonts w:ascii="Arial" w:hAnsi="Arial"/>
          <w:color w:val="000000"/>
          <w:szCs w:val="14"/>
        </w:rPr>
        <w:t xml:space="preserve">, Total, State/territory of residence, Remoteness region by Year. Numbers are rounded to the nearest 5. Note: For the purposes of </w:t>
      </w:r>
      <w:r w:rsidRPr="00C67496">
        <w:rPr>
          <w:rFonts w:ascii="Arial" w:hAnsi="Arial"/>
          <w:b/>
          <w:bCs/>
          <w:color w:val="000000"/>
          <w:szCs w:val="14"/>
        </w:rPr>
        <w:t>Table 2</w:t>
      </w:r>
      <w:r w:rsidRPr="00C67496">
        <w:rPr>
          <w:rFonts w:ascii="Arial" w:hAnsi="Arial"/>
          <w:color w:val="000000"/>
          <w:szCs w:val="14"/>
        </w:rPr>
        <w:t>, offshore students (400 students) have been omitted.</w:t>
      </w:r>
    </w:p>
  </w:footnote>
  <w:footnote w:id="7">
    <w:p w14:paraId="2E0B2423" w14:textId="7DA4D0CB" w:rsidR="00C67496" w:rsidRPr="00C67496" w:rsidRDefault="00C67496" w:rsidP="00AD31AC">
      <w:pPr>
        <w:pStyle w:val="FootnoteText"/>
        <w:spacing w:before="0" w:after="0" w:line="0" w:lineRule="atLeast"/>
        <w:rPr>
          <w:sz w:val="12"/>
          <w:szCs w:val="18"/>
          <w:lang w:val="en-US"/>
        </w:rPr>
      </w:pPr>
      <w:r>
        <w:rPr>
          <w:rStyle w:val="FootnoteReference"/>
        </w:rPr>
        <w:footnoteRef/>
      </w:r>
      <w:r>
        <w:t xml:space="preserve"> </w:t>
      </w:r>
      <w:r w:rsidRPr="00C67496">
        <w:rPr>
          <w:rFonts w:ascii="Arial" w:hAnsi="Arial"/>
          <w:color w:val="000000"/>
          <w:szCs w:val="14"/>
        </w:rPr>
        <w:t>According to the NCVER, Western Australia reports a relatively high proportion of unknown demographic data due to limitations on the information that can be disclosed. For more information, please see NCVER 2021, ‘VET in Schools 2020’ accessed at https://www.ncver.edu.au/__data/assets/pdf_file/0038/9667271/VET_in_Schools_2020.pdf.</w:t>
      </w:r>
    </w:p>
  </w:footnote>
  <w:footnote w:id="8">
    <w:p w14:paraId="39077A6A" w14:textId="05488B9B" w:rsidR="00C67496" w:rsidRPr="00C67496" w:rsidRDefault="00C67496" w:rsidP="00AD31AC">
      <w:pPr>
        <w:pStyle w:val="FootnoteText"/>
        <w:spacing w:before="0" w:after="0" w:line="0" w:lineRule="atLeast"/>
        <w:rPr>
          <w:lang w:val="en-US"/>
        </w:rPr>
      </w:pPr>
      <w:r>
        <w:rPr>
          <w:rStyle w:val="FootnoteReference"/>
        </w:rPr>
        <w:footnoteRef/>
      </w:r>
      <w:r>
        <w:t xml:space="preserve"> </w:t>
      </w:r>
      <w:r w:rsidRPr="00C67496">
        <w:rPr>
          <w:rFonts w:ascii="Arial" w:hAnsi="Arial"/>
          <w:color w:val="000000"/>
          <w:szCs w:val="14"/>
        </w:rPr>
        <w:t xml:space="preserve">NCVER 2021, </w:t>
      </w:r>
      <w:r w:rsidRPr="00C67496">
        <w:rPr>
          <w:rFonts w:ascii="Arial" w:hAnsi="Arial"/>
          <w:i/>
          <w:iCs/>
          <w:color w:val="000000"/>
          <w:szCs w:val="14"/>
        </w:rPr>
        <w:t>VET in Schools 2020: students DataBuilder</w:t>
      </w:r>
      <w:r w:rsidRPr="00C67496">
        <w:rPr>
          <w:rFonts w:ascii="Arial" w:hAnsi="Arial"/>
          <w:color w:val="000000"/>
          <w:szCs w:val="14"/>
        </w:rPr>
        <w:t xml:space="preserve">, Total, Indigenous status, Disability status, Remoteness region by Year. Numbers are rounded to the nearest 5. Note: For the purposes of </w:t>
      </w:r>
      <w:r w:rsidRPr="00C67496">
        <w:rPr>
          <w:rFonts w:ascii="Arial" w:hAnsi="Arial"/>
          <w:b/>
          <w:bCs/>
          <w:color w:val="000000"/>
          <w:szCs w:val="14"/>
        </w:rPr>
        <w:t>Table 3</w:t>
      </w:r>
      <w:r w:rsidRPr="00C67496">
        <w:rPr>
          <w:rFonts w:ascii="Arial" w:hAnsi="Arial"/>
          <w:color w:val="000000"/>
          <w:szCs w:val="14"/>
        </w:rPr>
        <w:t>, offshore students (400 students) have been omitted.</w:t>
      </w:r>
    </w:p>
  </w:footnote>
  <w:footnote w:id="9">
    <w:p w14:paraId="22B54079" w14:textId="5C06F204" w:rsidR="00C67496" w:rsidRPr="00C67496" w:rsidRDefault="00C67496" w:rsidP="00AD31AC">
      <w:pPr>
        <w:pStyle w:val="FootnoteText"/>
        <w:spacing w:before="0" w:after="0" w:line="0" w:lineRule="atLeast"/>
        <w:rPr>
          <w:lang w:val="en-US"/>
        </w:rPr>
      </w:pPr>
      <w:r>
        <w:rPr>
          <w:rStyle w:val="FootnoteReference"/>
        </w:rPr>
        <w:footnoteRef/>
      </w:r>
      <w:r>
        <w:t xml:space="preserve"> </w:t>
      </w:r>
      <w:r w:rsidRPr="00C67496">
        <w:rPr>
          <w:rFonts w:ascii="Arial" w:hAnsi="Arial"/>
          <w:color w:val="000000"/>
          <w:szCs w:val="14"/>
        </w:rPr>
        <w:t>Please note: This question has been filtered only for respondents who identified as being from RRR areas.</w:t>
      </w:r>
    </w:p>
  </w:footnote>
  <w:footnote w:id="10">
    <w:p w14:paraId="17C394CE" w14:textId="3DE13F1C" w:rsidR="00C67496" w:rsidRPr="00C67496" w:rsidRDefault="00C67496" w:rsidP="00AD31AC">
      <w:pPr>
        <w:pStyle w:val="FootnoteText"/>
        <w:spacing w:before="0" w:after="0" w:line="0" w:lineRule="atLeast"/>
        <w:rPr>
          <w:lang w:val="en-US"/>
        </w:rPr>
      </w:pPr>
      <w:r>
        <w:rPr>
          <w:rStyle w:val="FootnoteReference"/>
        </w:rPr>
        <w:footnoteRef/>
      </w:r>
      <w:r>
        <w:t xml:space="preserve"> </w:t>
      </w:r>
      <w:r w:rsidRPr="00C67496">
        <w:rPr>
          <w:rFonts w:ascii="Arial" w:hAnsi="Arial"/>
          <w:color w:val="000000"/>
          <w:szCs w:val="14"/>
        </w:rPr>
        <w:t>Government of South Australia: Department for Innovation and Skills, ‘South Australian Group Training Program (SAGTP) Funding Guidelines 2021-2022’ accessed at https://providers.skills.sa.gov.au/DesktopModules/Bring2mind/DMX/API/Entries/Download? Command=Core_Download&amp;EntryId=1358&amp;language=en-US&amp;PortalId=1&amp;TabId=911.</w:t>
      </w:r>
    </w:p>
  </w:footnote>
  <w:footnote w:id="11">
    <w:p w14:paraId="55A0D9C5" w14:textId="4F87FC18" w:rsidR="00C67496" w:rsidRPr="00C67496" w:rsidRDefault="00C67496" w:rsidP="00AD31AC">
      <w:pPr>
        <w:pStyle w:val="FootnoteText"/>
        <w:spacing w:before="0" w:after="0" w:line="0" w:lineRule="atLeast"/>
        <w:rPr>
          <w:lang w:val="en-US"/>
        </w:rPr>
      </w:pPr>
      <w:r>
        <w:rPr>
          <w:rStyle w:val="FootnoteReference"/>
        </w:rPr>
        <w:footnoteRef/>
      </w:r>
      <w:r>
        <w:t xml:space="preserve"> </w:t>
      </w:r>
      <w:r w:rsidRPr="00C67496">
        <w:rPr>
          <w:rFonts w:ascii="Arial" w:hAnsi="Arial"/>
          <w:color w:val="000000"/>
          <w:szCs w:val="14"/>
        </w:rPr>
        <w:t>NSW Government: Department of Education, ‘Rural and Remote Education Strategy’ accessed at https://education.nsw.gov.au/about-us/strategies-and-reports/rural-and-remote-education-strategy-2021-24.</w:t>
      </w:r>
    </w:p>
  </w:footnote>
  <w:footnote w:id="12">
    <w:p w14:paraId="7A23DED8" w14:textId="12AB0045" w:rsidR="00C67496" w:rsidRPr="00C67496" w:rsidRDefault="00C67496" w:rsidP="00AD31AC">
      <w:pPr>
        <w:pStyle w:val="FootnoteText"/>
        <w:spacing w:before="0" w:after="0" w:line="0" w:lineRule="atLeast"/>
        <w:rPr>
          <w:lang w:val="en-US"/>
        </w:rPr>
      </w:pPr>
      <w:r>
        <w:rPr>
          <w:rStyle w:val="FootnoteReference"/>
        </w:rPr>
        <w:footnoteRef/>
      </w:r>
      <w:r>
        <w:t xml:space="preserve"> </w:t>
      </w:r>
      <w:r w:rsidRPr="00C67496">
        <w:rPr>
          <w:rFonts w:ascii="Arial" w:hAnsi="Arial"/>
          <w:color w:val="000000"/>
          <w:szCs w:val="14"/>
        </w:rPr>
        <w:t>Tasmanian Government: Department of Education, ‘Vision for Vocational Learning and VET to 2030’ accessed at https://www.education.tas.gov.au/about-us/projects/years-9-12-project/project-overview/.</w:t>
      </w:r>
    </w:p>
  </w:footnote>
  <w:footnote w:id="13">
    <w:p w14:paraId="76401A5C" w14:textId="4B3CCB5E" w:rsidR="00C67496" w:rsidRPr="00C67496" w:rsidRDefault="00C67496" w:rsidP="00AD31AC">
      <w:pPr>
        <w:pStyle w:val="FootnoteText"/>
        <w:spacing w:before="0" w:after="0" w:line="0" w:lineRule="atLeast"/>
        <w:rPr>
          <w:lang w:val="en-US"/>
        </w:rPr>
      </w:pPr>
      <w:r>
        <w:rPr>
          <w:rStyle w:val="FootnoteReference"/>
        </w:rPr>
        <w:footnoteRef/>
      </w:r>
      <w:r>
        <w:t xml:space="preserve"> </w:t>
      </w:r>
      <w:r w:rsidRPr="00C67496">
        <w:rPr>
          <w:rFonts w:ascii="Arial" w:hAnsi="Arial"/>
          <w:color w:val="000000"/>
          <w:szCs w:val="14"/>
        </w:rPr>
        <w:t xml:space="preserve">Tasmanian Government: Department of Education, ‘Tasmanian </w:t>
      </w:r>
      <w:r w:rsidR="00CF1640" w:rsidRPr="00C67496">
        <w:rPr>
          <w:rFonts w:ascii="Arial" w:hAnsi="Arial"/>
          <w:color w:val="000000"/>
          <w:szCs w:val="14"/>
        </w:rPr>
        <w:t>Agricultural</w:t>
      </w:r>
      <w:r w:rsidRPr="00C67496">
        <w:rPr>
          <w:rFonts w:ascii="Arial" w:hAnsi="Arial"/>
          <w:color w:val="000000"/>
          <w:szCs w:val="14"/>
        </w:rPr>
        <w:t xml:space="preserve"> Education Framework’ accessed at https://publicdocumentcentre.education.tas.gov.au/library/Shared%20Documents/Tasmanian-Agricultural-Education-Framework.pdf.</w:t>
      </w:r>
    </w:p>
  </w:footnote>
  <w:footnote w:id="14">
    <w:p w14:paraId="578D4441" w14:textId="4E5E7D63" w:rsidR="00C67496" w:rsidRPr="00C67496" w:rsidRDefault="00C67496" w:rsidP="00AD31AC">
      <w:pPr>
        <w:pStyle w:val="FootnoteText"/>
        <w:spacing w:before="0" w:after="0" w:line="0" w:lineRule="atLeast"/>
        <w:rPr>
          <w:lang w:val="en-US"/>
        </w:rPr>
      </w:pPr>
      <w:r>
        <w:rPr>
          <w:rStyle w:val="FootnoteReference"/>
        </w:rPr>
        <w:footnoteRef/>
      </w:r>
      <w:r>
        <w:t xml:space="preserve"> </w:t>
      </w:r>
      <w:r w:rsidRPr="00C67496">
        <w:rPr>
          <w:rFonts w:ascii="Arial" w:hAnsi="Arial"/>
          <w:color w:val="000000"/>
          <w:szCs w:val="14"/>
        </w:rPr>
        <w:t>Government of Western Australia: Rural and Remote Education Advisory Council, ‘Welcome to RREAC’ accessed at https://www.education.wa.edu.au/web/rreac.</w:t>
      </w:r>
    </w:p>
  </w:footnote>
  <w:footnote w:id="15">
    <w:p w14:paraId="22E94CDD" w14:textId="4ED0C7D4" w:rsidR="00C67496" w:rsidRPr="00C67496" w:rsidRDefault="00C67496" w:rsidP="00AD31AC">
      <w:pPr>
        <w:pStyle w:val="FootnoteText"/>
        <w:spacing w:before="0" w:after="0" w:line="0" w:lineRule="atLeast"/>
        <w:rPr>
          <w:lang w:val="en-US"/>
        </w:rPr>
      </w:pPr>
      <w:r>
        <w:rPr>
          <w:rStyle w:val="FootnoteReference"/>
        </w:rPr>
        <w:footnoteRef/>
      </w:r>
      <w:r>
        <w:t xml:space="preserve"> </w:t>
      </w:r>
      <w:r w:rsidRPr="00C67496">
        <w:rPr>
          <w:rFonts w:ascii="Arial" w:hAnsi="Arial"/>
          <w:color w:val="000000"/>
          <w:szCs w:val="14"/>
        </w:rPr>
        <w:t>Association of Independent Schools NSW, ‘VET’s ‘Time to Shine’’ accessed at https://www.aisnsw.edu.au/newsroom?ArticleId=898d4451-69d7-46b9-8904-851554b6d129.</w:t>
      </w:r>
    </w:p>
  </w:footnote>
  <w:footnote w:id="16">
    <w:p w14:paraId="586C5192" w14:textId="46352803" w:rsidR="00C67496" w:rsidRPr="00C67496" w:rsidRDefault="00C67496" w:rsidP="00AD31AC">
      <w:pPr>
        <w:pStyle w:val="FootnoteText"/>
        <w:spacing w:before="0" w:after="0" w:line="0" w:lineRule="atLeast"/>
        <w:rPr>
          <w:lang w:val="en-US"/>
        </w:rPr>
      </w:pPr>
      <w:r>
        <w:rPr>
          <w:rStyle w:val="FootnoteReference"/>
        </w:rPr>
        <w:footnoteRef/>
      </w:r>
      <w:r>
        <w:t xml:space="preserve"> </w:t>
      </w:r>
      <w:r w:rsidRPr="00C67496">
        <w:rPr>
          <w:rFonts w:ascii="Arial" w:hAnsi="Arial"/>
          <w:color w:val="000000"/>
          <w:szCs w:val="14"/>
        </w:rPr>
        <w:t>Queensland Department of Education, ‘Pathways &amp; Partnerships: Connecting and collaborating with industry to improve student outcomes’ accessed at https://www.youtube.com/watch?v=S-8C9PAArWY.</w:t>
      </w:r>
    </w:p>
  </w:footnote>
  <w:footnote w:id="17">
    <w:p w14:paraId="1EAAAB4D" w14:textId="1A71E8F3" w:rsidR="00FC1B71" w:rsidRPr="00D906AE" w:rsidRDefault="00FC1B71" w:rsidP="00AD31AC">
      <w:pPr>
        <w:pStyle w:val="FootnoteText"/>
        <w:spacing w:before="0" w:after="0" w:line="0" w:lineRule="atLeast"/>
        <w:rPr>
          <w:lang w:val="en-US"/>
        </w:rPr>
      </w:pPr>
      <w:r>
        <w:rPr>
          <w:rStyle w:val="FootnoteReference"/>
        </w:rPr>
        <w:footnoteRef/>
      </w:r>
      <w:r>
        <w:t xml:space="preserve"> </w:t>
      </w:r>
      <w:r w:rsidR="007329B8">
        <w:t xml:space="preserve">Queensland Department of Education, ‘Pathways &amp; Partnerships: Connecting and collaborating with industry to improve student outcomes’ accessed at </w:t>
      </w:r>
      <w:r w:rsidR="007329B8" w:rsidRPr="007329B8">
        <w:t>https://www.youtube.com/watch?v=S-8C9PAArWY</w:t>
      </w:r>
      <w:r w:rsidR="00AD31AC">
        <w:t>.</w:t>
      </w:r>
    </w:p>
  </w:footnote>
  <w:footnote w:id="18">
    <w:p w14:paraId="08E90EF0" w14:textId="2E98F37C" w:rsidR="00C67496" w:rsidRPr="00C67496" w:rsidRDefault="00C67496" w:rsidP="00AD31AC">
      <w:pPr>
        <w:pStyle w:val="FootnoteText"/>
        <w:spacing w:before="0" w:after="0" w:line="0" w:lineRule="atLeast"/>
        <w:rPr>
          <w:lang w:val="en-US"/>
        </w:rPr>
      </w:pPr>
      <w:r>
        <w:rPr>
          <w:rStyle w:val="FootnoteReference"/>
        </w:rPr>
        <w:footnoteRef/>
      </w:r>
      <w:r>
        <w:t xml:space="preserve"> </w:t>
      </w:r>
      <w:r w:rsidRPr="00C67496">
        <w:rPr>
          <w:rFonts w:ascii="Arial" w:hAnsi="Arial"/>
          <w:color w:val="000000"/>
          <w:szCs w:val="14"/>
        </w:rPr>
        <w:t>Courier Mail, ‘Big Red Truck puts students on road to brighter future’ accessed at https://www.couriermail.com.au/news/queensland/big-red-truck-puts-students-on-road-to-brighter-future/news-story/a57de5e71b20311aa52882a5f2057902?from=htc_rss.</w:t>
      </w:r>
    </w:p>
  </w:footnote>
  <w:footnote w:id="19">
    <w:p w14:paraId="3DF609A3" w14:textId="2219D7AD" w:rsidR="00AD31AC" w:rsidRPr="00D906AE" w:rsidRDefault="00AD31AC" w:rsidP="00AD31AC">
      <w:pPr>
        <w:pStyle w:val="FootnoteText"/>
        <w:spacing w:before="0" w:after="0" w:line="0" w:lineRule="atLeast"/>
        <w:rPr>
          <w:lang w:val="en-US"/>
        </w:rPr>
      </w:pPr>
      <w:r>
        <w:rPr>
          <w:rStyle w:val="FootnoteReference"/>
        </w:rPr>
        <w:footnoteRef/>
      </w:r>
      <w:r>
        <w:t xml:space="preserve"> </w:t>
      </w:r>
      <w:r w:rsidRPr="00C67496">
        <w:rPr>
          <w:rFonts w:ascii="Arial" w:hAnsi="Arial"/>
          <w:color w:val="000000"/>
          <w:szCs w:val="14"/>
        </w:rPr>
        <w:t>Courier Mail, ‘Big Red Truck puts students on road to brighter future’ accessed at https://www.couriermail.com.au/news/queensland/big-red-truck-puts-students-on-road-to-brighter-future/news-story/a57de5e71b20311aa52882a5f2057902?from=htc_rss.</w:t>
      </w:r>
    </w:p>
  </w:footnote>
  <w:footnote w:id="20">
    <w:p w14:paraId="2C7EB6EA" w14:textId="5FF1E5B0" w:rsidR="00C67496" w:rsidRPr="00C67496" w:rsidRDefault="00C67496" w:rsidP="00AD31AC">
      <w:pPr>
        <w:pStyle w:val="FootnoteText"/>
        <w:spacing w:before="0" w:after="0" w:line="0" w:lineRule="atLeast"/>
        <w:rPr>
          <w:lang w:val="en-US"/>
        </w:rPr>
      </w:pPr>
      <w:r>
        <w:rPr>
          <w:rStyle w:val="FootnoteReference"/>
        </w:rPr>
        <w:footnoteRef/>
      </w:r>
      <w:r>
        <w:t xml:space="preserve"> </w:t>
      </w:r>
      <w:r w:rsidRPr="00C67496">
        <w:rPr>
          <w:rFonts w:ascii="Arial" w:hAnsi="Arial"/>
          <w:color w:val="000000"/>
          <w:szCs w:val="14"/>
        </w:rPr>
        <w:t>NSW Government: Department of Education, ‘Benefits and incentives’ accessed at https://education.nsw.gov.au/teach-nsw/find-teaching-jobs/choose-rural/benefits-and-incentives#Be3.</w:t>
      </w:r>
    </w:p>
  </w:footnote>
  <w:footnote w:id="21">
    <w:p w14:paraId="232166A1" w14:textId="6054E1F9" w:rsidR="00C67496" w:rsidRPr="00C67496" w:rsidRDefault="00C67496" w:rsidP="00AD31AC">
      <w:pPr>
        <w:pStyle w:val="FootnoteText"/>
        <w:spacing w:before="0" w:after="0" w:line="0" w:lineRule="atLeast"/>
        <w:rPr>
          <w:lang w:val="en-US"/>
        </w:rPr>
      </w:pPr>
      <w:r>
        <w:rPr>
          <w:rStyle w:val="FootnoteReference"/>
        </w:rPr>
        <w:footnoteRef/>
      </w:r>
      <w:r>
        <w:t xml:space="preserve"> </w:t>
      </w:r>
      <w:r w:rsidRPr="00C67496">
        <w:rPr>
          <w:rFonts w:ascii="Arial" w:hAnsi="Arial"/>
          <w:color w:val="000000"/>
          <w:szCs w:val="14"/>
        </w:rPr>
        <w:t>NSW Government: Department of Education, ‘Benefits and incentives’ accessed at https://education.nsw.gov.au/teach-nsw/find-teaching-jobs/choose-rural/benefits-and-incentives#Be3.</w:t>
      </w:r>
    </w:p>
  </w:footnote>
  <w:footnote w:id="22">
    <w:p w14:paraId="132E356C" w14:textId="614476D8" w:rsidR="00C67496" w:rsidRPr="00C67496" w:rsidRDefault="00C67496" w:rsidP="00AD31AC">
      <w:pPr>
        <w:pStyle w:val="FootnoteText"/>
        <w:spacing w:before="0" w:after="0" w:line="0" w:lineRule="atLeast"/>
        <w:rPr>
          <w:lang w:val="en-US"/>
        </w:rPr>
      </w:pPr>
      <w:r>
        <w:rPr>
          <w:rStyle w:val="FootnoteReference"/>
        </w:rPr>
        <w:footnoteRef/>
      </w:r>
      <w:r>
        <w:t xml:space="preserve"> </w:t>
      </w:r>
      <w:r w:rsidRPr="00C67496">
        <w:rPr>
          <w:rFonts w:ascii="Arial" w:hAnsi="Arial"/>
          <w:color w:val="000000"/>
          <w:szCs w:val="14"/>
        </w:rPr>
        <w:t>GOTAFE, ‘Know how, show how’ accessed at https://www.gotafe.vic.edu.au/know-how-show-how.</w:t>
      </w:r>
    </w:p>
  </w:footnote>
  <w:footnote w:id="23">
    <w:p w14:paraId="0EEE879F" w14:textId="639C5BA1" w:rsidR="00C67496" w:rsidRPr="00C67496" w:rsidRDefault="00C67496" w:rsidP="00AD31AC">
      <w:pPr>
        <w:pStyle w:val="FootnoteText"/>
        <w:spacing w:before="0" w:after="0" w:line="0" w:lineRule="atLeast"/>
        <w:rPr>
          <w:lang w:val="en-US"/>
        </w:rPr>
      </w:pPr>
      <w:r>
        <w:rPr>
          <w:rStyle w:val="FootnoteReference"/>
        </w:rPr>
        <w:footnoteRef/>
      </w:r>
      <w:r>
        <w:t xml:space="preserve"> </w:t>
      </w:r>
      <w:r w:rsidRPr="00C67496">
        <w:rPr>
          <w:rFonts w:ascii="Arial" w:hAnsi="Arial"/>
          <w:color w:val="000000"/>
          <w:szCs w:val="14"/>
        </w:rPr>
        <w:t>CSIRO, ‘Virtual Work Experience Program’ accessed at https://www.csiro.au/en/careers/scholarships-student-opportunities/work-experience.</w:t>
      </w:r>
    </w:p>
  </w:footnote>
  <w:footnote w:id="24">
    <w:p w14:paraId="3E3812E1" w14:textId="7F7DFBDA" w:rsidR="00C67496" w:rsidRPr="00C67496" w:rsidRDefault="00C67496" w:rsidP="00AD31AC">
      <w:pPr>
        <w:pStyle w:val="FootnoteText"/>
        <w:spacing w:before="0" w:after="0" w:line="0" w:lineRule="atLeast"/>
        <w:rPr>
          <w:lang w:val="en-US"/>
        </w:rPr>
      </w:pPr>
      <w:r>
        <w:rPr>
          <w:rStyle w:val="FootnoteReference"/>
        </w:rPr>
        <w:footnoteRef/>
      </w:r>
      <w:r>
        <w:t xml:space="preserve"> </w:t>
      </w:r>
      <w:r w:rsidRPr="00C67496">
        <w:rPr>
          <w:rFonts w:ascii="Arial" w:hAnsi="Arial"/>
          <w:color w:val="000000"/>
          <w:szCs w:val="14"/>
        </w:rPr>
        <w:t>Workplace Learning, ‘Amazon Web Services - Innovators in Virtual Work Placement’ accessed at https://www.iswlp.org.au/amazon-web-services-innovators-in-virtual-work-placement/.</w:t>
      </w:r>
    </w:p>
  </w:footnote>
  <w:footnote w:id="25">
    <w:p w14:paraId="0B4870B3" w14:textId="1A953F90" w:rsidR="007F2E5C" w:rsidRPr="007F2E5C" w:rsidRDefault="007F2E5C" w:rsidP="00AD31AC">
      <w:pPr>
        <w:pStyle w:val="FootnoteText"/>
        <w:spacing w:before="0" w:after="0" w:line="0" w:lineRule="atLeast"/>
        <w:rPr>
          <w:lang w:val="en-US"/>
        </w:rPr>
      </w:pPr>
      <w:r>
        <w:rPr>
          <w:rStyle w:val="FootnoteReference"/>
        </w:rPr>
        <w:footnoteRef/>
      </w:r>
      <w:r>
        <w:t xml:space="preserve"> </w:t>
      </w:r>
      <w:r w:rsidRPr="007F2E5C">
        <w:rPr>
          <w:rFonts w:ascii="Arial" w:hAnsi="Arial"/>
          <w:color w:val="000000"/>
          <w:szCs w:val="14"/>
        </w:rPr>
        <w:t xml:space="preserve">Parliament of Australia: Standing Committee on Employment, Education and Training, ‘Education in Remote and Complex Environments’ accessed at https://www.aph.gov.au/Parliamentary_Business/Committees/House/Employment_Education_and_Training/ </w:t>
      </w:r>
      <w:proofErr w:type="spellStart"/>
      <w:r w:rsidRPr="007F2E5C">
        <w:rPr>
          <w:rFonts w:ascii="Arial" w:hAnsi="Arial"/>
          <w:color w:val="000000"/>
          <w:szCs w:val="14"/>
        </w:rPr>
        <w:t>RemoteEducation</w:t>
      </w:r>
      <w:proofErr w:type="spellEnd"/>
      <w:r w:rsidRPr="007F2E5C">
        <w:rPr>
          <w:rFonts w:ascii="Arial" w:hAnsi="Arial"/>
          <w:color w:val="000000"/>
          <w:szCs w:val="14"/>
        </w:rPr>
        <w:t>/Report.</w:t>
      </w:r>
    </w:p>
  </w:footnote>
  <w:footnote w:id="26">
    <w:p w14:paraId="32320207" w14:textId="71A58354" w:rsidR="007F2E5C" w:rsidRPr="007F2E5C" w:rsidRDefault="007F2E5C" w:rsidP="00AD31AC">
      <w:pPr>
        <w:pStyle w:val="FootnoteText"/>
        <w:spacing w:before="0" w:after="0" w:line="0" w:lineRule="atLeast"/>
        <w:rPr>
          <w:sz w:val="12"/>
          <w:szCs w:val="18"/>
          <w:lang w:val="en-US"/>
        </w:rPr>
      </w:pPr>
      <w:r>
        <w:rPr>
          <w:rStyle w:val="FootnoteReference"/>
        </w:rPr>
        <w:footnoteRef/>
      </w:r>
      <w:r>
        <w:t xml:space="preserve"> </w:t>
      </w:r>
      <w:r w:rsidRPr="007F2E5C">
        <w:rPr>
          <w:rFonts w:ascii="Arial" w:hAnsi="Arial"/>
          <w:color w:val="000000"/>
          <w:szCs w:val="14"/>
        </w:rPr>
        <w:t>Education Council, ‘Looking to the future: Report of the review of senior secondary pathways into work, further education and training’ accessed at https://cica.org.au/wp-content/uploads/Looking-to-the-Future-Report-June-2020.pdf.</w:t>
      </w:r>
    </w:p>
  </w:footnote>
  <w:footnote w:id="27">
    <w:p w14:paraId="5EE55CDF" w14:textId="0FF5CE15" w:rsidR="007F2E5C" w:rsidRPr="007F2E5C" w:rsidRDefault="007F2E5C" w:rsidP="00AD31AC">
      <w:pPr>
        <w:pStyle w:val="FootnoteText"/>
        <w:spacing w:before="0" w:after="0" w:line="0" w:lineRule="atLeast"/>
        <w:rPr>
          <w:lang w:val="en-US"/>
        </w:rPr>
      </w:pPr>
      <w:r>
        <w:rPr>
          <w:rStyle w:val="FootnoteReference"/>
        </w:rPr>
        <w:footnoteRef/>
      </w:r>
      <w:r>
        <w:t xml:space="preserve"> </w:t>
      </w:r>
      <w:r w:rsidRPr="007F2E5C">
        <w:rPr>
          <w:rFonts w:ascii="Arial" w:hAnsi="Arial"/>
          <w:color w:val="000000"/>
          <w:szCs w:val="14"/>
        </w:rPr>
        <w:t>Australian Government: Department of Prime Minister and Cabinet, ‘Strengthening Skills: Expert Review of Australia’s Vocational Education and Training System’ accessed at https://www.pmc.gov.au/sites/default/files/publications/strengthening-skills- independent-review-australia-vets.pdf.</w:t>
      </w:r>
    </w:p>
  </w:footnote>
  <w:footnote w:id="28">
    <w:p w14:paraId="2967A7D6" w14:textId="1624C81D" w:rsidR="007F2E5C" w:rsidRPr="007F2E5C" w:rsidRDefault="007F2E5C" w:rsidP="00AD31AC">
      <w:pPr>
        <w:pStyle w:val="FootnoteText"/>
        <w:spacing w:before="0" w:after="0" w:line="0" w:lineRule="atLeast"/>
        <w:rPr>
          <w:lang w:val="en-US"/>
        </w:rPr>
      </w:pPr>
      <w:r>
        <w:rPr>
          <w:rStyle w:val="FootnoteReference"/>
        </w:rPr>
        <w:footnoteRef/>
      </w:r>
      <w:r>
        <w:t xml:space="preserve"> </w:t>
      </w:r>
      <w:r w:rsidRPr="007F2E5C">
        <w:rPr>
          <w:rFonts w:ascii="Arial" w:hAnsi="Arial"/>
          <w:color w:val="000000"/>
          <w:szCs w:val="14"/>
        </w:rPr>
        <w:t xml:space="preserve">Australian Government: Department of Education, </w:t>
      </w:r>
      <w:proofErr w:type="gramStart"/>
      <w:r w:rsidRPr="007F2E5C">
        <w:rPr>
          <w:rFonts w:ascii="Arial" w:hAnsi="Arial"/>
          <w:color w:val="000000"/>
          <w:szCs w:val="14"/>
        </w:rPr>
        <w:t>Skills</w:t>
      </w:r>
      <w:proofErr w:type="gramEnd"/>
      <w:r w:rsidRPr="007F2E5C">
        <w:rPr>
          <w:rFonts w:ascii="Arial" w:hAnsi="Arial"/>
          <w:color w:val="000000"/>
          <w:szCs w:val="14"/>
        </w:rPr>
        <w:t xml:space="preserve"> and Employment, ‘National Regional, Rural and Remote Education Strategy’ accessed at https://www.dese.gov.au/reviews-and-consultations/national-regional-rural-and-remote-education-strategy.</w:t>
      </w:r>
    </w:p>
  </w:footnote>
  <w:footnote w:id="29">
    <w:p w14:paraId="240BE3A3" w14:textId="79C5BF7D" w:rsidR="007F2E5C" w:rsidRPr="007F2E5C" w:rsidRDefault="007F2E5C" w:rsidP="00AD31AC">
      <w:pPr>
        <w:pStyle w:val="FootnoteText"/>
        <w:spacing w:before="0" w:after="0" w:line="0" w:lineRule="atLeast"/>
        <w:rPr>
          <w:lang w:val="en-US"/>
        </w:rPr>
      </w:pPr>
      <w:r>
        <w:rPr>
          <w:rStyle w:val="FootnoteReference"/>
        </w:rPr>
        <w:footnoteRef/>
      </w:r>
      <w:r>
        <w:t xml:space="preserve"> </w:t>
      </w:r>
      <w:r w:rsidRPr="007F2E5C">
        <w:rPr>
          <w:rFonts w:ascii="Arial" w:hAnsi="Arial"/>
          <w:color w:val="000000"/>
          <w:szCs w:val="14"/>
        </w:rPr>
        <w:t xml:space="preserve">Australian Government: Department of Education, </w:t>
      </w:r>
      <w:proofErr w:type="gramStart"/>
      <w:r w:rsidRPr="007F2E5C">
        <w:rPr>
          <w:rFonts w:ascii="Arial" w:hAnsi="Arial"/>
          <w:color w:val="000000"/>
          <w:szCs w:val="14"/>
        </w:rPr>
        <w:t>Skills</w:t>
      </w:r>
      <w:proofErr w:type="gramEnd"/>
      <w:r w:rsidRPr="007F2E5C">
        <w:rPr>
          <w:rFonts w:ascii="Arial" w:hAnsi="Arial"/>
          <w:color w:val="000000"/>
          <w:szCs w:val="14"/>
        </w:rPr>
        <w:t xml:space="preserve"> and Employment, ‘Through Growth to Achievement: Report of the Review to Achieve Educational Excellence in Australian Schools’ accessed at https://www.dese.gov.au/quality-schools-package/resources /through-growth-achievement-report-review-achieve-educational-excellence-australian-schools.</w:t>
      </w:r>
    </w:p>
  </w:footnote>
  <w:footnote w:id="30">
    <w:p w14:paraId="68FCA8AB" w14:textId="232446CC" w:rsidR="007F2E5C" w:rsidRPr="007F2E5C" w:rsidRDefault="007F2E5C" w:rsidP="00AD31AC">
      <w:pPr>
        <w:pStyle w:val="FootnoteText"/>
        <w:spacing w:before="0" w:after="0" w:line="0" w:lineRule="atLeast"/>
        <w:rPr>
          <w:lang w:val="en-US"/>
        </w:rPr>
      </w:pPr>
      <w:r>
        <w:rPr>
          <w:rStyle w:val="FootnoteReference"/>
        </w:rPr>
        <w:footnoteRef/>
      </w:r>
      <w:r>
        <w:t xml:space="preserve"> </w:t>
      </w:r>
      <w:r w:rsidRPr="007F2E5C">
        <w:rPr>
          <w:rFonts w:ascii="Arial" w:hAnsi="Arial"/>
          <w:color w:val="000000"/>
          <w:szCs w:val="14"/>
        </w:rPr>
        <w:t xml:space="preserve">Australian Government: Department of Education, </w:t>
      </w:r>
      <w:proofErr w:type="gramStart"/>
      <w:r w:rsidRPr="007F2E5C">
        <w:rPr>
          <w:rFonts w:ascii="Arial" w:hAnsi="Arial"/>
          <w:color w:val="000000"/>
          <w:szCs w:val="14"/>
        </w:rPr>
        <w:t>Skills</w:t>
      </w:r>
      <w:proofErr w:type="gramEnd"/>
      <w:r w:rsidRPr="007F2E5C">
        <w:rPr>
          <w:rFonts w:ascii="Arial" w:hAnsi="Arial"/>
          <w:color w:val="000000"/>
          <w:szCs w:val="14"/>
        </w:rPr>
        <w:t xml:space="preserve"> and Employment, ‘Independent Review into Regional, Rural and Remote Education’ accessed at https://www.dese.gov.au/quality-schools-package/independent-review-regional-rural-and-remote-education.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1F019" w14:textId="5EF65105" w:rsidR="00782BC1" w:rsidRDefault="007E5027" w:rsidP="007E5027">
    <w:pPr>
      <w:pStyle w:val="Header"/>
    </w:pPr>
    <w: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C3818" w14:textId="6DF7BA57" w:rsidR="005B5B97" w:rsidRPr="004259D5" w:rsidRDefault="004259D5" w:rsidP="004259D5">
    <w:pPr>
      <w:pStyle w:val="Header-Even"/>
    </w:pPr>
    <w:r>
      <w:rPr>
        <w:noProof/>
        <w:snapToGrid/>
        <w:lang w:eastAsia="en-AU"/>
      </w:rPr>
      <w:fldChar w:fldCharType="begin"/>
    </w:r>
    <w:r>
      <w:rPr>
        <w:noProof/>
        <w:snapToGrid/>
        <w:lang w:eastAsia="en-AU"/>
      </w:rPr>
      <w:instrText xml:space="preserve"> STYLEREF "Heading 4" </w:instrText>
    </w:r>
    <w:r>
      <w:rPr>
        <w:noProof/>
        <w:snapToGrid/>
        <w:lang w:eastAsia="en-AU"/>
      </w:rPr>
      <w:fldChar w:fldCharType="separate"/>
    </w:r>
    <w:r w:rsidR="004F7112">
      <w:rPr>
        <w:b/>
        <w:bCs/>
        <w:noProof/>
        <w:snapToGrid/>
        <w:lang w:val="en-US" w:eastAsia="en-AU"/>
      </w:rPr>
      <w:t>Error! No text of specified style in document.</w:t>
    </w:r>
    <w:r>
      <w:rPr>
        <w:noProof/>
        <w:snapToGrid/>
        <w:lang w:eastAsia="en-AU"/>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B3E30" w14:textId="77777777" w:rsidR="005B5B97" w:rsidRPr="004259D5" w:rsidRDefault="00C22375" w:rsidP="004259D5">
    <w:pPr>
      <w:pStyle w:val="Header"/>
    </w:pPr>
    <w:r>
      <w:rPr>
        <w:noProof/>
        <w:snapToGrid/>
        <w:lang w:eastAsia="en-AU"/>
      </w:rPr>
      <w:t>VET Delivered to Secondary Studen</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9DC41" w14:textId="77777777" w:rsidR="005B5B97" w:rsidRDefault="005B5B97" w:rsidP="00564AF1">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8B081" w14:textId="77777777" w:rsidR="005B5B97" w:rsidRPr="00564AF1" w:rsidRDefault="005B5B97" w:rsidP="00564AF1">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BAE25" w14:textId="77777777" w:rsidR="005B5B97" w:rsidRPr="005B4BF3" w:rsidRDefault="005B5B97" w:rsidP="005B4BF3">
    <w:pPr>
      <w:pStyle w:val="Header"/>
    </w:pPr>
    <w:r w:rsidRPr="00B070F3">
      <w:rPr>
        <w:noProof/>
        <w:lang w:eastAsia="en-AU"/>
      </w:rPr>
      <mc:AlternateContent>
        <mc:Choice Requires="wps">
          <w:drawing>
            <wp:anchor distT="0" distB="0" distL="114300" distR="114300" simplePos="0" relativeHeight="251654144" behindDoc="1" locked="1" layoutInCell="1" allowOverlap="1" wp14:anchorId="0F976224" wp14:editId="2D58E786">
              <wp:simplePos x="0" y="0"/>
              <wp:positionH relativeFrom="page">
                <wp:posOffset>0</wp:posOffset>
              </wp:positionH>
              <wp:positionV relativeFrom="page">
                <wp:posOffset>8371490</wp:posOffset>
              </wp:positionV>
              <wp:extent cx="10692000" cy="2376000"/>
              <wp:effectExtent l="0" t="0" r="0" b="5715"/>
              <wp:wrapNone/>
              <wp:docPr id="2" name="LowerBackColorBlock">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bwMode="hidden">
                      <a:xfrm>
                        <a:off x="0" y="0"/>
                        <a:ext cx="10692000" cy="2376000"/>
                      </a:xfrm>
                      <a:prstGeom prst="rect">
                        <a:avLst/>
                      </a:prstGeom>
                      <a:solidFill>
                        <a:srgbClr val="D04A0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0D25583C" id="LowerBackColorBlock" o:spid="_x0000_s1026" alt="&quot;&quot;" style="position:absolute;margin-left:0;margin-top:659.15pt;width:841.9pt;height:187.1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bwmode="undraw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" fillcolor="#d04a02" stroked="f" strokeweight="2pt">
              <w10:wrap anchorx="page" anchory="page"/>
              <w10:anchorlock/>
            </v:rect>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17F1E" w14:textId="77777777" w:rsidR="005B5B97" w:rsidRPr="005B4BF3" w:rsidRDefault="005B5B97" w:rsidP="00723652">
    <w:pPr>
      <w:pStyle w:val="Header"/>
    </w:pPr>
    <w:r w:rsidRPr="00B070F3">
      <w:rPr>
        <w:noProof/>
        <w:lang w:eastAsia="en-AU"/>
      </w:rPr>
      <mc:AlternateContent>
        <mc:Choice Requires="wps">
          <w:drawing>
            <wp:anchor distT="0" distB="0" distL="114300" distR="114300" simplePos="0" relativeHeight="251659264" behindDoc="1" locked="1" layoutInCell="1" allowOverlap="1" wp14:anchorId="427760DB" wp14:editId="46B6C12B">
              <wp:simplePos x="0" y="0"/>
              <wp:positionH relativeFrom="page">
                <wp:posOffset>0</wp:posOffset>
              </wp:positionH>
              <wp:positionV relativeFrom="page">
                <wp:posOffset>8371490</wp:posOffset>
              </wp:positionV>
              <wp:extent cx="10692000" cy="2376000"/>
              <wp:effectExtent l="0" t="0" r="0" b="5715"/>
              <wp:wrapNone/>
              <wp:docPr id="4" name="LowerBackColorBlock">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bwMode="hidden">
                      <a:xfrm>
                        <a:off x="0" y="0"/>
                        <a:ext cx="10692000" cy="2376000"/>
                      </a:xfrm>
                      <a:prstGeom prst="rect">
                        <a:avLst/>
                      </a:prstGeom>
                      <a:solidFill>
                        <a:srgbClr val="D04A0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65906717" id="LowerBackColorBlock" o:spid="_x0000_s1026" alt="&quot;&quot;" style="position:absolute;margin-left:0;margin-top:659.15pt;width:841.9pt;height:187.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bwmode="undraw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" fillcolor="#d04a02" stroked="f" strokeweight="2pt">
              <w10:wrap anchorx="page" anchory="page"/>
              <w10:anchorlock/>
            </v:rect>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0F9FE" w14:textId="77777777" w:rsidR="005B5B97" w:rsidRDefault="005B5B97" w:rsidP="005236F7">
    <w:pPr>
      <w:pStyle w:val="Header"/>
    </w:pPr>
  </w:p>
  <w:p w14:paraId="15136D5A" w14:textId="77777777" w:rsidR="005B5B97" w:rsidRDefault="005B5B97" w:rsidP="005236F7">
    <w:pPr>
      <w:pStyle w:val="Header"/>
    </w:pPr>
  </w:p>
  <w:p w14:paraId="2556D4A3" w14:textId="77777777" w:rsidR="005B5B97" w:rsidRDefault="005B5B97" w:rsidP="005236F7">
    <w:pPr>
      <w:pStyle w:val="Header"/>
    </w:pPr>
  </w:p>
  <w:p w14:paraId="0F283ADF" w14:textId="77777777" w:rsidR="005B5B97" w:rsidRPr="005236F7" w:rsidRDefault="005B5B97" w:rsidP="005236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6C6CD" w14:textId="6B41A36E" w:rsidR="00782BC1" w:rsidRDefault="007E5027" w:rsidP="007E5027">
    <w:pPr>
      <w:pStyle w:val="Header"/>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56D90" w14:textId="65AEDDC3" w:rsidR="007E5027" w:rsidRDefault="007B2498" w:rsidP="007E5027">
    <w:pPr>
      <w:pStyle w:val="Header"/>
    </w:pPr>
    <w:r>
      <w:rPr>
        <w:noProof/>
        <w:snapToGrid/>
      </w:rPr>
      <w:drawing>
        <wp:anchor distT="0" distB="0" distL="114300" distR="114300" simplePos="0" relativeHeight="251662336" behindDoc="1" locked="0" layoutInCell="1" allowOverlap="1" wp14:anchorId="007E5C0F" wp14:editId="2666DC16">
          <wp:simplePos x="0" y="0"/>
          <wp:positionH relativeFrom="column">
            <wp:posOffset>-648335</wp:posOffset>
          </wp:positionH>
          <wp:positionV relativeFrom="paragraph">
            <wp:posOffset>-252095</wp:posOffset>
          </wp:positionV>
          <wp:extent cx="7560000" cy="5400005"/>
          <wp:effectExtent l="0" t="0" r="3175" b="0"/>
          <wp:wrapNone/>
          <wp:docPr id="230" name="Picture 2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icture 230">
                    <a:extLst>
                      <a:ext uri="{C183D7F6-B498-43B3-948B-1728B52AA6E4}">
                        <adec:decorative xmlns:adec="http://schemas.microsoft.com/office/drawing/2017/decorative" val="1"/>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10648" r="10648"/>
                  <a:stretch/>
                </pic:blipFill>
                <pic:spPr>
                  <a:xfrm>
                    <a:off x="0" y="0"/>
                    <a:ext cx="7560000" cy="5400005"/>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15578" w14:textId="1157234B" w:rsidR="005B5B97" w:rsidRPr="005D1FC6" w:rsidRDefault="00DD603E" w:rsidP="005D1FC6">
    <w:pPr>
      <w:pStyle w:val="Header"/>
    </w:pPr>
    <w:r>
      <w:fldChar w:fldCharType="begin"/>
    </w:r>
    <w:r>
      <w:instrText xml:space="preserve"> STYLEREF "TOC Title" </w:instrText>
    </w:r>
    <w:r>
      <w:fldChar w:fldCharType="separate"/>
    </w:r>
    <w:r w:rsidR="004F7112">
      <w:rPr>
        <w:b/>
        <w:bCs/>
        <w:noProof/>
        <w:lang w:val="en-US"/>
      </w:rPr>
      <w:t>Error! No text of specified style in document.</w:t>
    </w:r>
    <w:r>
      <w:rPr>
        <w:noProof/>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AC8FF" w14:textId="116E425B" w:rsidR="005B5B97" w:rsidRPr="005D1FC6" w:rsidRDefault="005B5B97" w:rsidP="005D1FC6">
    <w:pPr>
      <w:pStyle w:val="Header"/>
    </w:pPr>
    <w:r>
      <w:fldChar w:fldCharType="begin"/>
    </w:r>
    <w:r w:rsidR="004259D5">
      <w:instrText>STYLEREF "Heading 2"</w:instrText>
    </w:r>
    <w:r>
      <w:fldChar w:fldCharType="separate"/>
    </w:r>
    <w:r w:rsidR="004F7112">
      <w:rPr>
        <w:noProof/>
      </w:rPr>
      <w:t>Objectives and purpose</w:t>
    </w:r>
    <w: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F575D" w14:textId="77777777" w:rsidR="005B5B97" w:rsidRDefault="005B5B97" w:rsidP="00F714D4">
    <w:pPr>
      <w:pStyle w:val="Header"/>
    </w:pPr>
    <w:r>
      <w:rPr>
        <w:noProof/>
        <w:snapToGrid/>
        <w:lang w:eastAsia="en-AU"/>
      </w:rPr>
      <mc:AlternateContent>
        <mc:Choice Requires="wps">
          <w:drawing>
            <wp:anchor distT="0" distB="0" distL="114300" distR="114300" simplePos="0" relativeHeight="251655680" behindDoc="0" locked="0" layoutInCell="1" allowOverlap="1" wp14:anchorId="6F2F4DD7" wp14:editId="4304E1D8">
              <wp:simplePos x="0" y="0"/>
              <wp:positionH relativeFrom="page">
                <wp:posOffset>-38100</wp:posOffset>
              </wp:positionH>
              <wp:positionV relativeFrom="page">
                <wp:posOffset>-19050</wp:posOffset>
              </wp:positionV>
              <wp:extent cx="720000" cy="10692000"/>
              <wp:effectExtent l="0" t="0" r="4445" b="0"/>
              <wp:wrapNone/>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20000" cy="1069200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5FD374" id="Rectangle 5" o:spid="_x0000_s1026" alt="&quot;&quot;" style="position:absolute;margin-left:-3pt;margin-top:-1.5pt;width:56.7pt;height:841.9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" fillcolor="#ffb600 [3205]" stroked="f" strokeweight="2pt">
              <w10:wrap anchorx="page" anchory="page"/>
            </v:rect>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683DF" w14:textId="750BADCB" w:rsidR="005B5B97" w:rsidRPr="004259D5" w:rsidRDefault="004259D5" w:rsidP="004259D5">
    <w:pPr>
      <w:pStyle w:val="Header-Even"/>
    </w:pPr>
    <w:r>
      <w:rPr>
        <w:noProof/>
        <w:snapToGrid/>
        <w:lang w:eastAsia="en-AU"/>
      </w:rPr>
      <w:fldChar w:fldCharType="begin"/>
    </w:r>
    <w:r>
      <w:rPr>
        <w:noProof/>
        <w:snapToGrid/>
        <w:lang w:eastAsia="en-AU"/>
      </w:rPr>
      <w:instrText xml:space="preserve"> STYLEREF "Heading 2" </w:instrText>
    </w:r>
    <w:r>
      <w:rPr>
        <w:noProof/>
        <w:snapToGrid/>
        <w:lang w:eastAsia="en-AU"/>
      </w:rPr>
      <w:fldChar w:fldCharType="separate"/>
    </w:r>
    <w:r w:rsidR="004F7112">
      <w:rPr>
        <w:noProof/>
        <w:snapToGrid/>
        <w:lang w:eastAsia="en-AU"/>
      </w:rPr>
      <w:t>Objectives and purpose</w:t>
    </w:r>
    <w:r>
      <w:rPr>
        <w:noProof/>
        <w:snapToGrid/>
        <w:lang w:eastAsia="en-AU"/>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CD72E" w14:textId="1E88F989" w:rsidR="005B5B97" w:rsidRPr="004259D5" w:rsidRDefault="004259D5" w:rsidP="004259D5">
    <w:pPr>
      <w:pStyle w:val="Header"/>
    </w:pPr>
    <w:r>
      <w:rPr>
        <w:noProof/>
        <w:snapToGrid/>
        <w:lang w:eastAsia="en-AU"/>
      </w:rPr>
      <w:fldChar w:fldCharType="begin"/>
    </w:r>
    <w:r>
      <w:rPr>
        <w:noProof/>
        <w:snapToGrid/>
        <w:lang w:eastAsia="en-AU"/>
      </w:rPr>
      <w:instrText xml:space="preserve"> STYLEREF "Heading 2" </w:instrText>
    </w:r>
    <w:r>
      <w:rPr>
        <w:noProof/>
        <w:snapToGrid/>
        <w:lang w:eastAsia="en-AU"/>
      </w:rPr>
      <w:fldChar w:fldCharType="separate"/>
    </w:r>
    <w:r w:rsidR="00747A2B">
      <w:rPr>
        <w:noProof/>
        <w:snapToGrid/>
        <w:lang w:eastAsia="en-AU"/>
      </w:rPr>
      <w:t>Objectives and purpose</w:t>
    </w:r>
    <w:r>
      <w:rPr>
        <w:noProof/>
        <w:snapToGrid/>
        <w:lang w:eastAsia="en-AU"/>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4E5E4" w14:textId="77777777" w:rsidR="005B5B97" w:rsidRDefault="005B5B97" w:rsidP="00564AF1">
    <w:pPr>
      <w:pStyle w:val="Header-FirstPag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E3DD8"/>
    <w:multiLevelType w:val="multilevel"/>
    <w:tmpl w:val="8E0E5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54149D"/>
    <w:multiLevelType w:val="multilevel"/>
    <w:tmpl w:val="172EA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680EEA"/>
    <w:multiLevelType w:val="multilevel"/>
    <w:tmpl w:val="A6A8F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1997751"/>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3B43378"/>
    <w:multiLevelType w:val="hybridMultilevel"/>
    <w:tmpl w:val="74C051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5473104"/>
    <w:multiLevelType w:val="multilevel"/>
    <w:tmpl w:val="4F1EB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6A522AD"/>
    <w:multiLevelType w:val="multilevel"/>
    <w:tmpl w:val="1CFAF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731221B"/>
    <w:multiLevelType w:val="multilevel"/>
    <w:tmpl w:val="54B62ED8"/>
    <w:styleLink w:val="BulletList"/>
    <w:lvl w:ilvl="0">
      <w:start w:val="1"/>
      <w:numFmt w:val="bullet"/>
      <w:lvlRestart w:val="0"/>
      <w:lvlText w:val=""/>
      <w:lvlJc w:val="left"/>
      <w:pPr>
        <w:tabs>
          <w:tab w:val="num" w:pos="567"/>
        </w:tabs>
        <w:ind w:left="567" w:hanging="567"/>
      </w:pPr>
      <w:rPr>
        <w:rFonts w:ascii="Symbol" w:hAnsi="Symbol" w:hint="default"/>
        <w:b w:val="0"/>
        <w:i w:val="0"/>
        <w:color w:val="auto"/>
      </w:rPr>
    </w:lvl>
    <w:lvl w:ilvl="1">
      <w:start w:val="1"/>
      <w:numFmt w:val="bullet"/>
      <w:lvlText w:val="–"/>
      <w:lvlJc w:val="left"/>
      <w:pPr>
        <w:tabs>
          <w:tab w:val="num" w:pos="1134"/>
        </w:tabs>
        <w:ind w:left="1134" w:hanging="567"/>
      </w:pPr>
      <w:rPr>
        <w:rFonts w:ascii="Arial" w:hAnsi="Arial" w:hint="default"/>
        <w:b w:val="0"/>
        <w:i w:val="0"/>
        <w:color w:val="auto"/>
      </w:rPr>
    </w:lvl>
    <w:lvl w:ilvl="2">
      <w:start w:val="1"/>
      <w:numFmt w:val="bullet"/>
      <w:lvlText w:val="o"/>
      <w:lvlJc w:val="left"/>
      <w:pPr>
        <w:tabs>
          <w:tab w:val="num" w:pos="1701"/>
        </w:tabs>
        <w:ind w:left="1701" w:hanging="567"/>
      </w:pPr>
      <w:rPr>
        <w:rFonts w:ascii="Arial" w:hAnsi="Arial" w:hint="default"/>
        <w:b w:val="0"/>
        <w:i w:val="0"/>
        <w:color w:val="auto"/>
        <w:sz w:val="10"/>
        <w:szCs w:val="10"/>
      </w:rPr>
    </w:lvl>
    <w:lvl w:ilvl="3">
      <w:start w:val="1"/>
      <w:numFmt w:val="bullet"/>
      <w:lvlText w:val=""/>
      <w:lvlJc w:val="left"/>
      <w:pPr>
        <w:tabs>
          <w:tab w:val="num" w:pos="2268"/>
        </w:tabs>
        <w:ind w:left="2268" w:hanging="567"/>
      </w:pPr>
      <w:rPr>
        <w:rFonts w:ascii="Wingdings" w:hAnsi="Wingdings" w:hint="default"/>
        <w:b w:val="0"/>
        <w:i w:val="0"/>
        <w:color w:val="auto"/>
        <w:sz w:val="10"/>
        <w:szCs w:val="10"/>
      </w:rPr>
    </w:lvl>
    <w:lvl w:ilvl="4">
      <w:start w:val="1"/>
      <w:numFmt w:val="none"/>
      <w:lvlText w:val="%5"/>
      <w:lvlJc w:val="left"/>
      <w:pPr>
        <w:tabs>
          <w:tab w:val="num" w:pos="0"/>
        </w:tabs>
        <w:ind w:left="0" w:firstLine="0"/>
      </w:pPr>
      <w:rPr>
        <w:rFonts w:hint="default"/>
      </w:rPr>
    </w:lvl>
    <w:lvl w:ilvl="5">
      <w:start w:val="1"/>
      <w:numFmt w:val="lowerRoman"/>
      <w:lvlText w:val=""/>
      <w:lvlJc w:val="left"/>
      <w:pPr>
        <w:tabs>
          <w:tab w:val="num" w:pos="2160"/>
        </w:tabs>
        <w:ind w:left="2160" w:hanging="360"/>
      </w:pPr>
      <w:rPr>
        <w:rFonts w:hint="default"/>
      </w:rPr>
    </w:lvl>
    <w:lvl w:ilvl="6">
      <w:start w:val="1"/>
      <w:numFmt w:val="decimal"/>
      <w:lvlText w:val=""/>
      <w:lvlJc w:val="left"/>
      <w:pPr>
        <w:tabs>
          <w:tab w:val="num" w:pos="2520"/>
        </w:tabs>
        <w:ind w:left="2520" w:hanging="360"/>
      </w:pPr>
      <w:rPr>
        <w:rFonts w:hint="default"/>
      </w:rPr>
    </w:lvl>
    <w:lvl w:ilvl="7">
      <w:start w:val="1"/>
      <w:numFmt w:val="lowerLetter"/>
      <w:lvlText w:val=""/>
      <w:lvlJc w:val="left"/>
      <w:pPr>
        <w:tabs>
          <w:tab w:val="num" w:pos="2880"/>
        </w:tabs>
        <w:ind w:left="2880" w:hanging="360"/>
      </w:pPr>
      <w:rPr>
        <w:rFonts w:hint="default"/>
      </w:rPr>
    </w:lvl>
    <w:lvl w:ilvl="8">
      <w:start w:val="1"/>
      <w:numFmt w:val="lowerRoman"/>
      <w:lvlText w:val=""/>
      <w:lvlJc w:val="left"/>
      <w:pPr>
        <w:tabs>
          <w:tab w:val="num" w:pos="3240"/>
        </w:tabs>
        <w:ind w:left="3240" w:hanging="360"/>
      </w:pPr>
      <w:rPr>
        <w:rFonts w:hint="default"/>
      </w:rPr>
    </w:lvl>
  </w:abstractNum>
  <w:abstractNum w:abstractNumId="8" w15:restartNumberingAfterBreak="0">
    <w:nsid w:val="07672618"/>
    <w:multiLevelType w:val="multilevel"/>
    <w:tmpl w:val="4A540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8112352"/>
    <w:multiLevelType w:val="multilevel"/>
    <w:tmpl w:val="8CEA6DAA"/>
    <w:styleLink w:val="Bullets"/>
    <w:lvl w:ilvl="0">
      <w:start w:val="1"/>
      <w:numFmt w:val="bullet"/>
      <w:pStyle w:val="Bullet1"/>
      <w:lvlText w:val=""/>
      <w:lvlJc w:val="left"/>
      <w:pPr>
        <w:tabs>
          <w:tab w:val="num" w:pos="284"/>
        </w:tabs>
        <w:ind w:left="284" w:hanging="284"/>
      </w:pPr>
      <w:rPr>
        <w:rFonts w:ascii="Symbol" w:hAnsi="Symbol" w:hint="default"/>
        <w:color w:val="auto"/>
      </w:rPr>
    </w:lvl>
    <w:lvl w:ilvl="1">
      <w:start w:val="1"/>
      <w:numFmt w:val="bullet"/>
      <w:pStyle w:val="Bullet2"/>
      <w:lvlText w:val="–"/>
      <w:lvlJc w:val="left"/>
      <w:pPr>
        <w:tabs>
          <w:tab w:val="num" w:pos="567"/>
        </w:tabs>
        <w:ind w:left="568" w:hanging="284"/>
      </w:pPr>
      <w:rPr>
        <w:rFonts w:ascii="Arial" w:hAnsi="Arial" w:hint="default"/>
        <w:color w:val="auto"/>
      </w:rPr>
    </w:lvl>
    <w:lvl w:ilvl="2">
      <w:start w:val="1"/>
      <w:numFmt w:val="bullet"/>
      <w:pStyle w:val="Bullet3"/>
      <w:lvlText w:val="◦"/>
      <w:lvlJc w:val="left"/>
      <w:pPr>
        <w:tabs>
          <w:tab w:val="num" w:pos="851"/>
        </w:tabs>
        <w:ind w:left="852" w:hanging="284"/>
      </w:pPr>
      <w:rPr>
        <w:rFonts w:ascii="Georgia" w:hAnsi="Georgia" w:hint="default"/>
        <w:color w:val="auto"/>
      </w:rPr>
    </w:lvl>
    <w:lvl w:ilvl="3">
      <w:start w:val="1"/>
      <w:numFmt w:val="bullet"/>
      <w:pStyle w:val="Bullet4"/>
      <w:lvlText w:val=""/>
      <w:lvlJc w:val="left"/>
      <w:pPr>
        <w:tabs>
          <w:tab w:val="num" w:pos="1134"/>
        </w:tabs>
        <w:ind w:left="1136" w:hanging="284"/>
      </w:pPr>
      <w:rPr>
        <w:rFonts w:ascii="Symbol" w:hAnsi="Symbol" w:hint="default"/>
        <w:color w:val="auto"/>
      </w:rPr>
    </w:lvl>
    <w:lvl w:ilvl="4">
      <w:start w:val="1"/>
      <w:numFmt w:val="lowerLetter"/>
      <w:lvlText w:val="(%5)"/>
      <w:lvlJc w:val="left"/>
      <w:pPr>
        <w:tabs>
          <w:tab w:val="num" w:pos="1418"/>
        </w:tabs>
        <w:ind w:left="1420" w:hanging="284"/>
      </w:pPr>
      <w:rPr>
        <w:rFonts w:hint="default"/>
      </w:rPr>
    </w:lvl>
    <w:lvl w:ilvl="5">
      <w:start w:val="1"/>
      <w:numFmt w:val="lowerRoman"/>
      <w:lvlText w:val="(%6)"/>
      <w:lvlJc w:val="left"/>
      <w:pPr>
        <w:tabs>
          <w:tab w:val="num" w:pos="1701"/>
        </w:tabs>
        <w:ind w:left="1701" w:hanging="281"/>
      </w:pPr>
      <w:rPr>
        <w:rFonts w:hint="default"/>
      </w:rPr>
    </w:lvl>
    <w:lvl w:ilvl="6">
      <w:start w:val="1"/>
      <w:numFmt w:val="decimal"/>
      <w:lvlText w:val="%7."/>
      <w:lvlJc w:val="left"/>
      <w:pPr>
        <w:tabs>
          <w:tab w:val="num" w:pos="1985"/>
        </w:tabs>
        <w:ind w:left="1985" w:hanging="284"/>
      </w:pPr>
      <w:rPr>
        <w:rFonts w:hint="default"/>
      </w:rPr>
    </w:lvl>
    <w:lvl w:ilvl="7">
      <w:start w:val="1"/>
      <w:numFmt w:val="lowerLetter"/>
      <w:lvlText w:val="%8."/>
      <w:lvlJc w:val="left"/>
      <w:pPr>
        <w:tabs>
          <w:tab w:val="num" w:pos="2268"/>
        </w:tabs>
        <w:ind w:left="2268" w:hanging="283"/>
      </w:pPr>
      <w:rPr>
        <w:rFonts w:hint="default"/>
      </w:rPr>
    </w:lvl>
    <w:lvl w:ilvl="8">
      <w:start w:val="1"/>
      <w:numFmt w:val="lowerRoman"/>
      <w:lvlText w:val="%9."/>
      <w:lvlJc w:val="left"/>
      <w:pPr>
        <w:tabs>
          <w:tab w:val="num" w:pos="2552"/>
        </w:tabs>
        <w:ind w:left="2552" w:hanging="284"/>
      </w:pPr>
      <w:rPr>
        <w:rFonts w:hint="default"/>
      </w:rPr>
    </w:lvl>
  </w:abstractNum>
  <w:abstractNum w:abstractNumId="10" w15:restartNumberingAfterBreak="0">
    <w:nsid w:val="0873600D"/>
    <w:multiLevelType w:val="hybridMultilevel"/>
    <w:tmpl w:val="4B08F5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8B94AEC"/>
    <w:multiLevelType w:val="multilevel"/>
    <w:tmpl w:val="F162E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9257FF5"/>
    <w:multiLevelType w:val="multilevel"/>
    <w:tmpl w:val="585065D6"/>
    <w:lvl w:ilvl="0">
      <w:start w:val="1"/>
      <w:numFmt w:val="bullet"/>
      <w:pStyle w:val="CVBullet1"/>
      <w:lvlText w:val=""/>
      <w:lvlJc w:val="left"/>
      <w:pPr>
        <w:ind w:left="227" w:hanging="227"/>
      </w:pPr>
      <w:rPr>
        <w:rFonts w:ascii="Symbol" w:hAnsi="Symbol" w:hint="default"/>
        <w:color w:val="auto"/>
      </w:rPr>
    </w:lvl>
    <w:lvl w:ilvl="1">
      <w:start w:val="1"/>
      <w:numFmt w:val="bullet"/>
      <w:pStyle w:val="CVBullet2"/>
      <w:lvlText w:val="–"/>
      <w:lvlJc w:val="left"/>
      <w:pPr>
        <w:ind w:left="454" w:hanging="227"/>
      </w:pPr>
      <w:rPr>
        <w:rFonts w:ascii="Arial" w:hAnsi="Aria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984408E"/>
    <w:multiLevelType w:val="multilevel"/>
    <w:tmpl w:val="EE3860A0"/>
    <w:styleLink w:val="PwCListNumbers1"/>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14" w15:restartNumberingAfterBreak="0">
    <w:nsid w:val="0B086541"/>
    <w:multiLevelType w:val="multilevel"/>
    <w:tmpl w:val="572824AC"/>
    <w:lvl w:ilvl="0">
      <w:start w:val="1"/>
      <w:numFmt w:val="decimal"/>
      <w:pStyle w:val="ListNumber"/>
      <w:lvlText w:val="%1"/>
      <w:lvlJc w:val="left"/>
      <w:pPr>
        <w:tabs>
          <w:tab w:val="num" w:pos="567"/>
        </w:tabs>
        <w:ind w:left="567" w:hanging="567"/>
      </w:pPr>
      <w:rPr>
        <w:rFonts w:hint="default"/>
      </w:rPr>
    </w:lvl>
    <w:lvl w:ilvl="1">
      <w:start w:val="1"/>
      <w:numFmt w:val="lowerLetter"/>
      <w:pStyle w:val="ListNumber2"/>
      <w:lvlText w:val="%2"/>
      <w:lvlJc w:val="left"/>
      <w:pPr>
        <w:tabs>
          <w:tab w:val="num" w:pos="1134"/>
        </w:tabs>
        <w:ind w:left="1134" w:hanging="567"/>
      </w:pPr>
      <w:rPr>
        <w:rFonts w:hint="default"/>
      </w:rPr>
    </w:lvl>
    <w:lvl w:ilvl="2">
      <w:start w:val="1"/>
      <w:numFmt w:val="lowerRoman"/>
      <w:pStyle w:val="ListNumber3"/>
      <w:lvlText w:val="%3"/>
      <w:lvlJc w:val="left"/>
      <w:pPr>
        <w:tabs>
          <w:tab w:val="num" w:pos="1701"/>
        </w:tabs>
        <w:ind w:left="1701" w:hanging="567"/>
      </w:pPr>
      <w:rPr>
        <w:rFonts w:hint="default"/>
      </w:rPr>
    </w:lvl>
    <w:lvl w:ilvl="3">
      <w:start w:val="1"/>
      <w:numFmt w:val="decimal"/>
      <w:pStyle w:val="ListNumber4"/>
      <w:lvlText w:val="%4"/>
      <w:lvlJc w:val="left"/>
      <w:pPr>
        <w:tabs>
          <w:tab w:val="num" w:pos="2268"/>
        </w:tabs>
        <w:ind w:left="2268" w:hanging="567"/>
      </w:pPr>
      <w:rPr>
        <w:rFonts w:hint="default"/>
      </w:rPr>
    </w:lvl>
    <w:lvl w:ilvl="4">
      <w:start w:val="1"/>
      <w:numFmt w:val="lowerLetter"/>
      <w:pStyle w:val="ListNumber5"/>
      <w:lvlText w:val="%5"/>
      <w:lvlJc w:val="left"/>
      <w:pPr>
        <w:tabs>
          <w:tab w:val="num" w:pos="2835"/>
        </w:tabs>
        <w:ind w:left="2835"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0E8F32CE"/>
    <w:multiLevelType w:val="multilevel"/>
    <w:tmpl w:val="B25E3C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0A943AF"/>
    <w:multiLevelType w:val="multilevel"/>
    <w:tmpl w:val="C7EC2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13C4B44"/>
    <w:multiLevelType w:val="multilevel"/>
    <w:tmpl w:val="4E5C847A"/>
    <w:styleLink w:val="Indents"/>
    <w:lvl w:ilvl="0">
      <w:start w:val="1"/>
      <w:numFmt w:val="none"/>
      <w:suff w:val="nothing"/>
      <w:lvlText w:val=""/>
      <w:lvlJc w:val="left"/>
      <w:pPr>
        <w:ind w:left="0" w:firstLine="0"/>
      </w:pPr>
      <w:rPr>
        <w:rFonts w:hint="default"/>
        <w:color w:val="auto"/>
      </w:rPr>
    </w:lvl>
    <w:lvl w:ilvl="1">
      <w:start w:val="1"/>
      <w:numFmt w:val="none"/>
      <w:suff w:val="nothing"/>
      <w:lvlText w:val=""/>
      <w:lvlJc w:val="left"/>
      <w:pPr>
        <w:ind w:left="567" w:firstLine="0"/>
      </w:pPr>
      <w:rPr>
        <w:rFonts w:hint="default"/>
      </w:rPr>
    </w:lvl>
    <w:lvl w:ilvl="2">
      <w:start w:val="1"/>
      <w:numFmt w:val="none"/>
      <w:suff w:val="nothing"/>
      <w:lvlText w:val=""/>
      <w:lvlJc w:val="left"/>
      <w:pPr>
        <w:ind w:left="1134" w:firstLine="0"/>
      </w:pPr>
      <w:rPr>
        <w:rFonts w:hint="default"/>
      </w:rPr>
    </w:lvl>
    <w:lvl w:ilvl="3">
      <w:start w:val="1"/>
      <w:numFmt w:val="none"/>
      <w:suff w:val="nothing"/>
      <w:lvlText w:val=""/>
      <w:lvlJc w:val="left"/>
      <w:pPr>
        <w:ind w:left="1701" w:firstLine="0"/>
      </w:pPr>
      <w:rPr>
        <w:rFonts w:hint="default"/>
      </w:rPr>
    </w:lvl>
    <w:lvl w:ilvl="4">
      <w:start w:val="1"/>
      <w:numFmt w:val="none"/>
      <w:suff w:val="nothing"/>
      <w:lvlText w:val=""/>
      <w:lvlJc w:val="left"/>
      <w:pPr>
        <w:ind w:left="2268" w:firstLine="0"/>
      </w:pPr>
      <w:rPr>
        <w:rFonts w:hint="default"/>
      </w:rPr>
    </w:lvl>
    <w:lvl w:ilvl="5">
      <w:start w:val="1"/>
      <w:numFmt w:val="none"/>
      <w:suff w:val="nothing"/>
      <w:lvlText w:val=""/>
      <w:lvlJc w:val="left"/>
      <w:pPr>
        <w:ind w:left="2835" w:firstLine="0"/>
      </w:pPr>
      <w:rPr>
        <w:rFonts w:hint="default"/>
      </w:rPr>
    </w:lvl>
    <w:lvl w:ilvl="6">
      <w:start w:val="1"/>
      <w:numFmt w:val="none"/>
      <w:suff w:val="nothing"/>
      <w:lvlText w:val=""/>
      <w:lvlJc w:val="left"/>
      <w:pPr>
        <w:ind w:left="3402" w:firstLine="0"/>
      </w:pPr>
      <w:rPr>
        <w:rFonts w:hint="default"/>
      </w:rPr>
    </w:lvl>
    <w:lvl w:ilvl="7">
      <w:start w:val="1"/>
      <w:numFmt w:val="none"/>
      <w:suff w:val="nothing"/>
      <w:lvlText w:val=""/>
      <w:lvlJc w:val="left"/>
      <w:pPr>
        <w:ind w:left="3969" w:firstLine="0"/>
      </w:pPr>
      <w:rPr>
        <w:rFonts w:hint="default"/>
      </w:rPr>
    </w:lvl>
    <w:lvl w:ilvl="8">
      <w:start w:val="1"/>
      <w:numFmt w:val="none"/>
      <w:suff w:val="nothing"/>
      <w:lvlText w:val=""/>
      <w:lvlJc w:val="left"/>
      <w:pPr>
        <w:ind w:left="4536" w:firstLine="0"/>
      </w:pPr>
      <w:rPr>
        <w:rFonts w:hint="default"/>
      </w:rPr>
    </w:lvl>
  </w:abstractNum>
  <w:abstractNum w:abstractNumId="18" w15:restartNumberingAfterBreak="0">
    <w:nsid w:val="11D25E0C"/>
    <w:multiLevelType w:val="multilevel"/>
    <w:tmpl w:val="925A0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4F10A88"/>
    <w:multiLevelType w:val="multilevel"/>
    <w:tmpl w:val="8C0AE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559346E"/>
    <w:multiLevelType w:val="multilevel"/>
    <w:tmpl w:val="1DBE8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6417FC4"/>
    <w:multiLevelType w:val="multilevel"/>
    <w:tmpl w:val="50B20D3A"/>
    <w:styleLink w:val="TableNumberedListSmall"/>
    <w:lvl w:ilvl="0">
      <w:start w:val="1"/>
      <w:numFmt w:val="decimal"/>
      <w:lvlRestart w:val="0"/>
      <w:pStyle w:val="TableNumberedListSmall1"/>
      <w:lvlText w:val="%1"/>
      <w:lvlJc w:val="left"/>
      <w:pPr>
        <w:tabs>
          <w:tab w:val="num" w:pos="283"/>
        </w:tabs>
        <w:ind w:left="284" w:hanging="284"/>
      </w:pPr>
      <w:rPr>
        <w:rFonts w:asciiTheme="minorHAnsi" w:hAnsiTheme="minorHAnsi" w:hint="default"/>
        <w:b w:val="0"/>
        <w:i w:val="0"/>
        <w:color w:val="auto"/>
        <w:sz w:val="20"/>
      </w:rPr>
    </w:lvl>
    <w:lvl w:ilvl="1">
      <w:start w:val="1"/>
      <w:numFmt w:val="lowerLetter"/>
      <w:lvlRestart w:val="0"/>
      <w:pStyle w:val="TableNumberedListSmall2"/>
      <w:lvlText w:val="%2"/>
      <w:lvlJc w:val="left"/>
      <w:pPr>
        <w:tabs>
          <w:tab w:val="num" w:pos="567"/>
        </w:tabs>
        <w:ind w:left="567" w:hanging="283"/>
      </w:pPr>
      <w:rPr>
        <w:rFonts w:hint="default"/>
        <w:b w:val="0"/>
        <w:i w:val="0"/>
        <w:color w:val="auto"/>
        <w:szCs w:val="10"/>
      </w:rPr>
    </w:lvl>
    <w:lvl w:ilvl="2">
      <w:start w:val="1"/>
      <w:numFmt w:val="lowerRoman"/>
      <w:lvlRestart w:val="0"/>
      <w:pStyle w:val="TableNumberedListSmall3"/>
      <w:lvlText w:val="%3"/>
      <w:lvlJc w:val="left"/>
      <w:pPr>
        <w:tabs>
          <w:tab w:val="num" w:pos="851"/>
        </w:tabs>
        <w:ind w:left="851" w:hanging="284"/>
      </w:pPr>
      <w:rPr>
        <w:rFonts w:asciiTheme="minorHAnsi" w:hAnsiTheme="minorHAnsi" w:hint="default"/>
        <w:b w:val="0"/>
        <w:i w:val="0"/>
        <w:color w:val="auto"/>
        <w:sz w:val="20"/>
        <w:szCs w:val="10"/>
      </w:rPr>
    </w:lvl>
    <w:lvl w:ilvl="3">
      <w:start w:val="1"/>
      <w:numFmt w:val="none"/>
      <w:lvlRestart w:val="0"/>
      <w:lvlText w:val=""/>
      <w:lvlJc w:val="left"/>
      <w:pPr>
        <w:tabs>
          <w:tab w:val="num" w:pos="0"/>
        </w:tabs>
        <w:ind w:left="0" w:firstLine="0"/>
      </w:pPr>
      <w:rPr>
        <w:rFonts w:hint="default"/>
        <w:color w:val="auto"/>
        <w:sz w:val="10"/>
        <w:szCs w:val="10"/>
      </w:rPr>
    </w:lvl>
    <w:lvl w:ilvl="4">
      <w:start w:val="1"/>
      <w:numFmt w:val="none"/>
      <w:lvlText w:val="%5"/>
      <w:lvlJc w:val="left"/>
      <w:pPr>
        <w:tabs>
          <w:tab w:val="num" w:pos="1800"/>
        </w:tabs>
        <w:ind w:left="1800" w:hanging="360"/>
      </w:pPr>
      <w:rPr>
        <w:rFonts w:hint="default"/>
      </w:rPr>
    </w:lvl>
    <w:lvl w:ilvl="5">
      <w:start w:val="1"/>
      <w:numFmt w:val="lowerRoman"/>
      <w:lvlText w:val=""/>
      <w:lvlJc w:val="left"/>
      <w:pPr>
        <w:tabs>
          <w:tab w:val="num" w:pos="2160"/>
        </w:tabs>
        <w:ind w:left="2160" w:hanging="360"/>
      </w:pPr>
      <w:rPr>
        <w:rFonts w:hint="default"/>
      </w:rPr>
    </w:lvl>
    <w:lvl w:ilvl="6">
      <w:start w:val="1"/>
      <w:numFmt w:val="decimal"/>
      <w:lvlText w:val=""/>
      <w:lvlJc w:val="left"/>
      <w:pPr>
        <w:tabs>
          <w:tab w:val="num" w:pos="2520"/>
        </w:tabs>
        <w:ind w:left="2520" w:hanging="360"/>
      </w:pPr>
      <w:rPr>
        <w:rFonts w:hint="default"/>
      </w:rPr>
    </w:lvl>
    <w:lvl w:ilvl="7">
      <w:start w:val="1"/>
      <w:numFmt w:val="lowerLetter"/>
      <w:lvlText w:val=""/>
      <w:lvlJc w:val="left"/>
      <w:pPr>
        <w:tabs>
          <w:tab w:val="num" w:pos="2880"/>
        </w:tabs>
        <w:ind w:left="2880" w:hanging="360"/>
      </w:pPr>
      <w:rPr>
        <w:rFonts w:hint="default"/>
      </w:rPr>
    </w:lvl>
    <w:lvl w:ilvl="8">
      <w:start w:val="1"/>
      <w:numFmt w:val="lowerRoman"/>
      <w:lvlText w:val=""/>
      <w:lvlJc w:val="left"/>
      <w:pPr>
        <w:tabs>
          <w:tab w:val="num" w:pos="3240"/>
        </w:tabs>
        <w:ind w:left="3240" w:hanging="360"/>
      </w:pPr>
      <w:rPr>
        <w:rFonts w:hint="default"/>
      </w:rPr>
    </w:lvl>
  </w:abstractNum>
  <w:abstractNum w:abstractNumId="22" w15:restartNumberingAfterBreak="0">
    <w:nsid w:val="16C07C45"/>
    <w:multiLevelType w:val="multilevel"/>
    <w:tmpl w:val="78968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84F5379"/>
    <w:multiLevelType w:val="multilevel"/>
    <w:tmpl w:val="1546630C"/>
    <w:styleLink w:val="ListNumberList"/>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righ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187E60D1"/>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1987771D"/>
    <w:multiLevelType w:val="multilevel"/>
    <w:tmpl w:val="D3A87A58"/>
    <w:styleLink w:val="ListBullets"/>
    <w:lvl w:ilvl="0">
      <w:start w:val="1"/>
      <w:numFmt w:val="bullet"/>
      <w:pStyle w:val="ListBullet1"/>
      <w:lvlText w:val=""/>
      <w:lvlJc w:val="left"/>
      <w:pPr>
        <w:tabs>
          <w:tab w:val="num" w:pos="567"/>
        </w:tabs>
        <w:ind w:left="567" w:hanging="567"/>
      </w:pPr>
      <w:rPr>
        <w:rFonts w:ascii="Symbol" w:hAnsi="Symbol" w:hint="default"/>
        <w:b w:val="0"/>
        <w:i w:val="0"/>
        <w:color w:val="auto"/>
      </w:rPr>
    </w:lvl>
    <w:lvl w:ilvl="1">
      <w:start w:val="1"/>
      <w:numFmt w:val="bullet"/>
      <w:pStyle w:val="ListBullet2"/>
      <w:lvlText w:val="–"/>
      <w:lvlJc w:val="left"/>
      <w:pPr>
        <w:tabs>
          <w:tab w:val="num" w:pos="1134"/>
        </w:tabs>
        <w:ind w:left="1134" w:hanging="567"/>
      </w:pPr>
      <w:rPr>
        <w:rFonts w:ascii="Arial" w:hAnsi="Arial" w:hint="default"/>
        <w:b w:val="0"/>
        <w:i w:val="0"/>
        <w:color w:val="auto"/>
      </w:rPr>
    </w:lvl>
    <w:lvl w:ilvl="2">
      <w:start w:val="1"/>
      <w:numFmt w:val="bullet"/>
      <w:pStyle w:val="ListBullet3"/>
      <w:lvlText w:val="◦"/>
      <w:lvlJc w:val="left"/>
      <w:pPr>
        <w:tabs>
          <w:tab w:val="num" w:pos="1701"/>
        </w:tabs>
        <w:ind w:left="1701" w:hanging="567"/>
      </w:pPr>
      <w:rPr>
        <w:rFonts w:ascii="Georgia" w:hAnsi="Georgia" w:hint="default"/>
        <w:b w:val="0"/>
        <w:i w:val="0"/>
        <w:color w:val="auto"/>
        <w:sz w:val="18"/>
        <w:szCs w:val="10"/>
      </w:rPr>
    </w:lvl>
    <w:lvl w:ilvl="3">
      <w:start w:val="1"/>
      <w:numFmt w:val="bullet"/>
      <w:pStyle w:val="ListBullet4"/>
      <w:lvlText w:val=""/>
      <w:lvlJc w:val="left"/>
      <w:pPr>
        <w:tabs>
          <w:tab w:val="num" w:pos="2268"/>
        </w:tabs>
        <w:ind w:left="2268" w:hanging="567"/>
      </w:pPr>
      <w:rPr>
        <w:rFonts w:ascii="Symbol" w:hAnsi="Symbol" w:hint="default"/>
        <w:b w:val="0"/>
        <w:i w:val="0"/>
        <w:color w:val="auto"/>
        <w:sz w:val="20"/>
        <w:szCs w:val="10"/>
      </w:rPr>
    </w:lvl>
    <w:lvl w:ilvl="4">
      <w:start w:val="1"/>
      <w:numFmt w:val="bullet"/>
      <w:lvlText w:val="~"/>
      <w:lvlJc w:val="left"/>
      <w:pPr>
        <w:tabs>
          <w:tab w:val="num" w:pos="2552"/>
        </w:tabs>
        <w:ind w:left="2835" w:hanging="567"/>
      </w:pPr>
      <w:rPr>
        <w:rFonts w:ascii="Georgia" w:hAnsi="Georgia" w:hint="default"/>
        <w:color w:val="auto"/>
      </w:rPr>
    </w:lvl>
    <w:lvl w:ilvl="5">
      <w:start w:val="1"/>
      <w:numFmt w:val="lowerRoman"/>
      <w:lvlText w:val="%6"/>
      <w:lvlJc w:val="left"/>
      <w:pPr>
        <w:tabs>
          <w:tab w:val="num" w:pos="3119"/>
        </w:tabs>
        <w:ind w:left="3402" w:hanging="567"/>
      </w:pPr>
      <w:rPr>
        <w:rFonts w:hint="default"/>
      </w:rPr>
    </w:lvl>
    <w:lvl w:ilvl="6">
      <w:start w:val="1"/>
      <w:numFmt w:val="decimal"/>
      <w:lvlText w:val="%7"/>
      <w:lvlJc w:val="left"/>
      <w:pPr>
        <w:tabs>
          <w:tab w:val="num" w:pos="3686"/>
        </w:tabs>
        <w:ind w:left="3969" w:hanging="567"/>
      </w:pPr>
      <w:rPr>
        <w:rFonts w:hint="default"/>
      </w:rPr>
    </w:lvl>
    <w:lvl w:ilvl="7">
      <w:start w:val="1"/>
      <w:numFmt w:val="lowerLetter"/>
      <w:lvlText w:val="%8"/>
      <w:lvlJc w:val="left"/>
      <w:pPr>
        <w:tabs>
          <w:tab w:val="num" w:pos="4253"/>
        </w:tabs>
        <w:ind w:left="4536" w:hanging="567"/>
      </w:pPr>
      <w:rPr>
        <w:rFonts w:hint="default"/>
      </w:rPr>
    </w:lvl>
    <w:lvl w:ilvl="8">
      <w:start w:val="1"/>
      <w:numFmt w:val="lowerRoman"/>
      <w:lvlText w:val="%9"/>
      <w:lvlJc w:val="left"/>
      <w:pPr>
        <w:tabs>
          <w:tab w:val="num" w:pos="4820"/>
        </w:tabs>
        <w:ind w:left="5103" w:hanging="567"/>
      </w:pPr>
      <w:rPr>
        <w:rFonts w:hint="default"/>
      </w:rPr>
    </w:lvl>
  </w:abstractNum>
  <w:abstractNum w:abstractNumId="26" w15:restartNumberingAfterBreak="0">
    <w:nsid w:val="19B61CD0"/>
    <w:multiLevelType w:val="multilevel"/>
    <w:tmpl w:val="2A44C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B4F6DC3"/>
    <w:multiLevelType w:val="multilevel"/>
    <w:tmpl w:val="47063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D230827"/>
    <w:multiLevelType w:val="multilevel"/>
    <w:tmpl w:val="AF18B140"/>
    <w:styleLink w:val="TableNumberdListNormal"/>
    <w:lvl w:ilvl="0">
      <w:start w:val="1"/>
      <w:numFmt w:val="decimal"/>
      <w:lvlRestart w:val="0"/>
      <w:lvlText w:val="%1"/>
      <w:lvlJc w:val="left"/>
      <w:pPr>
        <w:tabs>
          <w:tab w:val="num" w:pos="283"/>
        </w:tabs>
        <w:ind w:left="284" w:hanging="284"/>
      </w:pPr>
      <w:rPr>
        <w:rFonts w:ascii="Times New Roman" w:hAnsi="Times New Roman" w:hint="default"/>
        <w:b w:val="0"/>
        <w:i w:val="0"/>
        <w:color w:val="auto"/>
      </w:rPr>
    </w:lvl>
    <w:lvl w:ilvl="1">
      <w:start w:val="1"/>
      <w:numFmt w:val="lowerLetter"/>
      <w:lvlRestart w:val="0"/>
      <w:lvlText w:val="%2"/>
      <w:lvlJc w:val="left"/>
      <w:pPr>
        <w:tabs>
          <w:tab w:val="num" w:pos="567"/>
        </w:tabs>
        <w:ind w:left="567" w:hanging="283"/>
      </w:pPr>
      <w:rPr>
        <w:rFonts w:hint="default"/>
        <w:b w:val="0"/>
        <w:i w:val="0"/>
        <w:color w:val="auto"/>
        <w:szCs w:val="10"/>
      </w:rPr>
    </w:lvl>
    <w:lvl w:ilvl="2">
      <w:start w:val="1"/>
      <w:numFmt w:val="lowerRoman"/>
      <w:lvlRestart w:val="0"/>
      <w:lvlText w:val="%3"/>
      <w:lvlJc w:val="left"/>
      <w:pPr>
        <w:tabs>
          <w:tab w:val="num" w:pos="851"/>
        </w:tabs>
        <w:ind w:left="851" w:hanging="284"/>
      </w:pPr>
      <w:rPr>
        <w:rFonts w:hint="default"/>
        <w:b w:val="0"/>
        <w:i w:val="0"/>
        <w:color w:val="auto"/>
        <w:sz w:val="10"/>
        <w:szCs w:val="10"/>
      </w:rPr>
    </w:lvl>
    <w:lvl w:ilvl="3">
      <w:start w:val="1"/>
      <w:numFmt w:val="none"/>
      <w:lvlRestart w:val="0"/>
      <w:lvlText w:val=""/>
      <w:lvlJc w:val="left"/>
      <w:pPr>
        <w:tabs>
          <w:tab w:val="num" w:pos="0"/>
        </w:tabs>
        <w:ind w:left="0" w:firstLine="0"/>
      </w:pPr>
      <w:rPr>
        <w:rFonts w:hint="default"/>
        <w:color w:val="auto"/>
        <w:sz w:val="10"/>
        <w:szCs w:val="10"/>
      </w:rPr>
    </w:lvl>
    <w:lvl w:ilvl="4">
      <w:start w:val="1"/>
      <w:numFmt w:val="none"/>
      <w:lvlText w:val="%5"/>
      <w:lvlJc w:val="left"/>
      <w:pPr>
        <w:tabs>
          <w:tab w:val="num" w:pos="1800"/>
        </w:tabs>
        <w:ind w:left="1800" w:hanging="360"/>
      </w:pPr>
      <w:rPr>
        <w:rFonts w:hint="default"/>
      </w:rPr>
    </w:lvl>
    <w:lvl w:ilvl="5">
      <w:start w:val="1"/>
      <w:numFmt w:val="lowerRoman"/>
      <w:lvlText w:val=""/>
      <w:lvlJc w:val="left"/>
      <w:pPr>
        <w:tabs>
          <w:tab w:val="num" w:pos="2160"/>
        </w:tabs>
        <w:ind w:left="2160" w:hanging="360"/>
      </w:pPr>
      <w:rPr>
        <w:rFonts w:hint="default"/>
      </w:rPr>
    </w:lvl>
    <w:lvl w:ilvl="6">
      <w:start w:val="1"/>
      <w:numFmt w:val="decimal"/>
      <w:lvlText w:val=""/>
      <w:lvlJc w:val="left"/>
      <w:pPr>
        <w:tabs>
          <w:tab w:val="num" w:pos="2520"/>
        </w:tabs>
        <w:ind w:left="2520" w:hanging="360"/>
      </w:pPr>
      <w:rPr>
        <w:rFonts w:hint="default"/>
      </w:rPr>
    </w:lvl>
    <w:lvl w:ilvl="7">
      <w:start w:val="1"/>
      <w:numFmt w:val="lowerLetter"/>
      <w:lvlText w:val=""/>
      <w:lvlJc w:val="left"/>
      <w:pPr>
        <w:tabs>
          <w:tab w:val="num" w:pos="2880"/>
        </w:tabs>
        <w:ind w:left="2880" w:hanging="360"/>
      </w:pPr>
      <w:rPr>
        <w:rFonts w:hint="default"/>
      </w:rPr>
    </w:lvl>
    <w:lvl w:ilvl="8">
      <w:start w:val="1"/>
      <w:numFmt w:val="lowerRoman"/>
      <w:lvlText w:val=""/>
      <w:lvlJc w:val="left"/>
      <w:pPr>
        <w:tabs>
          <w:tab w:val="num" w:pos="3240"/>
        </w:tabs>
        <w:ind w:left="3240" w:hanging="360"/>
      </w:pPr>
      <w:rPr>
        <w:rFonts w:hint="default"/>
      </w:rPr>
    </w:lvl>
  </w:abstractNum>
  <w:abstractNum w:abstractNumId="29" w15:restartNumberingAfterBreak="0">
    <w:nsid w:val="202E3E0F"/>
    <w:multiLevelType w:val="multilevel"/>
    <w:tmpl w:val="BD888098"/>
    <w:styleLink w:val="Chapternumberinglist"/>
    <w:lvl w:ilvl="0">
      <w:start w:val="1"/>
      <w:numFmt w:val="decimal"/>
      <w:lvlRestart w:val="0"/>
      <w:suff w:val="nothing"/>
      <w:lvlText w:val="%1"/>
      <w:lvlJc w:val="left"/>
      <w:pPr>
        <w:ind w:left="0" w:firstLine="0"/>
      </w:pPr>
      <w:rPr>
        <w:rFonts w:hint="default"/>
      </w:rPr>
    </w:lvl>
    <w:lvl w:ilvl="1">
      <w:start w:val="1"/>
      <w:numFmt w:val="decimal"/>
      <w:lvlRestart w:val="0"/>
      <w:lvlText w:val="%2"/>
      <w:lvlJc w:val="left"/>
      <w:pPr>
        <w:tabs>
          <w:tab w:val="num" w:pos="850"/>
        </w:tabs>
        <w:ind w:left="850" w:hanging="850"/>
      </w:pPr>
      <w:rPr>
        <w:rFonts w:hint="default"/>
      </w:rPr>
    </w:lvl>
    <w:lvl w:ilvl="2">
      <w:start w:val="1"/>
      <w:numFmt w:val="decimal"/>
      <w:lvlText w:val="%2.%3"/>
      <w:lvlJc w:val="left"/>
      <w:pPr>
        <w:tabs>
          <w:tab w:val="num" w:pos="850"/>
        </w:tabs>
        <w:ind w:left="850" w:hanging="850"/>
      </w:pPr>
      <w:rPr>
        <w:rFonts w:hint="default"/>
      </w:rPr>
    </w:lvl>
    <w:lvl w:ilvl="3">
      <w:start w:val="1"/>
      <w:numFmt w:val="decimal"/>
      <w:lvlText w:val="%2.%3.%4"/>
      <w:lvlJc w:val="left"/>
      <w:pPr>
        <w:tabs>
          <w:tab w:val="num" w:pos="850"/>
        </w:tabs>
        <w:ind w:left="850" w:hanging="850"/>
      </w:pPr>
      <w:rPr>
        <w:rFonts w:hint="default"/>
      </w:rPr>
    </w:lvl>
    <w:lvl w:ilvl="4">
      <w:start w:val="1"/>
      <w:numFmt w:val="upperLetter"/>
      <w:lvlRestart w:val="0"/>
      <w:lvlText w:val="Appendix %5"/>
      <w:lvlJc w:val="left"/>
      <w:pPr>
        <w:tabs>
          <w:tab w:val="num" w:pos="3685"/>
        </w:tabs>
        <w:ind w:left="0" w:firstLine="0"/>
      </w:pPr>
      <w:rPr>
        <w:rFonts w:hint="default"/>
      </w:rPr>
    </w:lvl>
    <w:lvl w:ilvl="5">
      <w:start w:val="1"/>
      <w:numFmt w:val="none"/>
      <w:lvlRestart w:val="0"/>
      <w:pStyle w:val="Heading3"/>
      <w:suff w:val="nothing"/>
      <w:lvlText w:val=""/>
      <w:lvlJc w:val="left"/>
      <w:pPr>
        <w:ind w:left="0" w:firstLine="0"/>
      </w:pPr>
      <w:rPr>
        <w:rFonts w:hint="default"/>
      </w:rPr>
    </w:lvl>
    <w:lvl w:ilvl="6">
      <w:start w:val="1"/>
      <w:numFmt w:val="decimal"/>
      <w:lvlText w:val="%7"/>
      <w:lvlJc w:val="left"/>
      <w:pPr>
        <w:tabs>
          <w:tab w:val="num" w:pos="567"/>
        </w:tabs>
        <w:ind w:left="567" w:hanging="567"/>
      </w:pPr>
      <w:rPr>
        <w:rFonts w:hint="default"/>
      </w:rPr>
    </w:lvl>
    <w:lvl w:ilvl="7">
      <w:start w:val="1"/>
      <w:numFmt w:val="decimal"/>
      <w:lvlText w:val="%8"/>
      <w:lvlJc w:val="left"/>
      <w:pPr>
        <w:tabs>
          <w:tab w:val="num" w:pos="567"/>
        </w:tabs>
        <w:ind w:left="567" w:hanging="567"/>
      </w:pPr>
      <w:rPr>
        <w:rFonts w:hint="default"/>
      </w:rPr>
    </w:lvl>
    <w:lvl w:ilvl="8">
      <w:start w:val="1"/>
      <w:numFmt w:val="lowerLetter"/>
      <w:lvlText w:val="%9"/>
      <w:lvlJc w:val="left"/>
      <w:pPr>
        <w:tabs>
          <w:tab w:val="num" w:pos="1134"/>
        </w:tabs>
        <w:ind w:left="1134" w:hanging="567"/>
      </w:pPr>
      <w:rPr>
        <w:rFonts w:hint="default"/>
      </w:rPr>
    </w:lvl>
  </w:abstractNum>
  <w:abstractNum w:abstractNumId="30" w15:restartNumberingAfterBreak="0">
    <w:nsid w:val="256B2112"/>
    <w:multiLevelType w:val="multilevel"/>
    <w:tmpl w:val="CCA6B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7C6043B"/>
    <w:multiLevelType w:val="multilevel"/>
    <w:tmpl w:val="E3749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83947C2"/>
    <w:multiLevelType w:val="multilevel"/>
    <w:tmpl w:val="50B20D3A"/>
    <w:numStyleLink w:val="TableNumberedListSmall"/>
  </w:abstractNum>
  <w:abstractNum w:abstractNumId="33" w15:restartNumberingAfterBreak="0">
    <w:nsid w:val="29F60073"/>
    <w:multiLevelType w:val="multilevel"/>
    <w:tmpl w:val="0D7A3E7A"/>
    <w:lvl w:ilvl="0">
      <w:start w:val="1"/>
      <w:numFmt w:val="decimal"/>
      <w:lvlRestart w:val="0"/>
      <w:pStyle w:val="TableNumberedList1"/>
      <w:lvlText w:val="%1"/>
      <w:lvlJc w:val="left"/>
      <w:pPr>
        <w:tabs>
          <w:tab w:val="num" w:pos="283"/>
        </w:tabs>
        <w:ind w:left="284" w:hanging="284"/>
      </w:pPr>
      <w:rPr>
        <w:rFonts w:asciiTheme="minorHAnsi" w:hAnsiTheme="minorHAnsi" w:hint="default"/>
        <w:b w:val="0"/>
        <w:i w:val="0"/>
        <w:color w:val="auto"/>
        <w:sz w:val="18"/>
      </w:rPr>
    </w:lvl>
    <w:lvl w:ilvl="1">
      <w:start w:val="1"/>
      <w:numFmt w:val="lowerLetter"/>
      <w:lvlRestart w:val="0"/>
      <w:pStyle w:val="TableNumberedList2"/>
      <w:lvlText w:val="%2"/>
      <w:lvlJc w:val="left"/>
      <w:pPr>
        <w:tabs>
          <w:tab w:val="num" w:pos="567"/>
        </w:tabs>
        <w:ind w:left="567" w:hanging="283"/>
      </w:pPr>
      <w:rPr>
        <w:rFonts w:hint="default"/>
        <w:b w:val="0"/>
        <w:i w:val="0"/>
        <w:color w:val="auto"/>
        <w:szCs w:val="10"/>
      </w:rPr>
    </w:lvl>
    <w:lvl w:ilvl="2">
      <w:start w:val="1"/>
      <w:numFmt w:val="lowerRoman"/>
      <w:lvlRestart w:val="0"/>
      <w:pStyle w:val="TableNumberedList3"/>
      <w:lvlText w:val="%3"/>
      <w:lvlJc w:val="left"/>
      <w:pPr>
        <w:tabs>
          <w:tab w:val="num" w:pos="851"/>
        </w:tabs>
        <w:ind w:left="851" w:hanging="284"/>
      </w:pPr>
      <w:rPr>
        <w:rFonts w:asciiTheme="minorHAnsi" w:hAnsiTheme="minorHAnsi" w:hint="default"/>
        <w:b w:val="0"/>
        <w:i w:val="0"/>
        <w:color w:val="auto"/>
        <w:sz w:val="18"/>
        <w:szCs w:val="10"/>
      </w:rPr>
    </w:lvl>
    <w:lvl w:ilvl="3">
      <w:start w:val="1"/>
      <w:numFmt w:val="none"/>
      <w:lvlRestart w:val="0"/>
      <w:lvlText w:val=""/>
      <w:lvlJc w:val="left"/>
      <w:pPr>
        <w:tabs>
          <w:tab w:val="num" w:pos="0"/>
        </w:tabs>
        <w:ind w:left="0" w:firstLine="0"/>
      </w:pPr>
      <w:rPr>
        <w:rFonts w:hint="default"/>
        <w:color w:val="auto"/>
        <w:sz w:val="10"/>
        <w:szCs w:val="10"/>
      </w:rPr>
    </w:lvl>
    <w:lvl w:ilvl="4">
      <w:start w:val="1"/>
      <w:numFmt w:val="none"/>
      <w:lvlText w:val="%5"/>
      <w:lvlJc w:val="left"/>
      <w:pPr>
        <w:tabs>
          <w:tab w:val="num" w:pos="1800"/>
        </w:tabs>
        <w:ind w:left="1800" w:hanging="360"/>
      </w:pPr>
      <w:rPr>
        <w:rFonts w:hint="default"/>
      </w:rPr>
    </w:lvl>
    <w:lvl w:ilvl="5">
      <w:start w:val="1"/>
      <w:numFmt w:val="lowerRoman"/>
      <w:lvlText w:val=""/>
      <w:lvlJc w:val="left"/>
      <w:pPr>
        <w:tabs>
          <w:tab w:val="num" w:pos="2160"/>
        </w:tabs>
        <w:ind w:left="2160" w:hanging="360"/>
      </w:pPr>
      <w:rPr>
        <w:rFonts w:hint="default"/>
      </w:rPr>
    </w:lvl>
    <w:lvl w:ilvl="6">
      <w:start w:val="1"/>
      <w:numFmt w:val="decimal"/>
      <w:lvlText w:val=""/>
      <w:lvlJc w:val="left"/>
      <w:pPr>
        <w:tabs>
          <w:tab w:val="num" w:pos="2520"/>
        </w:tabs>
        <w:ind w:left="2520" w:hanging="360"/>
      </w:pPr>
      <w:rPr>
        <w:rFonts w:hint="default"/>
      </w:rPr>
    </w:lvl>
    <w:lvl w:ilvl="7">
      <w:start w:val="1"/>
      <w:numFmt w:val="lowerLetter"/>
      <w:lvlText w:val=""/>
      <w:lvlJc w:val="left"/>
      <w:pPr>
        <w:tabs>
          <w:tab w:val="num" w:pos="2880"/>
        </w:tabs>
        <w:ind w:left="2880" w:hanging="360"/>
      </w:pPr>
      <w:rPr>
        <w:rFonts w:hint="default"/>
      </w:rPr>
    </w:lvl>
    <w:lvl w:ilvl="8">
      <w:start w:val="1"/>
      <w:numFmt w:val="lowerRoman"/>
      <w:lvlText w:val=""/>
      <w:lvlJc w:val="left"/>
      <w:pPr>
        <w:tabs>
          <w:tab w:val="num" w:pos="3240"/>
        </w:tabs>
        <w:ind w:left="3240" w:hanging="360"/>
      </w:pPr>
      <w:rPr>
        <w:rFonts w:hint="default"/>
      </w:rPr>
    </w:lvl>
  </w:abstractNum>
  <w:abstractNum w:abstractNumId="34" w15:restartNumberingAfterBreak="0">
    <w:nsid w:val="2A8A309F"/>
    <w:multiLevelType w:val="multilevel"/>
    <w:tmpl w:val="0F1E4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BB16B47"/>
    <w:multiLevelType w:val="multilevel"/>
    <w:tmpl w:val="A896E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BF876DE"/>
    <w:multiLevelType w:val="multilevel"/>
    <w:tmpl w:val="B7F496D4"/>
    <w:lvl w:ilvl="0">
      <w:start w:val="1"/>
      <w:numFmt w:val="bullet"/>
      <w:lvlRestart w:val="0"/>
      <w:pStyle w:val="TableBullet1Small"/>
      <w:lvlText w:val=""/>
      <w:lvlJc w:val="left"/>
      <w:pPr>
        <w:tabs>
          <w:tab w:val="num" w:pos="284"/>
        </w:tabs>
        <w:ind w:left="170" w:hanging="170"/>
      </w:pPr>
      <w:rPr>
        <w:rFonts w:ascii="Symbol" w:hAnsi="Symbol" w:hint="default"/>
        <w:b w:val="0"/>
        <w:i w:val="0"/>
        <w:color w:val="auto"/>
      </w:rPr>
    </w:lvl>
    <w:lvl w:ilvl="1">
      <w:start w:val="1"/>
      <w:numFmt w:val="bullet"/>
      <w:lvlRestart w:val="0"/>
      <w:pStyle w:val="TableBullet2Small"/>
      <w:lvlText w:val="–"/>
      <w:lvlJc w:val="left"/>
      <w:pPr>
        <w:tabs>
          <w:tab w:val="num" w:pos="567"/>
        </w:tabs>
        <w:ind w:left="340" w:hanging="170"/>
      </w:pPr>
      <w:rPr>
        <w:rFonts w:ascii="Arial" w:hAnsi="Arial" w:hint="default"/>
        <w:b w:val="0"/>
        <w:i w:val="0"/>
        <w:color w:val="auto"/>
      </w:rPr>
    </w:lvl>
    <w:lvl w:ilvl="2">
      <w:start w:val="1"/>
      <w:numFmt w:val="bullet"/>
      <w:lvlRestart w:val="0"/>
      <w:pStyle w:val="TableBullet3Small"/>
      <w:lvlText w:val="o"/>
      <w:lvlJc w:val="left"/>
      <w:pPr>
        <w:tabs>
          <w:tab w:val="num" w:pos="851"/>
        </w:tabs>
        <w:ind w:left="510" w:hanging="170"/>
      </w:pPr>
      <w:rPr>
        <w:rFonts w:ascii="Arial" w:hAnsi="Arial" w:hint="default"/>
        <w:b w:val="0"/>
        <w:i w:val="0"/>
        <w:color w:val="auto"/>
        <w:sz w:val="10"/>
        <w:szCs w:val="10"/>
      </w:rPr>
    </w:lvl>
    <w:lvl w:ilvl="3">
      <w:start w:val="1"/>
      <w:numFmt w:val="none"/>
      <w:lvlRestart w:val="0"/>
      <w:lvlText w:val=""/>
      <w:lvlJc w:val="left"/>
      <w:pPr>
        <w:tabs>
          <w:tab w:val="num" w:pos="2880"/>
        </w:tabs>
        <w:ind w:left="2880" w:hanging="720"/>
      </w:pPr>
      <w:rPr>
        <w:rFonts w:hint="default"/>
        <w:b w:val="0"/>
        <w:i w:val="0"/>
        <w:color w:val="auto"/>
        <w:sz w:val="10"/>
        <w:szCs w:val="10"/>
      </w:rPr>
    </w:lvl>
    <w:lvl w:ilvl="4">
      <w:start w:val="1"/>
      <w:numFmt w:val="lowerLetter"/>
      <w:lvlText w:val=""/>
      <w:lvlJc w:val="left"/>
      <w:pPr>
        <w:tabs>
          <w:tab w:val="num" w:pos="1800"/>
        </w:tabs>
        <w:ind w:left="1800" w:hanging="360"/>
      </w:pPr>
      <w:rPr>
        <w:rFonts w:hint="default"/>
      </w:rPr>
    </w:lvl>
    <w:lvl w:ilvl="5">
      <w:start w:val="1"/>
      <w:numFmt w:val="lowerRoman"/>
      <w:lvlText w:val=""/>
      <w:lvlJc w:val="left"/>
      <w:pPr>
        <w:tabs>
          <w:tab w:val="num" w:pos="2160"/>
        </w:tabs>
        <w:ind w:left="2160" w:hanging="360"/>
      </w:pPr>
      <w:rPr>
        <w:rFonts w:hint="default"/>
      </w:rPr>
    </w:lvl>
    <w:lvl w:ilvl="6">
      <w:start w:val="1"/>
      <w:numFmt w:val="decimal"/>
      <w:lvlText w:val=""/>
      <w:lvlJc w:val="left"/>
      <w:pPr>
        <w:tabs>
          <w:tab w:val="num" w:pos="2520"/>
        </w:tabs>
        <w:ind w:left="2520" w:hanging="360"/>
      </w:pPr>
      <w:rPr>
        <w:rFonts w:hint="default"/>
      </w:rPr>
    </w:lvl>
    <w:lvl w:ilvl="7">
      <w:start w:val="1"/>
      <w:numFmt w:val="lowerLetter"/>
      <w:lvlText w:val=""/>
      <w:lvlJc w:val="left"/>
      <w:pPr>
        <w:tabs>
          <w:tab w:val="num" w:pos="2880"/>
        </w:tabs>
        <w:ind w:left="2880" w:hanging="360"/>
      </w:pPr>
      <w:rPr>
        <w:rFonts w:hint="default"/>
      </w:rPr>
    </w:lvl>
    <w:lvl w:ilvl="8">
      <w:start w:val="1"/>
      <w:numFmt w:val="lowerRoman"/>
      <w:lvlText w:val=""/>
      <w:lvlJc w:val="left"/>
      <w:pPr>
        <w:tabs>
          <w:tab w:val="num" w:pos="3240"/>
        </w:tabs>
        <w:ind w:left="3240" w:hanging="360"/>
      </w:pPr>
      <w:rPr>
        <w:rFonts w:hint="default"/>
      </w:rPr>
    </w:lvl>
  </w:abstractNum>
  <w:abstractNum w:abstractNumId="37" w15:restartNumberingAfterBreak="0">
    <w:nsid w:val="2C2670BB"/>
    <w:multiLevelType w:val="multilevel"/>
    <w:tmpl w:val="F85C6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D152EB9"/>
    <w:multiLevelType w:val="multilevel"/>
    <w:tmpl w:val="654CA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E3D045B"/>
    <w:multiLevelType w:val="multilevel"/>
    <w:tmpl w:val="9A228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07E06FA"/>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1" w15:restartNumberingAfterBreak="0">
    <w:nsid w:val="314F4DD8"/>
    <w:multiLevelType w:val="multilevel"/>
    <w:tmpl w:val="530C6D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318B64CE"/>
    <w:multiLevelType w:val="multilevel"/>
    <w:tmpl w:val="189ED0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2D7125E"/>
    <w:multiLevelType w:val="multilevel"/>
    <w:tmpl w:val="8E0CCD38"/>
    <w:styleLink w:val="CV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Arial" w:hAnsi="Aria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378D5E27"/>
    <w:multiLevelType w:val="hybridMultilevel"/>
    <w:tmpl w:val="6C1609A0"/>
    <w:name w:val="NumberedLists"/>
    <w:lvl w:ilvl="0" w:tplc="978EC44E">
      <w:start w:val="1"/>
      <w:numFmt w:val="bullet"/>
      <w:lvlText w:val="-"/>
      <w:lvlJc w:val="left"/>
      <w:pPr>
        <w:tabs>
          <w:tab w:val="num" w:pos="720"/>
        </w:tabs>
        <w:ind w:left="720" w:hanging="360"/>
      </w:pPr>
      <w:rPr>
        <w:rFonts w:ascii="Times New Roman" w:hAnsi="Times New Roman" w:hint="default"/>
      </w:rPr>
    </w:lvl>
    <w:lvl w:ilvl="1" w:tplc="642E94AA" w:tentative="1">
      <w:start w:val="1"/>
      <w:numFmt w:val="bullet"/>
      <w:lvlText w:val="-"/>
      <w:lvlJc w:val="left"/>
      <w:pPr>
        <w:tabs>
          <w:tab w:val="num" w:pos="1440"/>
        </w:tabs>
        <w:ind w:left="1440" w:hanging="360"/>
      </w:pPr>
      <w:rPr>
        <w:rFonts w:ascii="Times New Roman" w:hAnsi="Times New Roman" w:hint="default"/>
      </w:rPr>
    </w:lvl>
    <w:lvl w:ilvl="2" w:tplc="DAC44BAE" w:tentative="1">
      <w:start w:val="1"/>
      <w:numFmt w:val="bullet"/>
      <w:lvlText w:val="-"/>
      <w:lvlJc w:val="left"/>
      <w:pPr>
        <w:tabs>
          <w:tab w:val="num" w:pos="2160"/>
        </w:tabs>
        <w:ind w:left="2160" w:hanging="360"/>
      </w:pPr>
      <w:rPr>
        <w:rFonts w:ascii="Times New Roman" w:hAnsi="Times New Roman" w:hint="default"/>
      </w:rPr>
    </w:lvl>
    <w:lvl w:ilvl="3" w:tplc="C792D91A" w:tentative="1">
      <w:start w:val="1"/>
      <w:numFmt w:val="bullet"/>
      <w:lvlText w:val="-"/>
      <w:lvlJc w:val="left"/>
      <w:pPr>
        <w:tabs>
          <w:tab w:val="num" w:pos="2880"/>
        </w:tabs>
        <w:ind w:left="2880" w:hanging="360"/>
      </w:pPr>
      <w:rPr>
        <w:rFonts w:ascii="Times New Roman" w:hAnsi="Times New Roman" w:hint="default"/>
      </w:rPr>
    </w:lvl>
    <w:lvl w:ilvl="4" w:tplc="414C920C" w:tentative="1">
      <w:start w:val="1"/>
      <w:numFmt w:val="bullet"/>
      <w:lvlText w:val="-"/>
      <w:lvlJc w:val="left"/>
      <w:pPr>
        <w:tabs>
          <w:tab w:val="num" w:pos="3600"/>
        </w:tabs>
        <w:ind w:left="3600" w:hanging="360"/>
      </w:pPr>
      <w:rPr>
        <w:rFonts w:ascii="Times New Roman" w:hAnsi="Times New Roman" w:hint="default"/>
      </w:rPr>
    </w:lvl>
    <w:lvl w:ilvl="5" w:tplc="531A9BB8" w:tentative="1">
      <w:start w:val="1"/>
      <w:numFmt w:val="bullet"/>
      <w:lvlText w:val="-"/>
      <w:lvlJc w:val="left"/>
      <w:pPr>
        <w:tabs>
          <w:tab w:val="num" w:pos="4320"/>
        </w:tabs>
        <w:ind w:left="4320" w:hanging="360"/>
      </w:pPr>
      <w:rPr>
        <w:rFonts w:ascii="Times New Roman" w:hAnsi="Times New Roman" w:hint="default"/>
      </w:rPr>
    </w:lvl>
    <w:lvl w:ilvl="6" w:tplc="8D7C4DA8" w:tentative="1">
      <w:start w:val="1"/>
      <w:numFmt w:val="bullet"/>
      <w:lvlText w:val="-"/>
      <w:lvlJc w:val="left"/>
      <w:pPr>
        <w:tabs>
          <w:tab w:val="num" w:pos="5040"/>
        </w:tabs>
        <w:ind w:left="5040" w:hanging="360"/>
      </w:pPr>
      <w:rPr>
        <w:rFonts w:ascii="Times New Roman" w:hAnsi="Times New Roman" w:hint="default"/>
      </w:rPr>
    </w:lvl>
    <w:lvl w:ilvl="7" w:tplc="8150675A" w:tentative="1">
      <w:start w:val="1"/>
      <w:numFmt w:val="bullet"/>
      <w:lvlText w:val="-"/>
      <w:lvlJc w:val="left"/>
      <w:pPr>
        <w:tabs>
          <w:tab w:val="num" w:pos="5760"/>
        </w:tabs>
        <w:ind w:left="5760" w:hanging="360"/>
      </w:pPr>
      <w:rPr>
        <w:rFonts w:ascii="Times New Roman" w:hAnsi="Times New Roman" w:hint="default"/>
      </w:rPr>
    </w:lvl>
    <w:lvl w:ilvl="8" w:tplc="454A8D4A" w:tentative="1">
      <w:start w:val="1"/>
      <w:numFmt w:val="bullet"/>
      <w:lvlText w:val="-"/>
      <w:lvlJc w:val="left"/>
      <w:pPr>
        <w:tabs>
          <w:tab w:val="num" w:pos="6480"/>
        </w:tabs>
        <w:ind w:left="6480" w:hanging="360"/>
      </w:pPr>
      <w:rPr>
        <w:rFonts w:ascii="Times New Roman" w:hAnsi="Times New Roman" w:hint="default"/>
      </w:rPr>
    </w:lvl>
  </w:abstractNum>
  <w:abstractNum w:abstractNumId="45" w15:restartNumberingAfterBreak="0">
    <w:nsid w:val="38171149"/>
    <w:multiLevelType w:val="multilevel"/>
    <w:tmpl w:val="AC420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8E44556"/>
    <w:multiLevelType w:val="multilevel"/>
    <w:tmpl w:val="58149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A6B6835"/>
    <w:multiLevelType w:val="multilevel"/>
    <w:tmpl w:val="314E0D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3C0D7680"/>
    <w:multiLevelType w:val="multilevel"/>
    <w:tmpl w:val="C65A1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C734B49"/>
    <w:multiLevelType w:val="multilevel"/>
    <w:tmpl w:val="02AE2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E4F29E4"/>
    <w:multiLevelType w:val="multilevel"/>
    <w:tmpl w:val="C9904664"/>
    <w:styleLink w:val="ChapterNumberingList0"/>
    <w:lvl w:ilvl="0">
      <w:start w:val="1"/>
      <w:numFmt w:val="decimal"/>
      <w:lvlRestart w:val="0"/>
      <w:suff w:val="nothing"/>
      <w:lvlText w:val="%1"/>
      <w:lvlJc w:val="left"/>
      <w:pPr>
        <w:ind w:left="0" w:firstLine="0"/>
      </w:pPr>
      <w:rPr>
        <w:rFonts w:hint="default"/>
      </w:rPr>
    </w:lvl>
    <w:lvl w:ilvl="1">
      <w:start w:val="1"/>
      <w:numFmt w:val="decimal"/>
      <w:lvlRestart w:val="0"/>
      <w:lvlText w:val="%2"/>
      <w:lvlJc w:val="left"/>
      <w:pPr>
        <w:tabs>
          <w:tab w:val="num" w:pos="850"/>
        </w:tabs>
        <w:ind w:left="850" w:hanging="850"/>
      </w:pPr>
      <w:rPr>
        <w:rFonts w:hint="default"/>
      </w:rPr>
    </w:lvl>
    <w:lvl w:ilvl="2">
      <w:start w:val="1"/>
      <w:numFmt w:val="decimal"/>
      <w:lvlText w:val="%2.%3"/>
      <w:lvlJc w:val="left"/>
      <w:pPr>
        <w:tabs>
          <w:tab w:val="num" w:pos="850"/>
        </w:tabs>
        <w:ind w:left="850" w:hanging="850"/>
      </w:pPr>
      <w:rPr>
        <w:rFonts w:hint="default"/>
      </w:rPr>
    </w:lvl>
    <w:lvl w:ilvl="3">
      <w:start w:val="1"/>
      <w:numFmt w:val="decimal"/>
      <w:lvlText w:val="%2.%3.%4"/>
      <w:lvlJc w:val="left"/>
      <w:pPr>
        <w:tabs>
          <w:tab w:val="num" w:pos="850"/>
        </w:tabs>
        <w:ind w:left="850" w:hanging="850"/>
      </w:pPr>
      <w:rPr>
        <w:rFonts w:hint="default"/>
      </w:rPr>
    </w:lvl>
    <w:lvl w:ilvl="4">
      <w:start w:val="1"/>
      <w:numFmt w:val="upperLetter"/>
      <w:lvlRestart w:val="0"/>
      <w:lvlText w:val="Appendix %5"/>
      <w:lvlJc w:val="left"/>
      <w:pPr>
        <w:tabs>
          <w:tab w:val="num" w:pos="3685"/>
        </w:tabs>
        <w:ind w:left="0" w:firstLine="0"/>
      </w:pPr>
      <w:rPr>
        <w:rFonts w:hint="default"/>
      </w:rPr>
    </w:lvl>
    <w:lvl w:ilvl="5">
      <w:start w:val="1"/>
      <w:numFmt w:val="upperLetter"/>
      <w:lvlRestart w:val="0"/>
      <w:suff w:val="nothing"/>
      <w:lvlText w:val="Appendix %6"/>
      <w:lvlJc w:val="left"/>
      <w:pPr>
        <w:ind w:left="0" w:firstLine="0"/>
      </w:pPr>
      <w:rPr>
        <w:rFonts w:hint="default"/>
      </w:rPr>
    </w:lvl>
    <w:lvl w:ilvl="6">
      <w:start w:val="1"/>
      <w:numFmt w:val="decimal"/>
      <w:lvlText w:val="%7"/>
      <w:lvlJc w:val="left"/>
      <w:pPr>
        <w:tabs>
          <w:tab w:val="num" w:pos="567"/>
        </w:tabs>
        <w:ind w:left="567" w:hanging="567"/>
      </w:pPr>
      <w:rPr>
        <w:rFonts w:hint="default"/>
        <w:b/>
        <w:i/>
      </w:rPr>
    </w:lvl>
    <w:lvl w:ilvl="7">
      <w:start w:val="1"/>
      <w:numFmt w:val="decimal"/>
      <w:lvlText w:val="%8"/>
      <w:lvlJc w:val="left"/>
      <w:pPr>
        <w:tabs>
          <w:tab w:val="num" w:pos="284"/>
        </w:tabs>
        <w:ind w:left="284" w:hanging="284"/>
      </w:pPr>
      <w:rPr>
        <w:rFonts w:hint="default"/>
        <w:b w:val="0"/>
        <w:i w:val="0"/>
        <w:color w:val="auto"/>
      </w:rPr>
    </w:lvl>
    <w:lvl w:ilvl="8">
      <w:start w:val="1"/>
      <w:numFmt w:val="lowerLetter"/>
      <w:lvlText w:val="%9"/>
      <w:lvlJc w:val="left"/>
      <w:pPr>
        <w:tabs>
          <w:tab w:val="num" w:pos="567"/>
        </w:tabs>
        <w:ind w:left="567" w:hanging="283"/>
      </w:pPr>
      <w:rPr>
        <w:rFonts w:hint="default"/>
        <w:b w:val="0"/>
        <w:i w:val="0"/>
        <w:color w:val="auto"/>
      </w:rPr>
    </w:lvl>
  </w:abstractNum>
  <w:abstractNum w:abstractNumId="51" w15:restartNumberingAfterBreak="0">
    <w:nsid w:val="3E9A4BA8"/>
    <w:multiLevelType w:val="multilevel"/>
    <w:tmpl w:val="49607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EE52A50"/>
    <w:multiLevelType w:val="multilevel"/>
    <w:tmpl w:val="EE12AE72"/>
    <w:styleLink w:val="PwCAppendixList1"/>
    <w:lvl w:ilvl="0">
      <w:start w:val="1"/>
      <w:numFmt w:val="upperLetter"/>
      <w:pStyle w:val="Appendix"/>
      <w:lvlText w:val="Appendix %1 "/>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3F130696"/>
    <w:multiLevelType w:val="multilevel"/>
    <w:tmpl w:val="D4C67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FAF6DC4"/>
    <w:multiLevelType w:val="multilevel"/>
    <w:tmpl w:val="B330D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15759C6"/>
    <w:multiLevelType w:val="multilevel"/>
    <w:tmpl w:val="8D5C8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5B14B9C"/>
    <w:multiLevelType w:val="multilevel"/>
    <w:tmpl w:val="D66C8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60B564E"/>
    <w:multiLevelType w:val="multilevel"/>
    <w:tmpl w:val="D5EA105E"/>
    <w:styleLink w:val="TableBulletSmallList"/>
    <w:lvl w:ilvl="0">
      <w:start w:val="1"/>
      <w:numFmt w:val="bullet"/>
      <w:lvlRestart w:val="0"/>
      <w:lvlText w:val=""/>
      <w:lvlJc w:val="left"/>
      <w:pPr>
        <w:tabs>
          <w:tab w:val="num" w:pos="284"/>
        </w:tabs>
        <w:ind w:left="284" w:hanging="284"/>
      </w:pPr>
      <w:rPr>
        <w:rFonts w:ascii="Symbol" w:hAnsi="Symbol" w:hint="default"/>
        <w:b w:val="0"/>
        <w:i w:val="0"/>
        <w:color w:val="auto"/>
      </w:rPr>
    </w:lvl>
    <w:lvl w:ilvl="1">
      <w:start w:val="1"/>
      <w:numFmt w:val="bullet"/>
      <w:lvlRestart w:val="0"/>
      <w:lvlText w:val="–"/>
      <w:lvlJc w:val="left"/>
      <w:pPr>
        <w:tabs>
          <w:tab w:val="num" w:pos="567"/>
        </w:tabs>
        <w:ind w:left="567" w:hanging="283"/>
      </w:pPr>
      <w:rPr>
        <w:rFonts w:ascii="Arial" w:hAnsi="Arial" w:hint="default"/>
        <w:b w:val="0"/>
        <w:i w:val="0"/>
        <w:color w:val="auto"/>
      </w:rPr>
    </w:lvl>
    <w:lvl w:ilvl="2">
      <w:start w:val="1"/>
      <w:numFmt w:val="bullet"/>
      <w:lvlRestart w:val="0"/>
      <w:lvlText w:val="o"/>
      <w:lvlJc w:val="left"/>
      <w:pPr>
        <w:tabs>
          <w:tab w:val="num" w:pos="851"/>
        </w:tabs>
        <w:ind w:left="851" w:hanging="284"/>
      </w:pPr>
      <w:rPr>
        <w:rFonts w:ascii="Arial" w:hAnsi="Arial" w:hint="default"/>
        <w:b w:val="0"/>
        <w:i w:val="0"/>
        <w:color w:val="auto"/>
        <w:sz w:val="10"/>
        <w:szCs w:val="10"/>
      </w:rPr>
    </w:lvl>
    <w:lvl w:ilvl="3">
      <w:start w:val="1"/>
      <w:numFmt w:val="none"/>
      <w:lvlRestart w:val="0"/>
      <w:lvlText w:val=""/>
      <w:lvlJc w:val="left"/>
      <w:pPr>
        <w:tabs>
          <w:tab w:val="num" w:pos="2880"/>
        </w:tabs>
        <w:ind w:left="2880" w:hanging="720"/>
      </w:pPr>
      <w:rPr>
        <w:rFonts w:hint="default"/>
        <w:b w:val="0"/>
        <w:i w:val="0"/>
        <w:color w:val="auto"/>
        <w:sz w:val="10"/>
        <w:szCs w:val="10"/>
      </w:rPr>
    </w:lvl>
    <w:lvl w:ilvl="4">
      <w:start w:val="1"/>
      <w:numFmt w:val="lowerLetter"/>
      <w:lvlText w:val=""/>
      <w:lvlJc w:val="left"/>
      <w:pPr>
        <w:tabs>
          <w:tab w:val="num" w:pos="1800"/>
        </w:tabs>
        <w:ind w:left="1800" w:hanging="360"/>
      </w:pPr>
      <w:rPr>
        <w:rFonts w:hint="default"/>
      </w:rPr>
    </w:lvl>
    <w:lvl w:ilvl="5">
      <w:start w:val="1"/>
      <w:numFmt w:val="lowerRoman"/>
      <w:lvlText w:val=""/>
      <w:lvlJc w:val="left"/>
      <w:pPr>
        <w:tabs>
          <w:tab w:val="num" w:pos="2160"/>
        </w:tabs>
        <w:ind w:left="2160" w:hanging="360"/>
      </w:pPr>
      <w:rPr>
        <w:rFonts w:hint="default"/>
      </w:rPr>
    </w:lvl>
    <w:lvl w:ilvl="6">
      <w:start w:val="1"/>
      <w:numFmt w:val="decimal"/>
      <w:lvlText w:val=""/>
      <w:lvlJc w:val="left"/>
      <w:pPr>
        <w:tabs>
          <w:tab w:val="num" w:pos="2520"/>
        </w:tabs>
        <w:ind w:left="2520" w:hanging="360"/>
      </w:pPr>
      <w:rPr>
        <w:rFonts w:hint="default"/>
      </w:rPr>
    </w:lvl>
    <w:lvl w:ilvl="7">
      <w:start w:val="1"/>
      <w:numFmt w:val="lowerLetter"/>
      <w:lvlText w:val=""/>
      <w:lvlJc w:val="left"/>
      <w:pPr>
        <w:tabs>
          <w:tab w:val="num" w:pos="2880"/>
        </w:tabs>
        <w:ind w:left="2880" w:hanging="360"/>
      </w:pPr>
      <w:rPr>
        <w:rFonts w:hint="default"/>
      </w:rPr>
    </w:lvl>
    <w:lvl w:ilvl="8">
      <w:start w:val="1"/>
      <w:numFmt w:val="lowerRoman"/>
      <w:lvlText w:val=""/>
      <w:lvlJc w:val="left"/>
      <w:pPr>
        <w:tabs>
          <w:tab w:val="num" w:pos="3240"/>
        </w:tabs>
        <w:ind w:left="3240" w:hanging="360"/>
      </w:pPr>
      <w:rPr>
        <w:rFonts w:hint="default"/>
      </w:rPr>
    </w:lvl>
  </w:abstractNum>
  <w:abstractNum w:abstractNumId="58" w15:restartNumberingAfterBreak="0">
    <w:nsid w:val="4AAB5470"/>
    <w:multiLevelType w:val="multilevel"/>
    <w:tmpl w:val="540E0A8E"/>
    <w:lvl w:ilvl="0">
      <w:start w:val="1"/>
      <w:numFmt w:val="bullet"/>
      <w:lvlRestart w:val="0"/>
      <w:pStyle w:val="ListBullet"/>
      <w:lvlText w:val=""/>
      <w:lvlJc w:val="left"/>
      <w:pPr>
        <w:tabs>
          <w:tab w:val="num" w:pos="284"/>
        </w:tabs>
        <w:ind w:left="284" w:hanging="284"/>
      </w:pPr>
      <w:rPr>
        <w:rFonts w:ascii="Symbol" w:hAnsi="Symbol" w:hint="default"/>
        <w:b w:val="0"/>
        <w:i w:val="0"/>
        <w:color w:val="auto"/>
      </w:rPr>
    </w:lvl>
    <w:lvl w:ilvl="1">
      <w:start w:val="1"/>
      <w:numFmt w:val="bullet"/>
      <w:lvlText w:val="–"/>
      <w:lvlJc w:val="left"/>
      <w:pPr>
        <w:tabs>
          <w:tab w:val="num" w:pos="567"/>
        </w:tabs>
        <w:ind w:left="568" w:hanging="284"/>
      </w:pPr>
      <w:rPr>
        <w:rFonts w:ascii="Arial" w:hAnsi="Arial" w:hint="default"/>
        <w:b w:val="0"/>
        <w:i w:val="0"/>
        <w:color w:val="auto"/>
      </w:rPr>
    </w:lvl>
    <w:lvl w:ilvl="2">
      <w:start w:val="1"/>
      <w:numFmt w:val="bullet"/>
      <w:lvlText w:val="◦"/>
      <w:lvlJc w:val="left"/>
      <w:pPr>
        <w:tabs>
          <w:tab w:val="num" w:pos="851"/>
        </w:tabs>
        <w:ind w:left="852" w:hanging="284"/>
      </w:pPr>
      <w:rPr>
        <w:rFonts w:ascii="Georgia" w:hAnsi="Georgia" w:hint="default"/>
        <w:b w:val="0"/>
        <w:i w:val="0"/>
        <w:color w:val="auto"/>
        <w:sz w:val="18"/>
        <w:szCs w:val="10"/>
      </w:rPr>
    </w:lvl>
    <w:lvl w:ilvl="3">
      <w:start w:val="1"/>
      <w:numFmt w:val="bullet"/>
      <w:lvlText w:val=""/>
      <w:lvlJc w:val="left"/>
      <w:pPr>
        <w:tabs>
          <w:tab w:val="num" w:pos="1134"/>
        </w:tabs>
        <w:ind w:left="1136" w:hanging="284"/>
      </w:pPr>
      <w:rPr>
        <w:rFonts w:ascii="Symbol" w:hAnsi="Symbol" w:hint="default"/>
        <w:b w:val="0"/>
        <w:i w:val="0"/>
        <w:color w:val="auto"/>
        <w:sz w:val="20"/>
        <w:szCs w:val="10"/>
      </w:rPr>
    </w:lvl>
    <w:lvl w:ilvl="4">
      <w:start w:val="1"/>
      <w:numFmt w:val="bullet"/>
      <w:lvlText w:val="~"/>
      <w:lvlJc w:val="left"/>
      <w:pPr>
        <w:tabs>
          <w:tab w:val="num" w:pos="1418"/>
        </w:tabs>
        <w:ind w:left="1420" w:hanging="284"/>
      </w:pPr>
      <w:rPr>
        <w:rFonts w:ascii="Georgia" w:hAnsi="Georgia" w:hint="default"/>
        <w:color w:val="auto"/>
      </w:rPr>
    </w:lvl>
    <w:lvl w:ilvl="5">
      <w:start w:val="1"/>
      <w:numFmt w:val="lowerRoman"/>
      <w:lvlText w:val="%6"/>
      <w:lvlJc w:val="left"/>
      <w:pPr>
        <w:tabs>
          <w:tab w:val="num" w:pos="1701"/>
        </w:tabs>
        <w:ind w:left="1361" w:firstLine="59"/>
      </w:pPr>
      <w:rPr>
        <w:rFonts w:hint="default"/>
      </w:rPr>
    </w:lvl>
    <w:lvl w:ilvl="6">
      <w:start w:val="1"/>
      <w:numFmt w:val="decimal"/>
      <w:lvlText w:val="%7"/>
      <w:lvlJc w:val="left"/>
      <w:pPr>
        <w:tabs>
          <w:tab w:val="num" w:pos="1985"/>
        </w:tabs>
        <w:ind w:left="1985" w:hanging="964"/>
      </w:pPr>
      <w:rPr>
        <w:rFonts w:hint="default"/>
      </w:rPr>
    </w:lvl>
    <w:lvl w:ilvl="7">
      <w:start w:val="1"/>
      <w:numFmt w:val="lowerLetter"/>
      <w:lvlText w:val="%8"/>
      <w:lvlJc w:val="left"/>
      <w:pPr>
        <w:tabs>
          <w:tab w:val="num" w:pos="2268"/>
        </w:tabs>
        <w:ind w:left="2211" w:hanging="226"/>
      </w:pPr>
      <w:rPr>
        <w:rFonts w:hint="default"/>
      </w:rPr>
    </w:lvl>
    <w:lvl w:ilvl="8">
      <w:start w:val="1"/>
      <w:numFmt w:val="lowerRoman"/>
      <w:lvlText w:val="%9"/>
      <w:lvlJc w:val="left"/>
      <w:pPr>
        <w:tabs>
          <w:tab w:val="num" w:pos="2552"/>
        </w:tabs>
        <w:ind w:left="2552" w:hanging="284"/>
      </w:pPr>
      <w:rPr>
        <w:rFonts w:hint="default"/>
      </w:rPr>
    </w:lvl>
  </w:abstractNum>
  <w:abstractNum w:abstractNumId="59" w15:restartNumberingAfterBreak="0">
    <w:nsid w:val="4D0E52C8"/>
    <w:multiLevelType w:val="multilevel"/>
    <w:tmpl w:val="25CA2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D8C2F25"/>
    <w:multiLevelType w:val="multilevel"/>
    <w:tmpl w:val="6E008996"/>
    <w:lvl w:ilvl="0">
      <w:start w:val="1"/>
      <w:numFmt w:val="bullet"/>
      <w:lvlRestart w:val="0"/>
      <w:pStyle w:val="TableBullet1Normal"/>
      <w:lvlText w:val=""/>
      <w:lvlJc w:val="left"/>
      <w:pPr>
        <w:tabs>
          <w:tab w:val="num" w:pos="283"/>
        </w:tabs>
        <w:ind w:left="284" w:hanging="284"/>
      </w:pPr>
      <w:rPr>
        <w:rFonts w:ascii="Symbol" w:hAnsi="Symbol" w:hint="default"/>
        <w:b w:val="0"/>
        <w:i w:val="0"/>
        <w:color w:val="auto"/>
      </w:rPr>
    </w:lvl>
    <w:lvl w:ilvl="1">
      <w:start w:val="1"/>
      <w:numFmt w:val="bullet"/>
      <w:lvlRestart w:val="0"/>
      <w:pStyle w:val="TableBullet2Normal"/>
      <w:lvlText w:val="–"/>
      <w:lvlJc w:val="left"/>
      <w:pPr>
        <w:tabs>
          <w:tab w:val="num" w:pos="567"/>
        </w:tabs>
        <w:ind w:left="567" w:hanging="283"/>
      </w:pPr>
      <w:rPr>
        <w:rFonts w:ascii="Arial" w:hAnsi="Arial" w:hint="default"/>
        <w:b w:val="0"/>
        <w:i w:val="0"/>
        <w:color w:val="auto"/>
        <w:szCs w:val="10"/>
      </w:rPr>
    </w:lvl>
    <w:lvl w:ilvl="2">
      <w:start w:val="1"/>
      <w:numFmt w:val="bullet"/>
      <w:lvlRestart w:val="0"/>
      <w:pStyle w:val="TableBullet3Normal"/>
      <w:lvlText w:val="o"/>
      <w:lvlJc w:val="left"/>
      <w:pPr>
        <w:tabs>
          <w:tab w:val="num" w:pos="851"/>
        </w:tabs>
        <w:ind w:left="851" w:hanging="284"/>
      </w:pPr>
      <w:rPr>
        <w:rFonts w:ascii="Arial" w:hAnsi="Arial" w:hint="default"/>
        <w:b w:val="0"/>
        <w:i w:val="0"/>
        <w:color w:val="auto"/>
        <w:sz w:val="10"/>
        <w:szCs w:val="10"/>
      </w:rPr>
    </w:lvl>
    <w:lvl w:ilvl="3">
      <w:start w:val="1"/>
      <w:numFmt w:val="none"/>
      <w:lvlRestart w:val="0"/>
      <w:lvlText w:val=""/>
      <w:lvlJc w:val="left"/>
      <w:pPr>
        <w:tabs>
          <w:tab w:val="num" w:pos="0"/>
        </w:tabs>
        <w:ind w:left="0" w:firstLine="0"/>
      </w:pPr>
      <w:rPr>
        <w:rFonts w:hint="default"/>
        <w:color w:val="auto"/>
        <w:sz w:val="10"/>
        <w:szCs w:val="10"/>
      </w:rPr>
    </w:lvl>
    <w:lvl w:ilvl="4">
      <w:start w:val="1"/>
      <w:numFmt w:val="none"/>
      <w:lvlText w:val="%5"/>
      <w:lvlJc w:val="left"/>
      <w:pPr>
        <w:tabs>
          <w:tab w:val="num" w:pos="1800"/>
        </w:tabs>
        <w:ind w:left="1800" w:hanging="360"/>
      </w:pPr>
      <w:rPr>
        <w:rFonts w:hint="default"/>
      </w:rPr>
    </w:lvl>
    <w:lvl w:ilvl="5">
      <w:start w:val="1"/>
      <w:numFmt w:val="lowerRoman"/>
      <w:lvlText w:val=""/>
      <w:lvlJc w:val="left"/>
      <w:pPr>
        <w:tabs>
          <w:tab w:val="num" w:pos="2160"/>
        </w:tabs>
        <w:ind w:left="2160" w:hanging="360"/>
      </w:pPr>
      <w:rPr>
        <w:rFonts w:hint="default"/>
      </w:rPr>
    </w:lvl>
    <w:lvl w:ilvl="6">
      <w:start w:val="1"/>
      <w:numFmt w:val="decimal"/>
      <w:lvlText w:val=""/>
      <w:lvlJc w:val="left"/>
      <w:pPr>
        <w:tabs>
          <w:tab w:val="num" w:pos="2520"/>
        </w:tabs>
        <w:ind w:left="2520" w:hanging="360"/>
      </w:pPr>
      <w:rPr>
        <w:rFonts w:hint="default"/>
      </w:rPr>
    </w:lvl>
    <w:lvl w:ilvl="7">
      <w:start w:val="1"/>
      <w:numFmt w:val="lowerLetter"/>
      <w:lvlText w:val=""/>
      <w:lvlJc w:val="left"/>
      <w:pPr>
        <w:tabs>
          <w:tab w:val="num" w:pos="2880"/>
        </w:tabs>
        <w:ind w:left="2880" w:hanging="360"/>
      </w:pPr>
      <w:rPr>
        <w:rFonts w:hint="default"/>
      </w:rPr>
    </w:lvl>
    <w:lvl w:ilvl="8">
      <w:start w:val="1"/>
      <w:numFmt w:val="lowerRoman"/>
      <w:lvlText w:val=""/>
      <w:lvlJc w:val="left"/>
      <w:pPr>
        <w:tabs>
          <w:tab w:val="num" w:pos="3240"/>
        </w:tabs>
        <w:ind w:left="3240" w:hanging="360"/>
      </w:pPr>
      <w:rPr>
        <w:rFonts w:hint="default"/>
      </w:rPr>
    </w:lvl>
  </w:abstractNum>
  <w:abstractNum w:abstractNumId="61" w15:restartNumberingAfterBreak="0">
    <w:nsid w:val="4F9259D4"/>
    <w:multiLevelType w:val="multilevel"/>
    <w:tmpl w:val="4AD8CBDC"/>
    <w:name w:val="Chapter numbering list"/>
    <w:lvl w:ilvl="0">
      <w:start w:val="1"/>
      <w:numFmt w:val="decimal"/>
      <w:lvlRestart w:val="0"/>
      <w:pStyle w:val="ChapterNumberLong"/>
      <w:suff w:val="nothing"/>
      <w:lvlText w:val="%1"/>
      <w:lvlJc w:val="left"/>
      <w:pPr>
        <w:tabs>
          <w:tab w:val="num" w:pos="0"/>
        </w:tabs>
        <w:ind w:left="0" w:firstLine="0"/>
      </w:pPr>
    </w:lvl>
    <w:lvl w:ilvl="1">
      <w:start w:val="1"/>
      <w:numFmt w:val="decimal"/>
      <w:lvlRestart w:val="0"/>
      <w:pStyle w:val="Heading2"/>
      <w:lvlText w:val="%2"/>
      <w:lvlJc w:val="left"/>
      <w:pPr>
        <w:tabs>
          <w:tab w:val="num" w:pos="850"/>
        </w:tabs>
        <w:ind w:left="850" w:hanging="850"/>
      </w:pPr>
    </w:lvl>
    <w:lvl w:ilvl="2">
      <w:start w:val="1"/>
      <w:numFmt w:val="decimal"/>
      <w:pStyle w:val="Heading6"/>
      <w:lvlText w:val="%2.%3"/>
      <w:lvlJc w:val="left"/>
      <w:pPr>
        <w:tabs>
          <w:tab w:val="num" w:pos="850"/>
        </w:tabs>
        <w:ind w:left="850" w:hanging="850"/>
      </w:pPr>
    </w:lvl>
    <w:lvl w:ilvl="3">
      <w:start w:val="1"/>
      <w:numFmt w:val="decimal"/>
      <w:pStyle w:val="Heading7"/>
      <w:lvlText w:val="%2.%3.%4"/>
      <w:lvlJc w:val="left"/>
      <w:pPr>
        <w:tabs>
          <w:tab w:val="num" w:pos="850"/>
        </w:tabs>
        <w:ind w:left="850" w:hanging="850"/>
      </w:pPr>
    </w:lvl>
    <w:lvl w:ilvl="4">
      <w:start w:val="1"/>
      <w:numFmt w:val="upperLetter"/>
      <w:lvlRestart w:val="0"/>
      <w:pStyle w:val="Heading4"/>
      <w:lvlText w:val="Appendix %5"/>
      <w:lvlJc w:val="left"/>
      <w:pPr>
        <w:tabs>
          <w:tab w:val="num" w:pos="3685"/>
        </w:tabs>
        <w:ind w:left="0" w:firstLine="0"/>
      </w:pPr>
    </w:lvl>
    <w:lvl w:ilvl="5">
      <w:start w:val="1"/>
      <w:numFmt w:val="upperLetter"/>
      <w:lvlRestart w:val="0"/>
      <w:pStyle w:val="AppendixNumberLong"/>
      <w:suff w:val="nothing"/>
      <w:lvlText w:val="%6"/>
      <w:lvlJc w:val="left"/>
      <w:pPr>
        <w:tabs>
          <w:tab w:val="num" w:pos="0"/>
        </w:tabs>
        <w:ind w:left="0" w:firstLine="0"/>
      </w:pPr>
    </w:lvl>
    <w:lvl w:ilvl="6">
      <w:start w:val="1"/>
      <w:numFmt w:val="decimal"/>
      <w:pStyle w:val="Heading8"/>
      <w:lvlText w:val="%7"/>
      <w:lvlJc w:val="left"/>
      <w:pPr>
        <w:tabs>
          <w:tab w:val="num" w:pos="567"/>
        </w:tabs>
        <w:ind w:left="567" w:hanging="567"/>
      </w:pPr>
    </w:lvl>
    <w:lvl w:ilvl="7">
      <w:start w:val="1"/>
      <w:numFmt w:val="decimal"/>
      <w:pStyle w:val="ChapterNumberedList1"/>
      <w:lvlText w:val="%8"/>
      <w:lvlJc w:val="left"/>
      <w:pPr>
        <w:tabs>
          <w:tab w:val="num" w:pos="567"/>
        </w:tabs>
        <w:ind w:left="567" w:hanging="567"/>
      </w:pPr>
    </w:lvl>
    <w:lvl w:ilvl="8">
      <w:start w:val="1"/>
      <w:numFmt w:val="lowerLetter"/>
      <w:pStyle w:val="ChapterNumberedList2"/>
      <w:lvlText w:val="%9"/>
      <w:lvlJc w:val="left"/>
      <w:pPr>
        <w:tabs>
          <w:tab w:val="num" w:pos="1134"/>
        </w:tabs>
        <w:ind w:left="1134" w:hanging="567"/>
      </w:pPr>
    </w:lvl>
  </w:abstractNum>
  <w:abstractNum w:abstractNumId="62" w15:restartNumberingAfterBreak="0">
    <w:nsid w:val="518C39C9"/>
    <w:multiLevelType w:val="multilevel"/>
    <w:tmpl w:val="D93463A2"/>
    <w:styleLink w:val="Style1"/>
    <w:lvl w:ilvl="0">
      <w:start w:val="1"/>
      <w:numFmt w:val="decimal"/>
      <w:pStyle w:val="TOC1"/>
      <w:lvlText w:val="%1"/>
      <w:lvlJc w:val="left"/>
      <w:pPr>
        <w:tabs>
          <w:tab w:val="num" w:pos="567"/>
        </w:tabs>
        <w:ind w:left="567" w:hanging="567"/>
      </w:pPr>
      <w:rPr>
        <w:rFonts w:hint="default"/>
      </w:rPr>
    </w:lvl>
    <w:lvl w:ilvl="1">
      <w:start w:val="1"/>
      <w:numFmt w:val="none"/>
      <w:pStyle w:val="Appendicestitle"/>
      <w:suff w:val="nothing"/>
      <w:lvlText w:val=""/>
      <w:lvlJc w:val="left"/>
      <w:pPr>
        <w:ind w:left="0" w:firstLine="0"/>
      </w:pPr>
      <w:rPr>
        <w:rFonts w:hint="default"/>
      </w:rPr>
    </w:lvl>
    <w:lvl w:ilvl="2">
      <w:start w:val="1"/>
      <w:numFmt w:val="upperLetter"/>
      <w:pStyle w:val="TOC3"/>
      <w:lvlText w:val="Appendix %3"/>
      <w:lvlJc w:val="left"/>
      <w:pPr>
        <w:tabs>
          <w:tab w:val="num" w:pos="1985"/>
        </w:tabs>
        <w:ind w:left="1985" w:hanging="198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15:restartNumberingAfterBreak="0">
    <w:nsid w:val="51BF5F6B"/>
    <w:multiLevelType w:val="multilevel"/>
    <w:tmpl w:val="9F6C8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3401714"/>
    <w:multiLevelType w:val="multilevel"/>
    <w:tmpl w:val="10B2E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4977E7E"/>
    <w:multiLevelType w:val="multilevel"/>
    <w:tmpl w:val="DBEA4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5277975"/>
    <w:multiLevelType w:val="multilevel"/>
    <w:tmpl w:val="A7088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5527644"/>
    <w:multiLevelType w:val="multilevel"/>
    <w:tmpl w:val="A5F2A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567C15EA"/>
    <w:multiLevelType w:val="multilevel"/>
    <w:tmpl w:val="A78C1E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9" w15:restartNumberingAfterBreak="0">
    <w:nsid w:val="598C0781"/>
    <w:multiLevelType w:val="multilevel"/>
    <w:tmpl w:val="1B3E6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5CA45ADF"/>
    <w:multiLevelType w:val="multilevel"/>
    <w:tmpl w:val="D2825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5F1277EA"/>
    <w:multiLevelType w:val="multilevel"/>
    <w:tmpl w:val="52840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5F3652A6"/>
    <w:multiLevelType w:val="multilevel"/>
    <w:tmpl w:val="020A7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5FD70A3D"/>
    <w:multiLevelType w:val="multilevel"/>
    <w:tmpl w:val="CF3E0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5FFC03AA"/>
    <w:multiLevelType w:val="multilevel"/>
    <w:tmpl w:val="7B18B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612D4B1A"/>
    <w:multiLevelType w:val="multilevel"/>
    <w:tmpl w:val="AC061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2AD4F78"/>
    <w:multiLevelType w:val="multilevel"/>
    <w:tmpl w:val="F1665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63917BB9"/>
    <w:multiLevelType w:val="multilevel"/>
    <w:tmpl w:val="C63A1C26"/>
    <w:lvl w:ilvl="0">
      <w:start w:val="1"/>
      <w:numFmt w:val="none"/>
      <w:pStyle w:val="PwCNormal"/>
      <w:suff w:val="nothing"/>
      <w:lvlText w:val=""/>
      <w:lvlJc w:val="left"/>
      <w:pPr>
        <w:ind w:left="0" w:firstLine="0"/>
      </w:pPr>
      <w:rPr>
        <w:rFonts w:hint="default"/>
        <w:color w:val="auto"/>
      </w:rPr>
    </w:lvl>
    <w:lvl w:ilvl="1">
      <w:start w:val="1"/>
      <w:numFmt w:val="none"/>
      <w:pStyle w:val="Indent1"/>
      <w:suff w:val="nothing"/>
      <w:lvlText w:val=""/>
      <w:lvlJc w:val="left"/>
      <w:pPr>
        <w:ind w:left="284" w:firstLine="0"/>
      </w:pPr>
      <w:rPr>
        <w:rFonts w:hint="default"/>
      </w:rPr>
    </w:lvl>
    <w:lvl w:ilvl="2">
      <w:start w:val="1"/>
      <w:numFmt w:val="none"/>
      <w:pStyle w:val="Indent2"/>
      <w:suff w:val="nothing"/>
      <w:lvlText w:val=""/>
      <w:lvlJc w:val="left"/>
      <w:pPr>
        <w:ind w:left="568" w:firstLine="0"/>
      </w:pPr>
      <w:rPr>
        <w:rFonts w:hint="default"/>
      </w:rPr>
    </w:lvl>
    <w:lvl w:ilvl="3">
      <w:start w:val="1"/>
      <w:numFmt w:val="none"/>
      <w:pStyle w:val="Indent3"/>
      <w:suff w:val="nothing"/>
      <w:lvlText w:val=""/>
      <w:lvlJc w:val="left"/>
      <w:pPr>
        <w:ind w:left="852" w:firstLine="0"/>
      </w:pPr>
      <w:rPr>
        <w:rFonts w:hint="default"/>
      </w:rPr>
    </w:lvl>
    <w:lvl w:ilvl="4">
      <w:start w:val="1"/>
      <w:numFmt w:val="none"/>
      <w:pStyle w:val="Indent4"/>
      <w:suff w:val="nothing"/>
      <w:lvlText w:val=""/>
      <w:lvlJc w:val="left"/>
      <w:pPr>
        <w:ind w:left="1136" w:firstLine="0"/>
      </w:pPr>
      <w:rPr>
        <w:rFonts w:hint="default"/>
      </w:rPr>
    </w:lvl>
    <w:lvl w:ilvl="5">
      <w:start w:val="1"/>
      <w:numFmt w:val="none"/>
      <w:pStyle w:val="Indent5"/>
      <w:suff w:val="nothing"/>
      <w:lvlText w:val=""/>
      <w:lvlJc w:val="left"/>
      <w:pPr>
        <w:ind w:left="1420" w:firstLine="0"/>
      </w:pPr>
      <w:rPr>
        <w:rFonts w:hint="default"/>
      </w:rPr>
    </w:lvl>
    <w:lvl w:ilvl="6">
      <w:start w:val="1"/>
      <w:numFmt w:val="none"/>
      <w:pStyle w:val="Indent6"/>
      <w:suff w:val="nothing"/>
      <w:lvlText w:val=""/>
      <w:lvlJc w:val="left"/>
      <w:pPr>
        <w:ind w:left="1704" w:firstLine="0"/>
      </w:pPr>
      <w:rPr>
        <w:rFonts w:hint="default"/>
      </w:rPr>
    </w:lvl>
    <w:lvl w:ilvl="7">
      <w:start w:val="1"/>
      <w:numFmt w:val="none"/>
      <w:pStyle w:val="Indent7"/>
      <w:suff w:val="nothing"/>
      <w:lvlText w:val=""/>
      <w:lvlJc w:val="left"/>
      <w:pPr>
        <w:ind w:left="1988" w:firstLine="0"/>
      </w:pPr>
      <w:rPr>
        <w:rFonts w:hint="default"/>
      </w:rPr>
    </w:lvl>
    <w:lvl w:ilvl="8">
      <w:start w:val="1"/>
      <w:numFmt w:val="none"/>
      <w:pStyle w:val="Indent8"/>
      <w:suff w:val="nothing"/>
      <w:lvlText w:val=""/>
      <w:lvlJc w:val="left"/>
      <w:pPr>
        <w:ind w:left="2272" w:firstLine="0"/>
      </w:pPr>
      <w:rPr>
        <w:rFonts w:hint="default"/>
      </w:rPr>
    </w:lvl>
  </w:abstractNum>
  <w:abstractNum w:abstractNumId="78" w15:restartNumberingAfterBreak="0">
    <w:nsid w:val="6649458F"/>
    <w:multiLevelType w:val="multilevel"/>
    <w:tmpl w:val="93862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6AFD45F3"/>
    <w:multiLevelType w:val="multilevel"/>
    <w:tmpl w:val="9C7CD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6B2359AB"/>
    <w:multiLevelType w:val="multilevel"/>
    <w:tmpl w:val="69A8D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6C8A32D2"/>
    <w:multiLevelType w:val="multilevel"/>
    <w:tmpl w:val="25800BE4"/>
    <w:styleLink w:val="TableBulletNormalList"/>
    <w:lvl w:ilvl="0">
      <w:start w:val="1"/>
      <w:numFmt w:val="bullet"/>
      <w:lvlRestart w:val="0"/>
      <w:lvlText w:val=""/>
      <w:lvlJc w:val="left"/>
      <w:pPr>
        <w:tabs>
          <w:tab w:val="num" w:pos="283"/>
        </w:tabs>
        <w:ind w:left="283" w:hanging="283"/>
      </w:pPr>
      <w:rPr>
        <w:rFonts w:ascii="Symbol" w:hAnsi="Symbol" w:hint="default"/>
        <w:b w:val="0"/>
        <w:i w:val="0"/>
        <w:color w:val="auto"/>
      </w:rPr>
    </w:lvl>
    <w:lvl w:ilvl="1">
      <w:start w:val="1"/>
      <w:numFmt w:val="bullet"/>
      <w:lvlRestart w:val="0"/>
      <w:lvlText w:val="–"/>
      <w:lvlJc w:val="left"/>
      <w:pPr>
        <w:tabs>
          <w:tab w:val="num" w:pos="567"/>
        </w:tabs>
        <w:ind w:left="567" w:hanging="283"/>
      </w:pPr>
      <w:rPr>
        <w:rFonts w:ascii="Arial" w:hAnsi="Arial" w:hint="default"/>
        <w:b w:val="0"/>
        <w:i w:val="0"/>
        <w:color w:val="auto"/>
        <w:szCs w:val="10"/>
      </w:rPr>
    </w:lvl>
    <w:lvl w:ilvl="2">
      <w:start w:val="1"/>
      <w:numFmt w:val="bullet"/>
      <w:lvlRestart w:val="0"/>
      <w:lvlText w:val="o"/>
      <w:lvlJc w:val="left"/>
      <w:pPr>
        <w:tabs>
          <w:tab w:val="num" w:pos="851"/>
        </w:tabs>
        <w:ind w:left="851" w:hanging="284"/>
      </w:pPr>
      <w:rPr>
        <w:rFonts w:ascii="Arial" w:hAnsi="Arial" w:hint="default"/>
        <w:b w:val="0"/>
        <w:i w:val="0"/>
        <w:color w:val="auto"/>
        <w:sz w:val="10"/>
        <w:szCs w:val="10"/>
      </w:rPr>
    </w:lvl>
    <w:lvl w:ilvl="3">
      <w:start w:val="1"/>
      <w:numFmt w:val="none"/>
      <w:lvlRestart w:val="0"/>
      <w:lvlText w:val=""/>
      <w:lvlJc w:val="left"/>
      <w:pPr>
        <w:tabs>
          <w:tab w:val="num" w:pos="0"/>
        </w:tabs>
        <w:ind w:left="0" w:firstLine="0"/>
      </w:pPr>
      <w:rPr>
        <w:rFonts w:hint="default"/>
        <w:color w:val="auto"/>
        <w:sz w:val="10"/>
        <w:szCs w:val="10"/>
      </w:rPr>
    </w:lvl>
    <w:lvl w:ilvl="4">
      <w:start w:val="1"/>
      <w:numFmt w:val="none"/>
      <w:lvlText w:val="%5"/>
      <w:lvlJc w:val="left"/>
      <w:pPr>
        <w:tabs>
          <w:tab w:val="num" w:pos="1800"/>
        </w:tabs>
        <w:ind w:left="1800" w:hanging="360"/>
      </w:pPr>
      <w:rPr>
        <w:rFonts w:hint="default"/>
      </w:rPr>
    </w:lvl>
    <w:lvl w:ilvl="5">
      <w:start w:val="1"/>
      <w:numFmt w:val="lowerRoman"/>
      <w:lvlText w:val=""/>
      <w:lvlJc w:val="left"/>
      <w:pPr>
        <w:tabs>
          <w:tab w:val="num" w:pos="2160"/>
        </w:tabs>
        <w:ind w:left="2160" w:hanging="360"/>
      </w:pPr>
      <w:rPr>
        <w:rFonts w:hint="default"/>
      </w:rPr>
    </w:lvl>
    <w:lvl w:ilvl="6">
      <w:start w:val="1"/>
      <w:numFmt w:val="decimal"/>
      <w:lvlText w:val=""/>
      <w:lvlJc w:val="left"/>
      <w:pPr>
        <w:tabs>
          <w:tab w:val="num" w:pos="2520"/>
        </w:tabs>
        <w:ind w:left="2520" w:hanging="360"/>
      </w:pPr>
      <w:rPr>
        <w:rFonts w:hint="default"/>
      </w:rPr>
    </w:lvl>
    <w:lvl w:ilvl="7">
      <w:start w:val="1"/>
      <w:numFmt w:val="lowerLetter"/>
      <w:lvlText w:val=""/>
      <w:lvlJc w:val="left"/>
      <w:pPr>
        <w:tabs>
          <w:tab w:val="num" w:pos="2880"/>
        </w:tabs>
        <w:ind w:left="2880" w:hanging="360"/>
      </w:pPr>
      <w:rPr>
        <w:rFonts w:hint="default"/>
      </w:rPr>
    </w:lvl>
    <w:lvl w:ilvl="8">
      <w:start w:val="1"/>
      <w:numFmt w:val="lowerRoman"/>
      <w:lvlText w:val=""/>
      <w:lvlJc w:val="left"/>
      <w:pPr>
        <w:tabs>
          <w:tab w:val="num" w:pos="3240"/>
        </w:tabs>
        <w:ind w:left="3240" w:hanging="360"/>
      </w:pPr>
      <w:rPr>
        <w:rFonts w:hint="default"/>
      </w:rPr>
    </w:lvl>
  </w:abstractNum>
  <w:abstractNum w:abstractNumId="82" w15:restartNumberingAfterBreak="0">
    <w:nsid w:val="70960405"/>
    <w:multiLevelType w:val="multilevel"/>
    <w:tmpl w:val="B8447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730E2A5A"/>
    <w:multiLevelType w:val="multilevel"/>
    <w:tmpl w:val="05B08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73C17B7C"/>
    <w:multiLevelType w:val="multilevel"/>
    <w:tmpl w:val="3F647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4414167"/>
    <w:multiLevelType w:val="multilevel"/>
    <w:tmpl w:val="8764B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746801BC"/>
    <w:multiLevelType w:val="multilevel"/>
    <w:tmpl w:val="D3A87A58"/>
    <w:numStyleLink w:val="ListBullets"/>
  </w:abstractNum>
  <w:abstractNum w:abstractNumId="87" w15:restartNumberingAfterBreak="0">
    <w:nsid w:val="74AB072C"/>
    <w:multiLevelType w:val="multilevel"/>
    <w:tmpl w:val="BDD672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7713677A"/>
    <w:multiLevelType w:val="multilevel"/>
    <w:tmpl w:val="18DAAF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7E0430E8"/>
    <w:multiLevelType w:val="multilevel"/>
    <w:tmpl w:val="FD425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89656401">
    <w:abstractNumId w:val="24"/>
  </w:num>
  <w:num w:numId="2" w16cid:durableId="94710049">
    <w:abstractNumId w:val="3"/>
  </w:num>
  <w:num w:numId="3" w16cid:durableId="2128693253">
    <w:abstractNumId w:val="40"/>
  </w:num>
  <w:num w:numId="4" w16cid:durableId="1764716291">
    <w:abstractNumId w:val="7"/>
  </w:num>
  <w:num w:numId="5" w16cid:durableId="1426001075">
    <w:abstractNumId w:val="9"/>
  </w:num>
  <w:num w:numId="6" w16cid:durableId="1980190018">
    <w:abstractNumId w:val="50"/>
  </w:num>
  <w:num w:numId="7" w16cid:durableId="309944229">
    <w:abstractNumId w:val="12"/>
  </w:num>
  <w:num w:numId="8" w16cid:durableId="330524657">
    <w:abstractNumId w:val="43"/>
  </w:num>
  <w:num w:numId="9" w16cid:durableId="33820041">
    <w:abstractNumId w:val="17"/>
  </w:num>
  <w:num w:numId="10" w16cid:durableId="887691790">
    <w:abstractNumId w:val="58"/>
  </w:num>
  <w:num w:numId="11" w16cid:durableId="2019498634">
    <w:abstractNumId w:val="14"/>
  </w:num>
  <w:num w:numId="12" w16cid:durableId="1611542773">
    <w:abstractNumId w:val="23"/>
  </w:num>
  <w:num w:numId="13" w16cid:durableId="798841023">
    <w:abstractNumId w:val="52"/>
  </w:num>
  <w:num w:numId="14" w16cid:durableId="761486243">
    <w:abstractNumId w:val="13"/>
  </w:num>
  <w:num w:numId="15" w16cid:durableId="1152909959">
    <w:abstractNumId w:val="62"/>
  </w:num>
  <w:num w:numId="16" w16cid:durableId="1311790770">
    <w:abstractNumId w:val="77"/>
  </w:num>
  <w:num w:numId="17" w16cid:durableId="89737535">
    <w:abstractNumId w:val="60"/>
  </w:num>
  <w:num w:numId="18" w16cid:durableId="187834613">
    <w:abstractNumId w:val="36"/>
  </w:num>
  <w:num w:numId="19" w16cid:durableId="728379220">
    <w:abstractNumId w:val="81"/>
  </w:num>
  <w:num w:numId="20" w16cid:durableId="279144394">
    <w:abstractNumId w:val="57"/>
  </w:num>
  <w:num w:numId="21" w16cid:durableId="983781178">
    <w:abstractNumId w:val="28"/>
  </w:num>
  <w:num w:numId="22" w16cid:durableId="1060250622">
    <w:abstractNumId w:val="33"/>
  </w:num>
  <w:num w:numId="23" w16cid:durableId="501089053">
    <w:abstractNumId w:val="21"/>
  </w:num>
  <w:num w:numId="24" w16cid:durableId="876089038">
    <w:abstractNumId w:val="32"/>
  </w:num>
  <w:num w:numId="25" w16cid:durableId="313491433">
    <w:abstractNumId w:val="62"/>
  </w:num>
  <w:num w:numId="26" w16cid:durableId="380444594">
    <w:abstractNumId w:val="25"/>
  </w:num>
  <w:num w:numId="27" w16cid:durableId="1964921098">
    <w:abstractNumId w:val="86"/>
  </w:num>
  <w:num w:numId="28" w16cid:durableId="537745267">
    <w:abstractNumId w:val="29"/>
  </w:num>
  <w:num w:numId="29" w16cid:durableId="393238123">
    <w:abstractNumId w:val="61"/>
  </w:num>
  <w:num w:numId="30" w16cid:durableId="723216851">
    <w:abstractNumId w:val="4"/>
  </w:num>
  <w:num w:numId="31" w16cid:durableId="701127342">
    <w:abstractNumId w:val="10"/>
  </w:num>
  <w:num w:numId="32" w16cid:durableId="891576051">
    <w:abstractNumId w:val="89"/>
  </w:num>
  <w:num w:numId="33" w16cid:durableId="1772506582">
    <w:abstractNumId w:val="82"/>
  </w:num>
  <w:num w:numId="34" w16cid:durableId="1140728711">
    <w:abstractNumId w:val="11"/>
  </w:num>
  <w:num w:numId="35" w16cid:durableId="830489156">
    <w:abstractNumId w:val="63"/>
  </w:num>
  <w:num w:numId="36" w16cid:durableId="1417902030">
    <w:abstractNumId w:val="15"/>
  </w:num>
  <w:num w:numId="37" w16cid:durableId="2043242721">
    <w:abstractNumId w:val="79"/>
  </w:num>
  <w:num w:numId="38" w16cid:durableId="1113669125">
    <w:abstractNumId w:val="37"/>
  </w:num>
  <w:num w:numId="39" w16cid:durableId="2025588298">
    <w:abstractNumId w:val="18"/>
  </w:num>
  <w:num w:numId="40" w16cid:durableId="1864055895">
    <w:abstractNumId w:val="0"/>
  </w:num>
  <w:num w:numId="41" w16cid:durableId="132598963">
    <w:abstractNumId w:val="26"/>
  </w:num>
  <w:num w:numId="42" w16cid:durableId="1033648327">
    <w:abstractNumId w:val="84"/>
  </w:num>
  <w:num w:numId="43" w16cid:durableId="930821622">
    <w:abstractNumId w:val="56"/>
  </w:num>
  <w:num w:numId="44" w16cid:durableId="1323241969">
    <w:abstractNumId w:val="71"/>
  </w:num>
  <w:num w:numId="45" w16cid:durableId="1960337805">
    <w:abstractNumId w:val="49"/>
  </w:num>
  <w:num w:numId="46" w16cid:durableId="429856248">
    <w:abstractNumId w:val="54"/>
  </w:num>
  <w:num w:numId="47" w16cid:durableId="2086104219">
    <w:abstractNumId w:val="6"/>
  </w:num>
  <w:num w:numId="48" w16cid:durableId="1134442369">
    <w:abstractNumId w:val="19"/>
  </w:num>
  <w:num w:numId="49" w16cid:durableId="209389864">
    <w:abstractNumId w:val="39"/>
  </w:num>
  <w:num w:numId="50" w16cid:durableId="2015645016">
    <w:abstractNumId w:val="31"/>
  </w:num>
  <w:num w:numId="51" w16cid:durableId="1724399863">
    <w:abstractNumId w:val="67"/>
  </w:num>
  <w:num w:numId="52" w16cid:durableId="133987227">
    <w:abstractNumId w:val="45"/>
  </w:num>
  <w:num w:numId="53" w16cid:durableId="880165000">
    <w:abstractNumId w:val="48"/>
  </w:num>
  <w:num w:numId="54" w16cid:durableId="1573735494">
    <w:abstractNumId w:val="65"/>
  </w:num>
  <w:num w:numId="55" w16cid:durableId="1705977285">
    <w:abstractNumId w:val="73"/>
    <w:lvlOverride w:ilvl="0">
      <w:lvl w:ilvl="0">
        <w:numFmt w:val="bullet"/>
        <w:lvlText w:val="o"/>
        <w:lvlJc w:val="left"/>
        <w:pPr>
          <w:tabs>
            <w:tab w:val="num" w:pos="720"/>
          </w:tabs>
          <w:ind w:left="720" w:hanging="360"/>
        </w:pPr>
        <w:rPr>
          <w:rFonts w:ascii="Courier New" w:hAnsi="Courier New" w:hint="default"/>
          <w:sz w:val="20"/>
        </w:rPr>
      </w:lvl>
    </w:lvlOverride>
  </w:num>
  <w:num w:numId="56" w16cid:durableId="65153108">
    <w:abstractNumId w:val="30"/>
  </w:num>
  <w:num w:numId="57" w16cid:durableId="1309044604">
    <w:abstractNumId w:val="5"/>
  </w:num>
  <w:num w:numId="58" w16cid:durableId="1167937894">
    <w:abstractNumId w:val="64"/>
  </w:num>
  <w:num w:numId="59" w16cid:durableId="2004894794">
    <w:abstractNumId w:val="53"/>
  </w:num>
  <w:num w:numId="60" w16cid:durableId="246235877">
    <w:abstractNumId w:val="74"/>
  </w:num>
  <w:num w:numId="61" w16cid:durableId="32461654">
    <w:abstractNumId w:val="47"/>
  </w:num>
  <w:num w:numId="62" w16cid:durableId="1189414349">
    <w:abstractNumId w:val="55"/>
  </w:num>
  <w:num w:numId="63" w16cid:durableId="1002927114">
    <w:abstractNumId w:val="8"/>
  </w:num>
  <w:num w:numId="64" w16cid:durableId="1982539825">
    <w:abstractNumId w:val="38"/>
  </w:num>
  <w:num w:numId="65" w16cid:durableId="755246762">
    <w:abstractNumId w:val="1"/>
  </w:num>
  <w:num w:numId="66" w16cid:durableId="2139715596">
    <w:abstractNumId w:val="80"/>
  </w:num>
  <w:num w:numId="67" w16cid:durableId="1041321144">
    <w:abstractNumId w:val="22"/>
  </w:num>
  <w:num w:numId="68" w16cid:durableId="2032140942">
    <w:abstractNumId w:val="83"/>
  </w:num>
  <w:num w:numId="69" w16cid:durableId="1110591152">
    <w:abstractNumId w:val="59"/>
  </w:num>
  <w:num w:numId="70" w16cid:durableId="1398689">
    <w:abstractNumId w:val="85"/>
  </w:num>
  <w:num w:numId="71" w16cid:durableId="347565021">
    <w:abstractNumId w:val="20"/>
  </w:num>
  <w:num w:numId="72" w16cid:durableId="1321426357">
    <w:abstractNumId w:val="51"/>
  </w:num>
  <w:num w:numId="73" w16cid:durableId="619726004">
    <w:abstractNumId w:val="46"/>
  </w:num>
  <w:num w:numId="74" w16cid:durableId="1842699892">
    <w:abstractNumId w:val="66"/>
  </w:num>
  <w:num w:numId="75" w16cid:durableId="1185753108">
    <w:abstractNumId w:val="16"/>
  </w:num>
  <w:num w:numId="76" w16cid:durableId="841942366">
    <w:abstractNumId w:val="78"/>
  </w:num>
  <w:num w:numId="77" w16cid:durableId="663974766">
    <w:abstractNumId w:val="70"/>
  </w:num>
  <w:num w:numId="78" w16cid:durableId="125438715">
    <w:abstractNumId w:val="75"/>
  </w:num>
  <w:num w:numId="79" w16cid:durableId="159199233">
    <w:abstractNumId w:val="76"/>
  </w:num>
  <w:num w:numId="80" w16cid:durableId="1497645015">
    <w:abstractNumId w:val="27"/>
  </w:num>
  <w:num w:numId="81" w16cid:durableId="1703289927">
    <w:abstractNumId w:val="35"/>
  </w:num>
  <w:num w:numId="82" w16cid:durableId="1730688507">
    <w:abstractNumId w:val="2"/>
  </w:num>
  <w:num w:numId="83" w16cid:durableId="748618334">
    <w:abstractNumId w:val="87"/>
  </w:num>
  <w:num w:numId="84" w16cid:durableId="268658175">
    <w:abstractNumId w:val="72"/>
  </w:num>
  <w:num w:numId="85" w16cid:durableId="755901184">
    <w:abstractNumId w:val="34"/>
  </w:num>
  <w:num w:numId="86" w16cid:durableId="181628692">
    <w:abstractNumId w:val="88"/>
  </w:num>
  <w:num w:numId="87" w16cid:durableId="1227453632">
    <w:abstractNumId w:val="69"/>
  </w:num>
  <w:num w:numId="88" w16cid:durableId="1955137482">
    <w:abstractNumId w:val="42"/>
  </w:num>
  <w:num w:numId="89" w16cid:durableId="203564328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578714891">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65406487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82177285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66532309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00"/>
  <w:displayHorizontalDrawingGridEvery w:val="2"/>
  <w:characterSpacingControl w:val="doNotCompress"/>
  <w:hdrShapeDefaults>
    <o:shapedefaults v:ext="edit" spidmax="2050" fillcolor="none [3215]" stroke="f">
      <v:fill color="none [3215]"/>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9D5"/>
    <w:rsid w:val="00000267"/>
    <w:rsid w:val="00000E07"/>
    <w:rsid w:val="000010DC"/>
    <w:rsid w:val="00001404"/>
    <w:rsid w:val="00002F7F"/>
    <w:rsid w:val="00002F85"/>
    <w:rsid w:val="000046CA"/>
    <w:rsid w:val="00005CEB"/>
    <w:rsid w:val="00006B9F"/>
    <w:rsid w:val="00006DC6"/>
    <w:rsid w:val="00007406"/>
    <w:rsid w:val="00007EFD"/>
    <w:rsid w:val="00011B56"/>
    <w:rsid w:val="000148A7"/>
    <w:rsid w:val="00015271"/>
    <w:rsid w:val="00015598"/>
    <w:rsid w:val="00015F3F"/>
    <w:rsid w:val="000165FF"/>
    <w:rsid w:val="00016C1C"/>
    <w:rsid w:val="000203C2"/>
    <w:rsid w:val="00020F7F"/>
    <w:rsid w:val="00020F8D"/>
    <w:rsid w:val="000219D0"/>
    <w:rsid w:val="00022D33"/>
    <w:rsid w:val="00023712"/>
    <w:rsid w:val="0002400B"/>
    <w:rsid w:val="00025387"/>
    <w:rsid w:val="00027B5F"/>
    <w:rsid w:val="0003004A"/>
    <w:rsid w:val="000308DC"/>
    <w:rsid w:val="00031309"/>
    <w:rsid w:val="000317A6"/>
    <w:rsid w:val="000324F8"/>
    <w:rsid w:val="00033E5E"/>
    <w:rsid w:val="00035288"/>
    <w:rsid w:val="0003687B"/>
    <w:rsid w:val="000377D1"/>
    <w:rsid w:val="00040BC7"/>
    <w:rsid w:val="00041787"/>
    <w:rsid w:val="00041E14"/>
    <w:rsid w:val="00042109"/>
    <w:rsid w:val="00042C74"/>
    <w:rsid w:val="00043650"/>
    <w:rsid w:val="00044237"/>
    <w:rsid w:val="000444FF"/>
    <w:rsid w:val="00045467"/>
    <w:rsid w:val="00045816"/>
    <w:rsid w:val="000473AE"/>
    <w:rsid w:val="00047714"/>
    <w:rsid w:val="000506A5"/>
    <w:rsid w:val="00050ACB"/>
    <w:rsid w:val="00051862"/>
    <w:rsid w:val="0005222A"/>
    <w:rsid w:val="00053B82"/>
    <w:rsid w:val="00054C40"/>
    <w:rsid w:val="00055A6A"/>
    <w:rsid w:val="00055BAE"/>
    <w:rsid w:val="0005674C"/>
    <w:rsid w:val="000606D1"/>
    <w:rsid w:val="00061068"/>
    <w:rsid w:val="000619A2"/>
    <w:rsid w:val="00061DA1"/>
    <w:rsid w:val="00063503"/>
    <w:rsid w:val="00063BE4"/>
    <w:rsid w:val="00064A4C"/>
    <w:rsid w:val="00064B40"/>
    <w:rsid w:val="00064EB8"/>
    <w:rsid w:val="0006530A"/>
    <w:rsid w:val="0006740D"/>
    <w:rsid w:val="0006794E"/>
    <w:rsid w:val="000679F1"/>
    <w:rsid w:val="00067EC5"/>
    <w:rsid w:val="00070164"/>
    <w:rsid w:val="00070486"/>
    <w:rsid w:val="00070875"/>
    <w:rsid w:val="000713BA"/>
    <w:rsid w:val="000761A6"/>
    <w:rsid w:val="00076C97"/>
    <w:rsid w:val="000778D4"/>
    <w:rsid w:val="00077EBF"/>
    <w:rsid w:val="00080AF8"/>
    <w:rsid w:val="0008139D"/>
    <w:rsid w:val="00081A57"/>
    <w:rsid w:val="00081A58"/>
    <w:rsid w:val="00082CD9"/>
    <w:rsid w:val="00083051"/>
    <w:rsid w:val="000847B3"/>
    <w:rsid w:val="000874BA"/>
    <w:rsid w:val="00087C5B"/>
    <w:rsid w:val="00090132"/>
    <w:rsid w:val="000905BA"/>
    <w:rsid w:val="00090AAB"/>
    <w:rsid w:val="00091458"/>
    <w:rsid w:val="0009340E"/>
    <w:rsid w:val="00094408"/>
    <w:rsid w:val="00096CE6"/>
    <w:rsid w:val="00096F31"/>
    <w:rsid w:val="000A0570"/>
    <w:rsid w:val="000A0836"/>
    <w:rsid w:val="000A1F3F"/>
    <w:rsid w:val="000A38AA"/>
    <w:rsid w:val="000A4154"/>
    <w:rsid w:val="000A4352"/>
    <w:rsid w:val="000A51EE"/>
    <w:rsid w:val="000A6014"/>
    <w:rsid w:val="000A6F12"/>
    <w:rsid w:val="000A744F"/>
    <w:rsid w:val="000B0862"/>
    <w:rsid w:val="000B1068"/>
    <w:rsid w:val="000B319E"/>
    <w:rsid w:val="000B510F"/>
    <w:rsid w:val="000B5AFD"/>
    <w:rsid w:val="000B61EE"/>
    <w:rsid w:val="000B62A0"/>
    <w:rsid w:val="000B65CE"/>
    <w:rsid w:val="000B741C"/>
    <w:rsid w:val="000B7AC9"/>
    <w:rsid w:val="000B7E22"/>
    <w:rsid w:val="000C009C"/>
    <w:rsid w:val="000C0DC8"/>
    <w:rsid w:val="000C10E3"/>
    <w:rsid w:val="000C312A"/>
    <w:rsid w:val="000C31A6"/>
    <w:rsid w:val="000C3423"/>
    <w:rsid w:val="000C4821"/>
    <w:rsid w:val="000C56BD"/>
    <w:rsid w:val="000C5D73"/>
    <w:rsid w:val="000C5EEC"/>
    <w:rsid w:val="000C6F10"/>
    <w:rsid w:val="000D21C3"/>
    <w:rsid w:val="000D3B7B"/>
    <w:rsid w:val="000D3C42"/>
    <w:rsid w:val="000D3C62"/>
    <w:rsid w:val="000D4527"/>
    <w:rsid w:val="000E0E16"/>
    <w:rsid w:val="000E126D"/>
    <w:rsid w:val="000E14AD"/>
    <w:rsid w:val="000E2F96"/>
    <w:rsid w:val="000E3802"/>
    <w:rsid w:val="000E5D59"/>
    <w:rsid w:val="000E6525"/>
    <w:rsid w:val="000E65B2"/>
    <w:rsid w:val="000E751E"/>
    <w:rsid w:val="000E7917"/>
    <w:rsid w:val="000E7BB5"/>
    <w:rsid w:val="000E7E78"/>
    <w:rsid w:val="000F118B"/>
    <w:rsid w:val="000F1586"/>
    <w:rsid w:val="000F4700"/>
    <w:rsid w:val="000F4EB8"/>
    <w:rsid w:val="000F5BBE"/>
    <w:rsid w:val="000F76FF"/>
    <w:rsid w:val="000F77C6"/>
    <w:rsid w:val="000F7C5A"/>
    <w:rsid w:val="001002E4"/>
    <w:rsid w:val="00100753"/>
    <w:rsid w:val="001013F4"/>
    <w:rsid w:val="001015D1"/>
    <w:rsid w:val="00101E7E"/>
    <w:rsid w:val="001026F1"/>
    <w:rsid w:val="00103591"/>
    <w:rsid w:val="00105AA9"/>
    <w:rsid w:val="00106911"/>
    <w:rsid w:val="001074A4"/>
    <w:rsid w:val="00111324"/>
    <w:rsid w:val="00111544"/>
    <w:rsid w:val="001115BC"/>
    <w:rsid w:val="00112A1C"/>
    <w:rsid w:val="00113D7F"/>
    <w:rsid w:val="0011421B"/>
    <w:rsid w:val="00116C85"/>
    <w:rsid w:val="00117512"/>
    <w:rsid w:val="001179B7"/>
    <w:rsid w:val="00117D9C"/>
    <w:rsid w:val="001226BE"/>
    <w:rsid w:val="00123EF1"/>
    <w:rsid w:val="00124E9B"/>
    <w:rsid w:val="00125AFC"/>
    <w:rsid w:val="00125D74"/>
    <w:rsid w:val="00126AFF"/>
    <w:rsid w:val="00126DC3"/>
    <w:rsid w:val="00127187"/>
    <w:rsid w:val="00127829"/>
    <w:rsid w:val="00130007"/>
    <w:rsid w:val="00130727"/>
    <w:rsid w:val="00130745"/>
    <w:rsid w:val="00132EED"/>
    <w:rsid w:val="00135200"/>
    <w:rsid w:val="00135AE9"/>
    <w:rsid w:val="00137B03"/>
    <w:rsid w:val="0014062F"/>
    <w:rsid w:val="00141457"/>
    <w:rsid w:val="001415DD"/>
    <w:rsid w:val="001420B0"/>
    <w:rsid w:val="00142199"/>
    <w:rsid w:val="00142F9D"/>
    <w:rsid w:val="001436B6"/>
    <w:rsid w:val="00144864"/>
    <w:rsid w:val="00145205"/>
    <w:rsid w:val="001469D4"/>
    <w:rsid w:val="00146E85"/>
    <w:rsid w:val="0014703A"/>
    <w:rsid w:val="001476BD"/>
    <w:rsid w:val="001476BE"/>
    <w:rsid w:val="0015001A"/>
    <w:rsid w:val="0015303F"/>
    <w:rsid w:val="00155FE3"/>
    <w:rsid w:val="00157444"/>
    <w:rsid w:val="001604B6"/>
    <w:rsid w:val="0016454D"/>
    <w:rsid w:val="00164A8D"/>
    <w:rsid w:val="00165AC0"/>
    <w:rsid w:val="00166AE4"/>
    <w:rsid w:val="00166F4F"/>
    <w:rsid w:val="00167EE0"/>
    <w:rsid w:val="00167F7E"/>
    <w:rsid w:val="00170238"/>
    <w:rsid w:val="001708CB"/>
    <w:rsid w:val="00170DF6"/>
    <w:rsid w:val="00174043"/>
    <w:rsid w:val="00176D38"/>
    <w:rsid w:val="00180895"/>
    <w:rsid w:val="00181EAE"/>
    <w:rsid w:val="001824CB"/>
    <w:rsid w:val="00182598"/>
    <w:rsid w:val="001827F1"/>
    <w:rsid w:val="00184855"/>
    <w:rsid w:val="00185379"/>
    <w:rsid w:val="001856FB"/>
    <w:rsid w:val="00185720"/>
    <w:rsid w:val="00185E01"/>
    <w:rsid w:val="00185F6F"/>
    <w:rsid w:val="001861C1"/>
    <w:rsid w:val="00187218"/>
    <w:rsid w:val="00190483"/>
    <w:rsid w:val="00192241"/>
    <w:rsid w:val="00192A42"/>
    <w:rsid w:val="00192F51"/>
    <w:rsid w:val="00193397"/>
    <w:rsid w:val="00197937"/>
    <w:rsid w:val="00197C7A"/>
    <w:rsid w:val="001A0166"/>
    <w:rsid w:val="001A01CF"/>
    <w:rsid w:val="001A129B"/>
    <w:rsid w:val="001A1C17"/>
    <w:rsid w:val="001A24EE"/>
    <w:rsid w:val="001A2696"/>
    <w:rsid w:val="001A529E"/>
    <w:rsid w:val="001A6378"/>
    <w:rsid w:val="001B0E94"/>
    <w:rsid w:val="001B154C"/>
    <w:rsid w:val="001B1E72"/>
    <w:rsid w:val="001B2382"/>
    <w:rsid w:val="001B3327"/>
    <w:rsid w:val="001B34FF"/>
    <w:rsid w:val="001B3C7F"/>
    <w:rsid w:val="001B58F2"/>
    <w:rsid w:val="001B678D"/>
    <w:rsid w:val="001C2061"/>
    <w:rsid w:val="001C28BE"/>
    <w:rsid w:val="001C32F9"/>
    <w:rsid w:val="001C447B"/>
    <w:rsid w:val="001C47A5"/>
    <w:rsid w:val="001C4FE3"/>
    <w:rsid w:val="001C5F00"/>
    <w:rsid w:val="001C6473"/>
    <w:rsid w:val="001C6506"/>
    <w:rsid w:val="001C6C6B"/>
    <w:rsid w:val="001C6D16"/>
    <w:rsid w:val="001D0A91"/>
    <w:rsid w:val="001D11DC"/>
    <w:rsid w:val="001D1AF5"/>
    <w:rsid w:val="001D1EDF"/>
    <w:rsid w:val="001D2237"/>
    <w:rsid w:val="001D29AE"/>
    <w:rsid w:val="001D3DD1"/>
    <w:rsid w:val="001D4D60"/>
    <w:rsid w:val="001D523B"/>
    <w:rsid w:val="001D65CA"/>
    <w:rsid w:val="001E019F"/>
    <w:rsid w:val="001E06FE"/>
    <w:rsid w:val="001E2F91"/>
    <w:rsid w:val="001E31A4"/>
    <w:rsid w:val="001E3EA7"/>
    <w:rsid w:val="001E41D9"/>
    <w:rsid w:val="001E5304"/>
    <w:rsid w:val="001E57D6"/>
    <w:rsid w:val="001E620F"/>
    <w:rsid w:val="001E62C4"/>
    <w:rsid w:val="001E6A5E"/>
    <w:rsid w:val="001E6CE0"/>
    <w:rsid w:val="001E725C"/>
    <w:rsid w:val="001E7349"/>
    <w:rsid w:val="001F0210"/>
    <w:rsid w:val="001F0793"/>
    <w:rsid w:val="001F0DAD"/>
    <w:rsid w:val="001F2BB2"/>
    <w:rsid w:val="001F2C4E"/>
    <w:rsid w:val="001F3220"/>
    <w:rsid w:val="001F55E5"/>
    <w:rsid w:val="001F55EB"/>
    <w:rsid w:val="001F71F1"/>
    <w:rsid w:val="001F7587"/>
    <w:rsid w:val="001F765D"/>
    <w:rsid w:val="001F798F"/>
    <w:rsid w:val="002014CF"/>
    <w:rsid w:val="00202810"/>
    <w:rsid w:val="00202C76"/>
    <w:rsid w:val="002030A3"/>
    <w:rsid w:val="00203710"/>
    <w:rsid w:val="00204B5E"/>
    <w:rsid w:val="00204F10"/>
    <w:rsid w:val="00205D40"/>
    <w:rsid w:val="00207E36"/>
    <w:rsid w:val="00210620"/>
    <w:rsid w:val="002108D1"/>
    <w:rsid w:val="0021094E"/>
    <w:rsid w:val="0021109C"/>
    <w:rsid w:val="00211991"/>
    <w:rsid w:val="002137AA"/>
    <w:rsid w:val="00213C42"/>
    <w:rsid w:val="0021543C"/>
    <w:rsid w:val="00215D7C"/>
    <w:rsid w:val="00215E7D"/>
    <w:rsid w:val="00217154"/>
    <w:rsid w:val="002219F5"/>
    <w:rsid w:val="00221B74"/>
    <w:rsid w:val="00221FC9"/>
    <w:rsid w:val="002228B6"/>
    <w:rsid w:val="00222EC0"/>
    <w:rsid w:val="00224BA5"/>
    <w:rsid w:val="00230266"/>
    <w:rsid w:val="00231135"/>
    <w:rsid w:val="002330A0"/>
    <w:rsid w:val="00234835"/>
    <w:rsid w:val="00234F3A"/>
    <w:rsid w:val="0023514D"/>
    <w:rsid w:val="002353A9"/>
    <w:rsid w:val="00235653"/>
    <w:rsid w:val="0023597B"/>
    <w:rsid w:val="00235E6E"/>
    <w:rsid w:val="0023617D"/>
    <w:rsid w:val="00236445"/>
    <w:rsid w:val="00237BCC"/>
    <w:rsid w:val="002407B2"/>
    <w:rsid w:val="00240985"/>
    <w:rsid w:val="00240FCD"/>
    <w:rsid w:val="00241695"/>
    <w:rsid w:val="00243644"/>
    <w:rsid w:val="002445FF"/>
    <w:rsid w:val="0024482C"/>
    <w:rsid w:val="00245400"/>
    <w:rsid w:val="00245C02"/>
    <w:rsid w:val="00245E7F"/>
    <w:rsid w:val="00247067"/>
    <w:rsid w:val="00247954"/>
    <w:rsid w:val="002504DF"/>
    <w:rsid w:val="002534B3"/>
    <w:rsid w:val="002542AB"/>
    <w:rsid w:val="0025481F"/>
    <w:rsid w:val="00255ECC"/>
    <w:rsid w:val="00256B17"/>
    <w:rsid w:val="00257062"/>
    <w:rsid w:val="002570A9"/>
    <w:rsid w:val="00257526"/>
    <w:rsid w:val="00257794"/>
    <w:rsid w:val="00260B1B"/>
    <w:rsid w:val="00260CA3"/>
    <w:rsid w:val="002627A5"/>
    <w:rsid w:val="002628D1"/>
    <w:rsid w:val="002639CC"/>
    <w:rsid w:val="00263AE9"/>
    <w:rsid w:val="0026608B"/>
    <w:rsid w:val="00266A04"/>
    <w:rsid w:val="00267225"/>
    <w:rsid w:val="00270109"/>
    <w:rsid w:val="00270144"/>
    <w:rsid w:val="002709D2"/>
    <w:rsid w:val="00273234"/>
    <w:rsid w:val="002736C6"/>
    <w:rsid w:val="00273D52"/>
    <w:rsid w:val="002745E9"/>
    <w:rsid w:val="0027472A"/>
    <w:rsid w:val="00274FAC"/>
    <w:rsid w:val="00275248"/>
    <w:rsid w:val="00275813"/>
    <w:rsid w:val="00276748"/>
    <w:rsid w:val="00276DF5"/>
    <w:rsid w:val="00277441"/>
    <w:rsid w:val="00280476"/>
    <w:rsid w:val="00280B10"/>
    <w:rsid w:val="002812A6"/>
    <w:rsid w:val="0028199C"/>
    <w:rsid w:val="00281EAB"/>
    <w:rsid w:val="00281F92"/>
    <w:rsid w:val="002825BF"/>
    <w:rsid w:val="00282F45"/>
    <w:rsid w:val="00283175"/>
    <w:rsid w:val="002833F5"/>
    <w:rsid w:val="002850FC"/>
    <w:rsid w:val="0028516D"/>
    <w:rsid w:val="00285547"/>
    <w:rsid w:val="0028561C"/>
    <w:rsid w:val="00285AAD"/>
    <w:rsid w:val="0028639C"/>
    <w:rsid w:val="002878B8"/>
    <w:rsid w:val="00287BBC"/>
    <w:rsid w:val="002908C9"/>
    <w:rsid w:val="00292BF1"/>
    <w:rsid w:val="00294DF1"/>
    <w:rsid w:val="002960CE"/>
    <w:rsid w:val="00296433"/>
    <w:rsid w:val="00296814"/>
    <w:rsid w:val="00297CF4"/>
    <w:rsid w:val="002A07D8"/>
    <w:rsid w:val="002A0C42"/>
    <w:rsid w:val="002A3761"/>
    <w:rsid w:val="002A4114"/>
    <w:rsid w:val="002A4E44"/>
    <w:rsid w:val="002A5354"/>
    <w:rsid w:val="002A7864"/>
    <w:rsid w:val="002B10D1"/>
    <w:rsid w:val="002B1624"/>
    <w:rsid w:val="002B1CD2"/>
    <w:rsid w:val="002B2426"/>
    <w:rsid w:val="002B27CC"/>
    <w:rsid w:val="002B298D"/>
    <w:rsid w:val="002B3373"/>
    <w:rsid w:val="002B4C2E"/>
    <w:rsid w:val="002B4C86"/>
    <w:rsid w:val="002B5288"/>
    <w:rsid w:val="002B53AE"/>
    <w:rsid w:val="002B60B6"/>
    <w:rsid w:val="002B6176"/>
    <w:rsid w:val="002B6BEC"/>
    <w:rsid w:val="002B7A82"/>
    <w:rsid w:val="002B7C8E"/>
    <w:rsid w:val="002C0004"/>
    <w:rsid w:val="002C016F"/>
    <w:rsid w:val="002C0347"/>
    <w:rsid w:val="002C29F8"/>
    <w:rsid w:val="002C3ABA"/>
    <w:rsid w:val="002C4763"/>
    <w:rsid w:val="002C6FB3"/>
    <w:rsid w:val="002D0A6D"/>
    <w:rsid w:val="002D1B11"/>
    <w:rsid w:val="002D2514"/>
    <w:rsid w:val="002D38DD"/>
    <w:rsid w:val="002D4F4C"/>
    <w:rsid w:val="002D5CE4"/>
    <w:rsid w:val="002D5DC3"/>
    <w:rsid w:val="002D6616"/>
    <w:rsid w:val="002D6FED"/>
    <w:rsid w:val="002E02BA"/>
    <w:rsid w:val="002E11FC"/>
    <w:rsid w:val="002E1E04"/>
    <w:rsid w:val="002E23A1"/>
    <w:rsid w:val="002E2AA4"/>
    <w:rsid w:val="002E481F"/>
    <w:rsid w:val="002E4B69"/>
    <w:rsid w:val="002E5B95"/>
    <w:rsid w:val="002E6590"/>
    <w:rsid w:val="002E7455"/>
    <w:rsid w:val="002F02A4"/>
    <w:rsid w:val="002F323F"/>
    <w:rsid w:val="002F3B91"/>
    <w:rsid w:val="002F5BB2"/>
    <w:rsid w:val="002F6082"/>
    <w:rsid w:val="002F6BF5"/>
    <w:rsid w:val="002F7A8E"/>
    <w:rsid w:val="002F7CF0"/>
    <w:rsid w:val="002F7E09"/>
    <w:rsid w:val="0030011D"/>
    <w:rsid w:val="00301999"/>
    <w:rsid w:val="00302BCF"/>
    <w:rsid w:val="00303067"/>
    <w:rsid w:val="00304820"/>
    <w:rsid w:val="00304D30"/>
    <w:rsid w:val="003052E2"/>
    <w:rsid w:val="00306F4B"/>
    <w:rsid w:val="00310381"/>
    <w:rsid w:val="003103E1"/>
    <w:rsid w:val="0031090D"/>
    <w:rsid w:val="00310CB2"/>
    <w:rsid w:val="0031355C"/>
    <w:rsid w:val="00313D7F"/>
    <w:rsid w:val="003146EB"/>
    <w:rsid w:val="00315CD9"/>
    <w:rsid w:val="003173DA"/>
    <w:rsid w:val="00317710"/>
    <w:rsid w:val="00321252"/>
    <w:rsid w:val="00324F7E"/>
    <w:rsid w:val="003250F7"/>
    <w:rsid w:val="00325697"/>
    <w:rsid w:val="00325C37"/>
    <w:rsid w:val="00325FD3"/>
    <w:rsid w:val="0032654B"/>
    <w:rsid w:val="003270A5"/>
    <w:rsid w:val="00327C6B"/>
    <w:rsid w:val="00330EAA"/>
    <w:rsid w:val="003318BA"/>
    <w:rsid w:val="00331DAA"/>
    <w:rsid w:val="003333C5"/>
    <w:rsid w:val="003343D7"/>
    <w:rsid w:val="00334CDC"/>
    <w:rsid w:val="003356E3"/>
    <w:rsid w:val="003364E5"/>
    <w:rsid w:val="00340545"/>
    <w:rsid w:val="00340549"/>
    <w:rsid w:val="0034289D"/>
    <w:rsid w:val="00342966"/>
    <w:rsid w:val="003445FC"/>
    <w:rsid w:val="00346235"/>
    <w:rsid w:val="00350B99"/>
    <w:rsid w:val="00351241"/>
    <w:rsid w:val="00351DE1"/>
    <w:rsid w:val="00351FA6"/>
    <w:rsid w:val="003522D8"/>
    <w:rsid w:val="00352966"/>
    <w:rsid w:val="0035350F"/>
    <w:rsid w:val="0035429F"/>
    <w:rsid w:val="00354ADA"/>
    <w:rsid w:val="00357046"/>
    <w:rsid w:val="00357088"/>
    <w:rsid w:val="00360109"/>
    <w:rsid w:val="00360615"/>
    <w:rsid w:val="0036123B"/>
    <w:rsid w:val="003613F0"/>
    <w:rsid w:val="00361597"/>
    <w:rsid w:val="00366205"/>
    <w:rsid w:val="00367142"/>
    <w:rsid w:val="00367462"/>
    <w:rsid w:val="00367555"/>
    <w:rsid w:val="00367708"/>
    <w:rsid w:val="00367B96"/>
    <w:rsid w:val="00373B4F"/>
    <w:rsid w:val="0037694D"/>
    <w:rsid w:val="0037696F"/>
    <w:rsid w:val="003769C7"/>
    <w:rsid w:val="00377556"/>
    <w:rsid w:val="003779E0"/>
    <w:rsid w:val="0038008F"/>
    <w:rsid w:val="0038033A"/>
    <w:rsid w:val="00380C58"/>
    <w:rsid w:val="00380F77"/>
    <w:rsid w:val="00381350"/>
    <w:rsid w:val="0038213B"/>
    <w:rsid w:val="00382A9D"/>
    <w:rsid w:val="003836F7"/>
    <w:rsid w:val="00384AB2"/>
    <w:rsid w:val="003854AB"/>
    <w:rsid w:val="00385B5F"/>
    <w:rsid w:val="00392372"/>
    <w:rsid w:val="00392564"/>
    <w:rsid w:val="003929DD"/>
    <w:rsid w:val="003946EC"/>
    <w:rsid w:val="003950F9"/>
    <w:rsid w:val="003955B3"/>
    <w:rsid w:val="00396422"/>
    <w:rsid w:val="003A046D"/>
    <w:rsid w:val="003A0783"/>
    <w:rsid w:val="003A10D3"/>
    <w:rsid w:val="003A1137"/>
    <w:rsid w:val="003A1DD5"/>
    <w:rsid w:val="003A2E2A"/>
    <w:rsid w:val="003A3C92"/>
    <w:rsid w:val="003A4A6F"/>
    <w:rsid w:val="003A4CDC"/>
    <w:rsid w:val="003A797E"/>
    <w:rsid w:val="003B1871"/>
    <w:rsid w:val="003B1B8B"/>
    <w:rsid w:val="003B326B"/>
    <w:rsid w:val="003B429A"/>
    <w:rsid w:val="003B5733"/>
    <w:rsid w:val="003B5AAE"/>
    <w:rsid w:val="003B5C06"/>
    <w:rsid w:val="003B6AA0"/>
    <w:rsid w:val="003B752C"/>
    <w:rsid w:val="003B7938"/>
    <w:rsid w:val="003C08A5"/>
    <w:rsid w:val="003C0EFE"/>
    <w:rsid w:val="003C1B0D"/>
    <w:rsid w:val="003C3D9B"/>
    <w:rsid w:val="003C42CF"/>
    <w:rsid w:val="003C52DC"/>
    <w:rsid w:val="003C71A5"/>
    <w:rsid w:val="003C7710"/>
    <w:rsid w:val="003C7E3E"/>
    <w:rsid w:val="003D06E6"/>
    <w:rsid w:val="003D20AF"/>
    <w:rsid w:val="003D28AE"/>
    <w:rsid w:val="003D3282"/>
    <w:rsid w:val="003D41CD"/>
    <w:rsid w:val="003D429E"/>
    <w:rsid w:val="003D51A5"/>
    <w:rsid w:val="003D5331"/>
    <w:rsid w:val="003D54AD"/>
    <w:rsid w:val="003D708E"/>
    <w:rsid w:val="003E0A22"/>
    <w:rsid w:val="003E1EAF"/>
    <w:rsid w:val="003E3D8E"/>
    <w:rsid w:val="003E4C68"/>
    <w:rsid w:val="003E6FC9"/>
    <w:rsid w:val="003F0189"/>
    <w:rsid w:val="003F1BDC"/>
    <w:rsid w:val="003F2926"/>
    <w:rsid w:val="003F2A12"/>
    <w:rsid w:val="003F4C35"/>
    <w:rsid w:val="003F56F2"/>
    <w:rsid w:val="003F70F7"/>
    <w:rsid w:val="003F7436"/>
    <w:rsid w:val="004007E3"/>
    <w:rsid w:val="00400C5B"/>
    <w:rsid w:val="00400D4D"/>
    <w:rsid w:val="00402A1E"/>
    <w:rsid w:val="00403848"/>
    <w:rsid w:val="0040384E"/>
    <w:rsid w:val="004038BD"/>
    <w:rsid w:val="00404399"/>
    <w:rsid w:val="00404528"/>
    <w:rsid w:val="00404ADC"/>
    <w:rsid w:val="004059BA"/>
    <w:rsid w:val="00405C3C"/>
    <w:rsid w:val="0040648C"/>
    <w:rsid w:val="00406928"/>
    <w:rsid w:val="00406BD8"/>
    <w:rsid w:val="00410435"/>
    <w:rsid w:val="00410D4B"/>
    <w:rsid w:val="00410FEA"/>
    <w:rsid w:val="00411104"/>
    <w:rsid w:val="00412140"/>
    <w:rsid w:val="00412358"/>
    <w:rsid w:val="0041236B"/>
    <w:rsid w:val="004138E6"/>
    <w:rsid w:val="00414885"/>
    <w:rsid w:val="0041517E"/>
    <w:rsid w:val="00415D8B"/>
    <w:rsid w:val="00416280"/>
    <w:rsid w:val="00416B9F"/>
    <w:rsid w:val="0041762D"/>
    <w:rsid w:val="00417CA1"/>
    <w:rsid w:val="0042103E"/>
    <w:rsid w:val="00421D22"/>
    <w:rsid w:val="00422095"/>
    <w:rsid w:val="00423054"/>
    <w:rsid w:val="004256E9"/>
    <w:rsid w:val="004259D5"/>
    <w:rsid w:val="00425FC5"/>
    <w:rsid w:val="00432309"/>
    <w:rsid w:val="00432A28"/>
    <w:rsid w:val="00433033"/>
    <w:rsid w:val="004343B3"/>
    <w:rsid w:val="004346D6"/>
    <w:rsid w:val="004348F0"/>
    <w:rsid w:val="00435286"/>
    <w:rsid w:val="00436418"/>
    <w:rsid w:val="00437DC1"/>
    <w:rsid w:val="0044104E"/>
    <w:rsid w:val="0044108D"/>
    <w:rsid w:val="00441864"/>
    <w:rsid w:val="004419A5"/>
    <w:rsid w:val="004425FD"/>
    <w:rsid w:val="00442DFE"/>
    <w:rsid w:val="00442F25"/>
    <w:rsid w:val="004435DF"/>
    <w:rsid w:val="004438FA"/>
    <w:rsid w:val="004465CA"/>
    <w:rsid w:val="00446AAF"/>
    <w:rsid w:val="00450038"/>
    <w:rsid w:val="00450239"/>
    <w:rsid w:val="00450840"/>
    <w:rsid w:val="00450C77"/>
    <w:rsid w:val="00450E38"/>
    <w:rsid w:val="00452188"/>
    <w:rsid w:val="004521EC"/>
    <w:rsid w:val="00453A75"/>
    <w:rsid w:val="0045450B"/>
    <w:rsid w:val="004546E4"/>
    <w:rsid w:val="00455C8F"/>
    <w:rsid w:val="00455EDD"/>
    <w:rsid w:val="004563B5"/>
    <w:rsid w:val="00456E8B"/>
    <w:rsid w:val="004574EC"/>
    <w:rsid w:val="00460052"/>
    <w:rsid w:val="00461AF8"/>
    <w:rsid w:val="00462400"/>
    <w:rsid w:val="0046265A"/>
    <w:rsid w:val="00463277"/>
    <w:rsid w:val="004641B2"/>
    <w:rsid w:val="0046540E"/>
    <w:rsid w:val="00465A6D"/>
    <w:rsid w:val="00465D73"/>
    <w:rsid w:val="00466C53"/>
    <w:rsid w:val="0047015C"/>
    <w:rsid w:val="00470697"/>
    <w:rsid w:val="00471E7F"/>
    <w:rsid w:val="004726F1"/>
    <w:rsid w:val="0047382B"/>
    <w:rsid w:val="00474A08"/>
    <w:rsid w:val="00475CE4"/>
    <w:rsid w:val="00477D62"/>
    <w:rsid w:val="004806E1"/>
    <w:rsid w:val="00480BDE"/>
    <w:rsid w:val="00480C7A"/>
    <w:rsid w:val="00482B86"/>
    <w:rsid w:val="00483E95"/>
    <w:rsid w:val="0048436D"/>
    <w:rsid w:val="004860A4"/>
    <w:rsid w:val="0048701E"/>
    <w:rsid w:val="00487907"/>
    <w:rsid w:val="00490157"/>
    <w:rsid w:val="0049074E"/>
    <w:rsid w:val="004938B4"/>
    <w:rsid w:val="00493BC2"/>
    <w:rsid w:val="00494C5D"/>
    <w:rsid w:val="004954CF"/>
    <w:rsid w:val="00496610"/>
    <w:rsid w:val="004977E5"/>
    <w:rsid w:val="00497C68"/>
    <w:rsid w:val="004A0652"/>
    <w:rsid w:val="004A0693"/>
    <w:rsid w:val="004A0AF2"/>
    <w:rsid w:val="004A1CC0"/>
    <w:rsid w:val="004A3296"/>
    <w:rsid w:val="004A3749"/>
    <w:rsid w:val="004A4C81"/>
    <w:rsid w:val="004A5FE8"/>
    <w:rsid w:val="004A738D"/>
    <w:rsid w:val="004A766A"/>
    <w:rsid w:val="004A7D50"/>
    <w:rsid w:val="004B02C4"/>
    <w:rsid w:val="004B1012"/>
    <w:rsid w:val="004B1E27"/>
    <w:rsid w:val="004B24C5"/>
    <w:rsid w:val="004B40D9"/>
    <w:rsid w:val="004B4B04"/>
    <w:rsid w:val="004B7602"/>
    <w:rsid w:val="004B7C65"/>
    <w:rsid w:val="004B7D70"/>
    <w:rsid w:val="004B7E73"/>
    <w:rsid w:val="004C0466"/>
    <w:rsid w:val="004C09AF"/>
    <w:rsid w:val="004C1F04"/>
    <w:rsid w:val="004C315F"/>
    <w:rsid w:val="004C3B2E"/>
    <w:rsid w:val="004C4433"/>
    <w:rsid w:val="004C5873"/>
    <w:rsid w:val="004C5B61"/>
    <w:rsid w:val="004C5FE6"/>
    <w:rsid w:val="004C7A29"/>
    <w:rsid w:val="004D01E2"/>
    <w:rsid w:val="004D03AF"/>
    <w:rsid w:val="004D0D77"/>
    <w:rsid w:val="004D10AA"/>
    <w:rsid w:val="004D2632"/>
    <w:rsid w:val="004D3CB2"/>
    <w:rsid w:val="004D59B5"/>
    <w:rsid w:val="004D69DD"/>
    <w:rsid w:val="004D73E5"/>
    <w:rsid w:val="004E0593"/>
    <w:rsid w:val="004E0740"/>
    <w:rsid w:val="004E0B72"/>
    <w:rsid w:val="004E35A7"/>
    <w:rsid w:val="004E41EF"/>
    <w:rsid w:val="004E42F0"/>
    <w:rsid w:val="004E558B"/>
    <w:rsid w:val="004E623E"/>
    <w:rsid w:val="004F0878"/>
    <w:rsid w:val="004F0B10"/>
    <w:rsid w:val="004F261E"/>
    <w:rsid w:val="004F263E"/>
    <w:rsid w:val="004F28E6"/>
    <w:rsid w:val="004F3702"/>
    <w:rsid w:val="004F417E"/>
    <w:rsid w:val="004F4C9D"/>
    <w:rsid w:val="004F7112"/>
    <w:rsid w:val="004F78E9"/>
    <w:rsid w:val="00503844"/>
    <w:rsid w:val="00503A1D"/>
    <w:rsid w:val="00505891"/>
    <w:rsid w:val="00505A11"/>
    <w:rsid w:val="0050706C"/>
    <w:rsid w:val="0050770A"/>
    <w:rsid w:val="00510814"/>
    <w:rsid w:val="00510B83"/>
    <w:rsid w:val="0051141E"/>
    <w:rsid w:val="00511B4C"/>
    <w:rsid w:val="005126A8"/>
    <w:rsid w:val="005137DE"/>
    <w:rsid w:val="00514109"/>
    <w:rsid w:val="00516747"/>
    <w:rsid w:val="00520519"/>
    <w:rsid w:val="00520F1E"/>
    <w:rsid w:val="0052254D"/>
    <w:rsid w:val="005228B8"/>
    <w:rsid w:val="005236F7"/>
    <w:rsid w:val="00524384"/>
    <w:rsid w:val="00524531"/>
    <w:rsid w:val="00524862"/>
    <w:rsid w:val="00524D8E"/>
    <w:rsid w:val="0052509C"/>
    <w:rsid w:val="00530A80"/>
    <w:rsid w:val="00531214"/>
    <w:rsid w:val="00534558"/>
    <w:rsid w:val="00535AE8"/>
    <w:rsid w:val="00535CEA"/>
    <w:rsid w:val="005360DD"/>
    <w:rsid w:val="00536994"/>
    <w:rsid w:val="00537FB3"/>
    <w:rsid w:val="005414DA"/>
    <w:rsid w:val="00542596"/>
    <w:rsid w:val="005428AF"/>
    <w:rsid w:val="00544D91"/>
    <w:rsid w:val="00544EFD"/>
    <w:rsid w:val="005454EC"/>
    <w:rsid w:val="005478F4"/>
    <w:rsid w:val="00547AE6"/>
    <w:rsid w:val="00551B85"/>
    <w:rsid w:val="0055267F"/>
    <w:rsid w:val="00552D1C"/>
    <w:rsid w:val="00553010"/>
    <w:rsid w:val="00553472"/>
    <w:rsid w:val="0055347D"/>
    <w:rsid w:val="0055372B"/>
    <w:rsid w:val="00554C90"/>
    <w:rsid w:val="00555705"/>
    <w:rsid w:val="005570A4"/>
    <w:rsid w:val="0056000D"/>
    <w:rsid w:val="00561DDC"/>
    <w:rsid w:val="00561E91"/>
    <w:rsid w:val="005627BE"/>
    <w:rsid w:val="005628A2"/>
    <w:rsid w:val="00562C36"/>
    <w:rsid w:val="00562DFA"/>
    <w:rsid w:val="005632D1"/>
    <w:rsid w:val="005633D2"/>
    <w:rsid w:val="00563609"/>
    <w:rsid w:val="005644B1"/>
    <w:rsid w:val="00564AF1"/>
    <w:rsid w:val="005661C8"/>
    <w:rsid w:val="005668AE"/>
    <w:rsid w:val="00567009"/>
    <w:rsid w:val="005700DB"/>
    <w:rsid w:val="00570AA9"/>
    <w:rsid w:val="00570B39"/>
    <w:rsid w:val="00570C99"/>
    <w:rsid w:val="00571AAD"/>
    <w:rsid w:val="00571EAB"/>
    <w:rsid w:val="00572B9E"/>
    <w:rsid w:val="00573518"/>
    <w:rsid w:val="00573529"/>
    <w:rsid w:val="005737E9"/>
    <w:rsid w:val="00574287"/>
    <w:rsid w:val="00574F6F"/>
    <w:rsid w:val="0057523A"/>
    <w:rsid w:val="005800CD"/>
    <w:rsid w:val="00582B60"/>
    <w:rsid w:val="0058390B"/>
    <w:rsid w:val="005861D4"/>
    <w:rsid w:val="0058664A"/>
    <w:rsid w:val="005869A1"/>
    <w:rsid w:val="00587A84"/>
    <w:rsid w:val="00591FCE"/>
    <w:rsid w:val="00594876"/>
    <w:rsid w:val="00594D4F"/>
    <w:rsid w:val="00595141"/>
    <w:rsid w:val="0059630D"/>
    <w:rsid w:val="00596311"/>
    <w:rsid w:val="00596893"/>
    <w:rsid w:val="005970F9"/>
    <w:rsid w:val="005974CD"/>
    <w:rsid w:val="005A0E0F"/>
    <w:rsid w:val="005A2566"/>
    <w:rsid w:val="005A2ADD"/>
    <w:rsid w:val="005A3234"/>
    <w:rsid w:val="005A3A30"/>
    <w:rsid w:val="005A3BE1"/>
    <w:rsid w:val="005A69E4"/>
    <w:rsid w:val="005A6E4D"/>
    <w:rsid w:val="005B0B5E"/>
    <w:rsid w:val="005B176D"/>
    <w:rsid w:val="005B2536"/>
    <w:rsid w:val="005B25AF"/>
    <w:rsid w:val="005B2673"/>
    <w:rsid w:val="005B4BF3"/>
    <w:rsid w:val="005B5B97"/>
    <w:rsid w:val="005B6E0E"/>
    <w:rsid w:val="005B7998"/>
    <w:rsid w:val="005B7FDD"/>
    <w:rsid w:val="005C0346"/>
    <w:rsid w:val="005C16A0"/>
    <w:rsid w:val="005C1925"/>
    <w:rsid w:val="005C25D5"/>
    <w:rsid w:val="005C2EC6"/>
    <w:rsid w:val="005C5F81"/>
    <w:rsid w:val="005C6197"/>
    <w:rsid w:val="005C6E53"/>
    <w:rsid w:val="005C6ECC"/>
    <w:rsid w:val="005C7AB1"/>
    <w:rsid w:val="005D032E"/>
    <w:rsid w:val="005D0331"/>
    <w:rsid w:val="005D0C51"/>
    <w:rsid w:val="005D160B"/>
    <w:rsid w:val="005D1FC6"/>
    <w:rsid w:val="005D2E8C"/>
    <w:rsid w:val="005D3EA4"/>
    <w:rsid w:val="005D5AF6"/>
    <w:rsid w:val="005D6424"/>
    <w:rsid w:val="005E08F2"/>
    <w:rsid w:val="005E146A"/>
    <w:rsid w:val="005E2106"/>
    <w:rsid w:val="005E2460"/>
    <w:rsid w:val="005E2815"/>
    <w:rsid w:val="005E3034"/>
    <w:rsid w:val="005E3B2E"/>
    <w:rsid w:val="005E3C65"/>
    <w:rsid w:val="005E3E42"/>
    <w:rsid w:val="005E3F8B"/>
    <w:rsid w:val="005E446F"/>
    <w:rsid w:val="005E58A5"/>
    <w:rsid w:val="005E70C2"/>
    <w:rsid w:val="005F018B"/>
    <w:rsid w:val="005F07CE"/>
    <w:rsid w:val="005F11E9"/>
    <w:rsid w:val="005F1607"/>
    <w:rsid w:val="005F16AA"/>
    <w:rsid w:val="005F7794"/>
    <w:rsid w:val="006028C4"/>
    <w:rsid w:val="00603F80"/>
    <w:rsid w:val="006050E2"/>
    <w:rsid w:val="0060612D"/>
    <w:rsid w:val="00606BE8"/>
    <w:rsid w:val="00606D96"/>
    <w:rsid w:val="00606DFC"/>
    <w:rsid w:val="00606ED7"/>
    <w:rsid w:val="00606FC1"/>
    <w:rsid w:val="00607B15"/>
    <w:rsid w:val="00610381"/>
    <w:rsid w:val="00610A70"/>
    <w:rsid w:val="0061276C"/>
    <w:rsid w:val="00613D97"/>
    <w:rsid w:val="006170EB"/>
    <w:rsid w:val="00617CBF"/>
    <w:rsid w:val="00620DB1"/>
    <w:rsid w:val="00620DC8"/>
    <w:rsid w:val="00621F91"/>
    <w:rsid w:val="00623950"/>
    <w:rsid w:val="00623B12"/>
    <w:rsid w:val="00623EBB"/>
    <w:rsid w:val="006245CA"/>
    <w:rsid w:val="00624DFB"/>
    <w:rsid w:val="00626A34"/>
    <w:rsid w:val="00627214"/>
    <w:rsid w:val="006304C7"/>
    <w:rsid w:val="00632311"/>
    <w:rsid w:val="00632677"/>
    <w:rsid w:val="0063341A"/>
    <w:rsid w:val="00633B33"/>
    <w:rsid w:val="006340DF"/>
    <w:rsid w:val="006344C3"/>
    <w:rsid w:val="006357F1"/>
    <w:rsid w:val="006359E8"/>
    <w:rsid w:val="00635CCF"/>
    <w:rsid w:val="00635F94"/>
    <w:rsid w:val="00640F80"/>
    <w:rsid w:val="006415CB"/>
    <w:rsid w:val="00641D31"/>
    <w:rsid w:val="0064358E"/>
    <w:rsid w:val="006446F3"/>
    <w:rsid w:val="0064516F"/>
    <w:rsid w:val="00646584"/>
    <w:rsid w:val="00646809"/>
    <w:rsid w:val="006476D4"/>
    <w:rsid w:val="00650CCD"/>
    <w:rsid w:val="00652397"/>
    <w:rsid w:val="00652A42"/>
    <w:rsid w:val="00655490"/>
    <w:rsid w:val="00657E4D"/>
    <w:rsid w:val="00660DAC"/>
    <w:rsid w:val="00661604"/>
    <w:rsid w:val="00661E4A"/>
    <w:rsid w:val="00662F50"/>
    <w:rsid w:val="00663775"/>
    <w:rsid w:val="00663B5E"/>
    <w:rsid w:val="00663FE2"/>
    <w:rsid w:val="00664768"/>
    <w:rsid w:val="00664BD4"/>
    <w:rsid w:val="006650EF"/>
    <w:rsid w:val="0066525F"/>
    <w:rsid w:val="006656F3"/>
    <w:rsid w:val="006657FB"/>
    <w:rsid w:val="00665BD6"/>
    <w:rsid w:val="006673A9"/>
    <w:rsid w:val="0067177D"/>
    <w:rsid w:val="0067238C"/>
    <w:rsid w:val="00673894"/>
    <w:rsid w:val="006742E0"/>
    <w:rsid w:val="00674C02"/>
    <w:rsid w:val="00676D42"/>
    <w:rsid w:val="00680F21"/>
    <w:rsid w:val="006818CB"/>
    <w:rsid w:val="006819C0"/>
    <w:rsid w:val="0068249B"/>
    <w:rsid w:val="006841F4"/>
    <w:rsid w:val="006842FF"/>
    <w:rsid w:val="00684846"/>
    <w:rsid w:val="006848AB"/>
    <w:rsid w:val="00684FAE"/>
    <w:rsid w:val="00685194"/>
    <w:rsid w:val="00687829"/>
    <w:rsid w:val="00687B54"/>
    <w:rsid w:val="00690E62"/>
    <w:rsid w:val="00691D03"/>
    <w:rsid w:val="00692BD3"/>
    <w:rsid w:val="00692E57"/>
    <w:rsid w:val="00694ED0"/>
    <w:rsid w:val="00695761"/>
    <w:rsid w:val="00695B02"/>
    <w:rsid w:val="00696937"/>
    <w:rsid w:val="0069728F"/>
    <w:rsid w:val="006A011A"/>
    <w:rsid w:val="006A0244"/>
    <w:rsid w:val="006A112C"/>
    <w:rsid w:val="006A21BB"/>
    <w:rsid w:val="006A2923"/>
    <w:rsid w:val="006A3160"/>
    <w:rsid w:val="006A36F2"/>
    <w:rsid w:val="006A3CC0"/>
    <w:rsid w:val="006A3F4F"/>
    <w:rsid w:val="006A4A0B"/>
    <w:rsid w:val="006A4C35"/>
    <w:rsid w:val="006A58A3"/>
    <w:rsid w:val="006A61F5"/>
    <w:rsid w:val="006A699F"/>
    <w:rsid w:val="006A70C0"/>
    <w:rsid w:val="006A773D"/>
    <w:rsid w:val="006B02C1"/>
    <w:rsid w:val="006B0F21"/>
    <w:rsid w:val="006B1B51"/>
    <w:rsid w:val="006B2636"/>
    <w:rsid w:val="006B2B5A"/>
    <w:rsid w:val="006B3367"/>
    <w:rsid w:val="006B38CA"/>
    <w:rsid w:val="006B4002"/>
    <w:rsid w:val="006B4937"/>
    <w:rsid w:val="006B51D0"/>
    <w:rsid w:val="006C1783"/>
    <w:rsid w:val="006C1EC2"/>
    <w:rsid w:val="006C1EE6"/>
    <w:rsid w:val="006C21B8"/>
    <w:rsid w:val="006C2A0E"/>
    <w:rsid w:val="006C2FAD"/>
    <w:rsid w:val="006C5E97"/>
    <w:rsid w:val="006C6200"/>
    <w:rsid w:val="006C69AC"/>
    <w:rsid w:val="006C72C4"/>
    <w:rsid w:val="006D0491"/>
    <w:rsid w:val="006D0650"/>
    <w:rsid w:val="006D1BE3"/>
    <w:rsid w:val="006D22E1"/>
    <w:rsid w:val="006D67AF"/>
    <w:rsid w:val="006D690B"/>
    <w:rsid w:val="006D709A"/>
    <w:rsid w:val="006D70E7"/>
    <w:rsid w:val="006D7FC4"/>
    <w:rsid w:val="006E205E"/>
    <w:rsid w:val="006E2235"/>
    <w:rsid w:val="006E2523"/>
    <w:rsid w:val="006E32DA"/>
    <w:rsid w:val="006E35E8"/>
    <w:rsid w:val="006E3FB3"/>
    <w:rsid w:val="006E5264"/>
    <w:rsid w:val="006E6111"/>
    <w:rsid w:val="006F057B"/>
    <w:rsid w:val="006F0B66"/>
    <w:rsid w:val="006F2D7B"/>
    <w:rsid w:val="006F5B5F"/>
    <w:rsid w:val="006F5C81"/>
    <w:rsid w:val="006F62BF"/>
    <w:rsid w:val="006F70BE"/>
    <w:rsid w:val="006F771E"/>
    <w:rsid w:val="007006DB"/>
    <w:rsid w:val="00706579"/>
    <w:rsid w:val="0070673A"/>
    <w:rsid w:val="00706D9E"/>
    <w:rsid w:val="0070717F"/>
    <w:rsid w:val="007103FF"/>
    <w:rsid w:val="00710980"/>
    <w:rsid w:val="007115C7"/>
    <w:rsid w:val="0071186F"/>
    <w:rsid w:val="00711E1A"/>
    <w:rsid w:val="00713A51"/>
    <w:rsid w:val="00713FDF"/>
    <w:rsid w:val="007141F6"/>
    <w:rsid w:val="00715364"/>
    <w:rsid w:val="00716535"/>
    <w:rsid w:val="007167DF"/>
    <w:rsid w:val="00716B1D"/>
    <w:rsid w:val="00716C29"/>
    <w:rsid w:val="00717D4B"/>
    <w:rsid w:val="00720BC3"/>
    <w:rsid w:val="007215FA"/>
    <w:rsid w:val="00721660"/>
    <w:rsid w:val="00721C39"/>
    <w:rsid w:val="00722C67"/>
    <w:rsid w:val="00723595"/>
    <w:rsid w:val="00723652"/>
    <w:rsid w:val="00724332"/>
    <w:rsid w:val="007261FA"/>
    <w:rsid w:val="00726AB8"/>
    <w:rsid w:val="00726D14"/>
    <w:rsid w:val="00727CE0"/>
    <w:rsid w:val="00730A5F"/>
    <w:rsid w:val="00731184"/>
    <w:rsid w:val="007329B8"/>
    <w:rsid w:val="00733F9A"/>
    <w:rsid w:val="00734043"/>
    <w:rsid w:val="00734EFF"/>
    <w:rsid w:val="00735084"/>
    <w:rsid w:val="00735194"/>
    <w:rsid w:val="0073539F"/>
    <w:rsid w:val="00737873"/>
    <w:rsid w:val="0074002B"/>
    <w:rsid w:val="00741AF4"/>
    <w:rsid w:val="00742423"/>
    <w:rsid w:val="007429AF"/>
    <w:rsid w:val="007430E3"/>
    <w:rsid w:val="00743679"/>
    <w:rsid w:val="00743DD2"/>
    <w:rsid w:val="00744AAF"/>
    <w:rsid w:val="0074577D"/>
    <w:rsid w:val="00745BD8"/>
    <w:rsid w:val="007460B4"/>
    <w:rsid w:val="007461ED"/>
    <w:rsid w:val="00746316"/>
    <w:rsid w:val="00746A19"/>
    <w:rsid w:val="00746FC9"/>
    <w:rsid w:val="00747A2B"/>
    <w:rsid w:val="00747F87"/>
    <w:rsid w:val="00750082"/>
    <w:rsid w:val="0075024A"/>
    <w:rsid w:val="00750782"/>
    <w:rsid w:val="00751797"/>
    <w:rsid w:val="00751C1F"/>
    <w:rsid w:val="00751EF4"/>
    <w:rsid w:val="0075490D"/>
    <w:rsid w:val="00755627"/>
    <w:rsid w:val="007560B3"/>
    <w:rsid w:val="00757056"/>
    <w:rsid w:val="00760610"/>
    <w:rsid w:val="00760EDA"/>
    <w:rsid w:val="007625E6"/>
    <w:rsid w:val="007628A0"/>
    <w:rsid w:val="0076395D"/>
    <w:rsid w:val="007641CF"/>
    <w:rsid w:val="007655DE"/>
    <w:rsid w:val="00766DE8"/>
    <w:rsid w:val="00770178"/>
    <w:rsid w:val="00770598"/>
    <w:rsid w:val="00771DD4"/>
    <w:rsid w:val="00771FB0"/>
    <w:rsid w:val="0077432E"/>
    <w:rsid w:val="007743C0"/>
    <w:rsid w:val="00775B7B"/>
    <w:rsid w:val="00775BD4"/>
    <w:rsid w:val="00776578"/>
    <w:rsid w:val="00777852"/>
    <w:rsid w:val="00777C3A"/>
    <w:rsid w:val="00780C5B"/>
    <w:rsid w:val="007823D9"/>
    <w:rsid w:val="00782BC1"/>
    <w:rsid w:val="007840E3"/>
    <w:rsid w:val="007844EB"/>
    <w:rsid w:val="00786363"/>
    <w:rsid w:val="0079053E"/>
    <w:rsid w:val="007905D9"/>
    <w:rsid w:val="00790E5F"/>
    <w:rsid w:val="00792BBE"/>
    <w:rsid w:val="00792CC0"/>
    <w:rsid w:val="007930CE"/>
    <w:rsid w:val="00793E5A"/>
    <w:rsid w:val="00794483"/>
    <w:rsid w:val="00794E6F"/>
    <w:rsid w:val="00795B27"/>
    <w:rsid w:val="00795C7A"/>
    <w:rsid w:val="007961D1"/>
    <w:rsid w:val="00796ABF"/>
    <w:rsid w:val="00797CF4"/>
    <w:rsid w:val="007A11FB"/>
    <w:rsid w:val="007A1B38"/>
    <w:rsid w:val="007A3339"/>
    <w:rsid w:val="007A44F4"/>
    <w:rsid w:val="007A4F13"/>
    <w:rsid w:val="007A6CEF"/>
    <w:rsid w:val="007A6EC6"/>
    <w:rsid w:val="007A7033"/>
    <w:rsid w:val="007B0FF0"/>
    <w:rsid w:val="007B2498"/>
    <w:rsid w:val="007B3269"/>
    <w:rsid w:val="007B4628"/>
    <w:rsid w:val="007B6743"/>
    <w:rsid w:val="007B692F"/>
    <w:rsid w:val="007B793C"/>
    <w:rsid w:val="007B7E8B"/>
    <w:rsid w:val="007C0BC8"/>
    <w:rsid w:val="007C1C41"/>
    <w:rsid w:val="007C2E8A"/>
    <w:rsid w:val="007C30DF"/>
    <w:rsid w:val="007C38BF"/>
    <w:rsid w:val="007C3AA1"/>
    <w:rsid w:val="007C519D"/>
    <w:rsid w:val="007C649B"/>
    <w:rsid w:val="007D04AC"/>
    <w:rsid w:val="007D0619"/>
    <w:rsid w:val="007D0D57"/>
    <w:rsid w:val="007D1C0E"/>
    <w:rsid w:val="007D1C4E"/>
    <w:rsid w:val="007D35EF"/>
    <w:rsid w:val="007D44AB"/>
    <w:rsid w:val="007D65B4"/>
    <w:rsid w:val="007E0B9A"/>
    <w:rsid w:val="007E2117"/>
    <w:rsid w:val="007E3953"/>
    <w:rsid w:val="007E5027"/>
    <w:rsid w:val="007E5215"/>
    <w:rsid w:val="007E5EA3"/>
    <w:rsid w:val="007E714D"/>
    <w:rsid w:val="007E78AB"/>
    <w:rsid w:val="007F1118"/>
    <w:rsid w:val="007F1B0D"/>
    <w:rsid w:val="007F2123"/>
    <w:rsid w:val="007F2E5C"/>
    <w:rsid w:val="007F32C3"/>
    <w:rsid w:val="007F3813"/>
    <w:rsid w:val="007F4D8D"/>
    <w:rsid w:val="007F5257"/>
    <w:rsid w:val="007F6AAF"/>
    <w:rsid w:val="007F7653"/>
    <w:rsid w:val="007F7C45"/>
    <w:rsid w:val="008032CF"/>
    <w:rsid w:val="00804FBB"/>
    <w:rsid w:val="00805111"/>
    <w:rsid w:val="00805857"/>
    <w:rsid w:val="00805A20"/>
    <w:rsid w:val="008073A9"/>
    <w:rsid w:val="00807B4A"/>
    <w:rsid w:val="00807BE9"/>
    <w:rsid w:val="00807D20"/>
    <w:rsid w:val="00810280"/>
    <w:rsid w:val="008109E4"/>
    <w:rsid w:val="00811AEE"/>
    <w:rsid w:val="0081232E"/>
    <w:rsid w:val="00812F72"/>
    <w:rsid w:val="00813172"/>
    <w:rsid w:val="00813CC5"/>
    <w:rsid w:val="00816C60"/>
    <w:rsid w:val="00817D72"/>
    <w:rsid w:val="008221FE"/>
    <w:rsid w:val="00822702"/>
    <w:rsid w:val="00824D72"/>
    <w:rsid w:val="0082744D"/>
    <w:rsid w:val="00827BD0"/>
    <w:rsid w:val="00830810"/>
    <w:rsid w:val="00830E46"/>
    <w:rsid w:val="00831B3B"/>
    <w:rsid w:val="00831EAF"/>
    <w:rsid w:val="00831FAE"/>
    <w:rsid w:val="0083203A"/>
    <w:rsid w:val="00832B42"/>
    <w:rsid w:val="008348B5"/>
    <w:rsid w:val="00834B39"/>
    <w:rsid w:val="0083547C"/>
    <w:rsid w:val="0083579F"/>
    <w:rsid w:val="0083596F"/>
    <w:rsid w:val="00835DA2"/>
    <w:rsid w:val="00836275"/>
    <w:rsid w:val="008371DC"/>
    <w:rsid w:val="008401A8"/>
    <w:rsid w:val="0084022E"/>
    <w:rsid w:val="0084080C"/>
    <w:rsid w:val="008411BC"/>
    <w:rsid w:val="00841521"/>
    <w:rsid w:val="00842371"/>
    <w:rsid w:val="008426CF"/>
    <w:rsid w:val="00842A36"/>
    <w:rsid w:val="008433EE"/>
    <w:rsid w:val="00844394"/>
    <w:rsid w:val="00845250"/>
    <w:rsid w:val="00845DAA"/>
    <w:rsid w:val="00846702"/>
    <w:rsid w:val="008471B8"/>
    <w:rsid w:val="0084748B"/>
    <w:rsid w:val="0085029E"/>
    <w:rsid w:val="00850FEE"/>
    <w:rsid w:val="00851A7B"/>
    <w:rsid w:val="0085286B"/>
    <w:rsid w:val="008532E1"/>
    <w:rsid w:val="008535AA"/>
    <w:rsid w:val="00853630"/>
    <w:rsid w:val="00853955"/>
    <w:rsid w:val="00854109"/>
    <w:rsid w:val="00854E22"/>
    <w:rsid w:val="008556C0"/>
    <w:rsid w:val="00857D9D"/>
    <w:rsid w:val="00857F4A"/>
    <w:rsid w:val="00861774"/>
    <w:rsid w:val="0086272C"/>
    <w:rsid w:val="008635CD"/>
    <w:rsid w:val="0086363B"/>
    <w:rsid w:val="008637F7"/>
    <w:rsid w:val="00864A3F"/>
    <w:rsid w:val="00865063"/>
    <w:rsid w:val="008679A5"/>
    <w:rsid w:val="00870239"/>
    <w:rsid w:val="0087094B"/>
    <w:rsid w:val="00870C81"/>
    <w:rsid w:val="00871054"/>
    <w:rsid w:val="008729A7"/>
    <w:rsid w:val="008737B1"/>
    <w:rsid w:val="00873DF2"/>
    <w:rsid w:val="008741CD"/>
    <w:rsid w:val="00875144"/>
    <w:rsid w:val="00875C24"/>
    <w:rsid w:val="00876814"/>
    <w:rsid w:val="00876B12"/>
    <w:rsid w:val="00876C59"/>
    <w:rsid w:val="008775F4"/>
    <w:rsid w:val="00877E93"/>
    <w:rsid w:val="0088117E"/>
    <w:rsid w:val="00882D01"/>
    <w:rsid w:val="0088304B"/>
    <w:rsid w:val="00883DDA"/>
    <w:rsid w:val="0088409F"/>
    <w:rsid w:val="0088486A"/>
    <w:rsid w:val="00884E4A"/>
    <w:rsid w:val="0088594C"/>
    <w:rsid w:val="00886058"/>
    <w:rsid w:val="00887535"/>
    <w:rsid w:val="008901BA"/>
    <w:rsid w:val="00890FB4"/>
    <w:rsid w:val="00891766"/>
    <w:rsid w:val="008922C6"/>
    <w:rsid w:val="00893F62"/>
    <w:rsid w:val="008951AE"/>
    <w:rsid w:val="008951E1"/>
    <w:rsid w:val="00895447"/>
    <w:rsid w:val="0089579C"/>
    <w:rsid w:val="00895CCF"/>
    <w:rsid w:val="008977FB"/>
    <w:rsid w:val="008A00F2"/>
    <w:rsid w:val="008A0B4C"/>
    <w:rsid w:val="008A0C5A"/>
    <w:rsid w:val="008A16CC"/>
    <w:rsid w:val="008A1AF9"/>
    <w:rsid w:val="008A238F"/>
    <w:rsid w:val="008A2509"/>
    <w:rsid w:val="008A2638"/>
    <w:rsid w:val="008A3C08"/>
    <w:rsid w:val="008A3D59"/>
    <w:rsid w:val="008A46E9"/>
    <w:rsid w:val="008A4CCC"/>
    <w:rsid w:val="008A4F4E"/>
    <w:rsid w:val="008A5295"/>
    <w:rsid w:val="008A630A"/>
    <w:rsid w:val="008A6A78"/>
    <w:rsid w:val="008A6C5C"/>
    <w:rsid w:val="008A70D3"/>
    <w:rsid w:val="008A737F"/>
    <w:rsid w:val="008A7947"/>
    <w:rsid w:val="008A7AF7"/>
    <w:rsid w:val="008B0EF8"/>
    <w:rsid w:val="008B1125"/>
    <w:rsid w:val="008B1250"/>
    <w:rsid w:val="008B1EA5"/>
    <w:rsid w:val="008B25B5"/>
    <w:rsid w:val="008B3F6B"/>
    <w:rsid w:val="008B4032"/>
    <w:rsid w:val="008B40AA"/>
    <w:rsid w:val="008B53FB"/>
    <w:rsid w:val="008B5C64"/>
    <w:rsid w:val="008B61D6"/>
    <w:rsid w:val="008B6397"/>
    <w:rsid w:val="008B6F9F"/>
    <w:rsid w:val="008B7110"/>
    <w:rsid w:val="008C072B"/>
    <w:rsid w:val="008C0F2E"/>
    <w:rsid w:val="008C1B15"/>
    <w:rsid w:val="008C2B82"/>
    <w:rsid w:val="008C2D4F"/>
    <w:rsid w:val="008C52D3"/>
    <w:rsid w:val="008C575A"/>
    <w:rsid w:val="008C5A39"/>
    <w:rsid w:val="008C5F44"/>
    <w:rsid w:val="008C6722"/>
    <w:rsid w:val="008C6ADB"/>
    <w:rsid w:val="008C7B0F"/>
    <w:rsid w:val="008D3914"/>
    <w:rsid w:val="008D4477"/>
    <w:rsid w:val="008D4B93"/>
    <w:rsid w:val="008D4EBC"/>
    <w:rsid w:val="008D4EEE"/>
    <w:rsid w:val="008D562C"/>
    <w:rsid w:val="008D7BC4"/>
    <w:rsid w:val="008E23A2"/>
    <w:rsid w:val="008E2612"/>
    <w:rsid w:val="008E3858"/>
    <w:rsid w:val="008E3905"/>
    <w:rsid w:val="008E64F8"/>
    <w:rsid w:val="008E66E8"/>
    <w:rsid w:val="008E7013"/>
    <w:rsid w:val="008E710D"/>
    <w:rsid w:val="008E731C"/>
    <w:rsid w:val="008E75A3"/>
    <w:rsid w:val="008E7FB6"/>
    <w:rsid w:val="008F0566"/>
    <w:rsid w:val="008F1823"/>
    <w:rsid w:val="008F2C41"/>
    <w:rsid w:val="008F3976"/>
    <w:rsid w:val="008F46CE"/>
    <w:rsid w:val="008F4F1A"/>
    <w:rsid w:val="008F5BF8"/>
    <w:rsid w:val="008F6E81"/>
    <w:rsid w:val="009001A9"/>
    <w:rsid w:val="00900ACE"/>
    <w:rsid w:val="00901109"/>
    <w:rsid w:val="00901CCB"/>
    <w:rsid w:val="00901DED"/>
    <w:rsid w:val="009025BF"/>
    <w:rsid w:val="00903479"/>
    <w:rsid w:val="00903C14"/>
    <w:rsid w:val="00904C82"/>
    <w:rsid w:val="00904E74"/>
    <w:rsid w:val="0090634D"/>
    <w:rsid w:val="0090724C"/>
    <w:rsid w:val="0091050E"/>
    <w:rsid w:val="009108B3"/>
    <w:rsid w:val="009111B1"/>
    <w:rsid w:val="00911D6C"/>
    <w:rsid w:val="00913136"/>
    <w:rsid w:val="00914F3F"/>
    <w:rsid w:val="009153C4"/>
    <w:rsid w:val="00915F2F"/>
    <w:rsid w:val="009225A4"/>
    <w:rsid w:val="009227BD"/>
    <w:rsid w:val="009231BC"/>
    <w:rsid w:val="009235C1"/>
    <w:rsid w:val="00923A80"/>
    <w:rsid w:val="00924CA6"/>
    <w:rsid w:val="009254FD"/>
    <w:rsid w:val="009273B8"/>
    <w:rsid w:val="009278D4"/>
    <w:rsid w:val="00927EEB"/>
    <w:rsid w:val="009301DC"/>
    <w:rsid w:val="00930277"/>
    <w:rsid w:val="00930AB8"/>
    <w:rsid w:val="00930D3B"/>
    <w:rsid w:val="00931257"/>
    <w:rsid w:val="009312BB"/>
    <w:rsid w:val="009315A4"/>
    <w:rsid w:val="00931F8A"/>
    <w:rsid w:val="009328F3"/>
    <w:rsid w:val="00933433"/>
    <w:rsid w:val="009339DA"/>
    <w:rsid w:val="00934425"/>
    <w:rsid w:val="00935358"/>
    <w:rsid w:val="00935CC9"/>
    <w:rsid w:val="00936DC8"/>
    <w:rsid w:val="00936FB8"/>
    <w:rsid w:val="00937568"/>
    <w:rsid w:val="00940040"/>
    <w:rsid w:val="009419A4"/>
    <w:rsid w:val="00941C3A"/>
    <w:rsid w:val="009422F7"/>
    <w:rsid w:val="00943B19"/>
    <w:rsid w:val="009471D4"/>
    <w:rsid w:val="00947BDB"/>
    <w:rsid w:val="00947D69"/>
    <w:rsid w:val="009526F9"/>
    <w:rsid w:val="0095290F"/>
    <w:rsid w:val="00954713"/>
    <w:rsid w:val="00954AF7"/>
    <w:rsid w:val="00955216"/>
    <w:rsid w:val="00956CF1"/>
    <w:rsid w:val="00956CFA"/>
    <w:rsid w:val="00957317"/>
    <w:rsid w:val="009575BB"/>
    <w:rsid w:val="00960746"/>
    <w:rsid w:val="00960A66"/>
    <w:rsid w:val="00961CB3"/>
    <w:rsid w:val="00962465"/>
    <w:rsid w:val="00962770"/>
    <w:rsid w:val="00962D16"/>
    <w:rsid w:val="0096532B"/>
    <w:rsid w:val="009672F6"/>
    <w:rsid w:val="00967C0A"/>
    <w:rsid w:val="00971CD3"/>
    <w:rsid w:val="00972C26"/>
    <w:rsid w:val="00972D54"/>
    <w:rsid w:val="009747DF"/>
    <w:rsid w:val="00974A4D"/>
    <w:rsid w:val="00975188"/>
    <w:rsid w:val="00975419"/>
    <w:rsid w:val="009760EC"/>
    <w:rsid w:val="00976504"/>
    <w:rsid w:val="00976D38"/>
    <w:rsid w:val="0097760A"/>
    <w:rsid w:val="00977D67"/>
    <w:rsid w:val="0098057D"/>
    <w:rsid w:val="00981F00"/>
    <w:rsid w:val="00982793"/>
    <w:rsid w:val="00982C1A"/>
    <w:rsid w:val="0098403B"/>
    <w:rsid w:val="00984F02"/>
    <w:rsid w:val="0098524A"/>
    <w:rsid w:val="00985C82"/>
    <w:rsid w:val="00985CAB"/>
    <w:rsid w:val="00985DA3"/>
    <w:rsid w:val="00986DF4"/>
    <w:rsid w:val="00991BCC"/>
    <w:rsid w:val="00992B0A"/>
    <w:rsid w:val="009938FE"/>
    <w:rsid w:val="00993DBB"/>
    <w:rsid w:val="00994402"/>
    <w:rsid w:val="00994A0F"/>
    <w:rsid w:val="0099767E"/>
    <w:rsid w:val="009A0CB3"/>
    <w:rsid w:val="009A2E69"/>
    <w:rsid w:val="009A3B2E"/>
    <w:rsid w:val="009A5C1D"/>
    <w:rsid w:val="009A646C"/>
    <w:rsid w:val="009A7A6E"/>
    <w:rsid w:val="009B0527"/>
    <w:rsid w:val="009B05E3"/>
    <w:rsid w:val="009B09DB"/>
    <w:rsid w:val="009B0D8E"/>
    <w:rsid w:val="009B162F"/>
    <w:rsid w:val="009B3D70"/>
    <w:rsid w:val="009B3E02"/>
    <w:rsid w:val="009B4ED6"/>
    <w:rsid w:val="009B5164"/>
    <w:rsid w:val="009B69BD"/>
    <w:rsid w:val="009B6C06"/>
    <w:rsid w:val="009B6C17"/>
    <w:rsid w:val="009B77D4"/>
    <w:rsid w:val="009B7AE7"/>
    <w:rsid w:val="009C097B"/>
    <w:rsid w:val="009C372F"/>
    <w:rsid w:val="009C3BE3"/>
    <w:rsid w:val="009C447B"/>
    <w:rsid w:val="009C475F"/>
    <w:rsid w:val="009C60B9"/>
    <w:rsid w:val="009C65E6"/>
    <w:rsid w:val="009C7186"/>
    <w:rsid w:val="009D05C9"/>
    <w:rsid w:val="009D1354"/>
    <w:rsid w:val="009D18AB"/>
    <w:rsid w:val="009D213A"/>
    <w:rsid w:val="009D3AAD"/>
    <w:rsid w:val="009D42CA"/>
    <w:rsid w:val="009D55F1"/>
    <w:rsid w:val="009D7202"/>
    <w:rsid w:val="009E0C12"/>
    <w:rsid w:val="009E19C8"/>
    <w:rsid w:val="009E1AC2"/>
    <w:rsid w:val="009E2D62"/>
    <w:rsid w:val="009E3B43"/>
    <w:rsid w:val="009E4832"/>
    <w:rsid w:val="009E5218"/>
    <w:rsid w:val="009E54C5"/>
    <w:rsid w:val="009E5A0D"/>
    <w:rsid w:val="009F0715"/>
    <w:rsid w:val="009F16D4"/>
    <w:rsid w:val="009F1CBC"/>
    <w:rsid w:val="009F2BEA"/>
    <w:rsid w:val="009F2D50"/>
    <w:rsid w:val="009F30BD"/>
    <w:rsid w:val="009F36D7"/>
    <w:rsid w:val="009F38AA"/>
    <w:rsid w:val="009F3E4A"/>
    <w:rsid w:val="009F574D"/>
    <w:rsid w:val="009F5B9F"/>
    <w:rsid w:val="009F6109"/>
    <w:rsid w:val="009F7A49"/>
    <w:rsid w:val="00A0089B"/>
    <w:rsid w:val="00A01E30"/>
    <w:rsid w:val="00A02B3B"/>
    <w:rsid w:val="00A05B67"/>
    <w:rsid w:val="00A0655E"/>
    <w:rsid w:val="00A06826"/>
    <w:rsid w:val="00A07C5F"/>
    <w:rsid w:val="00A11BE0"/>
    <w:rsid w:val="00A137E4"/>
    <w:rsid w:val="00A145DF"/>
    <w:rsid w:val="00A14944"/>
    <w:rsid w:val="00A22386"/>
    <w:rsid w:val="00A22822"/>
    <w:rsid w:val="00A2289D"/>
    <w:rsid w:val="00A23BBC"/>
    <w:rsid w:val="00A2469A"/>
    <w:rsid w:val="00A24B44"/>
    <w:rsid w:val="00A25AE2"/>
    <w:rsid w:val="00A26023"/>
    <w:rsid w:val="00A2666A"/>
    <w:rsid w:val="00A3213F"/>
    <w:rsid w:val="00A322DD"/>
    <w:rsid w:val="00A327F2"/>
    <w:rsid w:val="00A33A53"/>
    <w:rsid w:val="00A34A9D"/>
    <w:rsid w:val="00A35199"/>
    <w:rsid w:val="00A3584A"/>
    <w:rsid w:val="00A36255"/>
    <w:rsid w:val="00A3701E"/>
    <w:rsid w:val="00A37C17"/>
    <w:rsid w:val="00A406EB"/>
    <w:rsid w:val="00A41280"/>
    <w:rsid w:val="00A44D17"/>
    <w:rsid w:val="00A454DB"/>
    <w:rsid w:val="00A45668"/>
    <w:rsid w:val="00A46671"/>
    <w:rsid w:val="00A47BC7"/>
    <w:rsid w:val="00A51793"/>
    <w:rsid w:val="00A51D36"/>
    <w:rsid w:val="00A523D9"/>
    <w:rsid w:val="00A52B3A"/>
    <w:rsid w:val="00A530C1"/>
    <w:rsid w:val="00A53E19"/>
    <w:rsid w:val="00A54549"/>
    <w:rsid w:val="00A54F36"/>
    <w:rsid w:val="00A55654"/>
    <w:rsid w:val="00A578F3"/>
    <w:rsid w:val="00A57C2A"/>
    <w:rsid w:val="00A60E2A"/>
    <w:rsid w:val="00A61A20"/>
    <w:rsid w:val="00A623ED"/>
    <w:rsid w:val="00A63E2F"/>
    <w:rsid w:val="00A65A6F"/>
    <w:rsid w:val="00A6668E"/>
    <w:rsid w:val="00A674BE"/>
    <w:rsid w:val="00A67953"/>
    <w:rsid w:val="00A70291"/>
    <w:rsid w:val="00A703B9"/>
    <w:rsid w:val="00A70C5D"/>
    <w:rsid w:val="00A70DFF"/>
    <w:rsid w:val="00A7277F"/>
    <w:rsid w:val="00A734B5"/>
    <w:rsid w:val="00A749B8"/>
    <w:rsid w:val="00A74B4B"/>
    <w:rsid w:val="00A74D02"/>
    <w:rsid w:val="00A75868"/>
    <w:rsid w:val="00A75DBD"/>
    <w:rsid w:val="00A7605F"/>
    <w:rsid w:val="00A76ED7"/>
    <w:rsid w:val="00A773AE"/>
    <w:rsid w:val="00A77C50"/>
    <w:rsid w:val="00A81767"/>
    <w:rsid w:val="00A81C28"/>
    <w:rsid w:val="00A824C3"/>
    <w:rsid w:val="00A84ADF"/>
    <w:rsid w:val="00A861AF"/>
    <w:rsid w:val="00A863ED"/>
    <w:rsid w:val="00A8670D"/>
    <w:rsid w:val="00A86844"/>
    <w:rsid w:val="00A87097"/>
    <w:rsid w:val="00A870DA"/>
    <w:rsid w:val="00A8729E"/>
    <w:rsid w:val="00A87947"/>
    <w:rsid w:val="00A879EE"/>
    <w:rsid w:val="00A911F9"/>
    <w:rsid w:val="00A91A7F"/>
    <w:rsid w:val="00A924AD"/>
    <w:rsid w:val="00A92563"/>
    <w:rsid w:val="00A925C6"/>
    <w:rsid w:val="00A931EF"/>
    <w:rsid w:val="00A9383A"/>
    <w:rsid w:val="00A93A63"/>
    <w:rsid w:val="00A93DA8"/>
    <w:rsid w:val="00A96D1E"/>
    <w:rsid w:val="00A974C7"/>
    <w:rsid w:val="00AA07F6"/>
    <w:rsid w:val="00AA4431"/>
    <w:rsid w:val="00AA58CF"/>
    <w:rsid w:val="00AA59E7"/>
    <w:rsid w:val="00AA755C"/>
    <w:rsid w:val="00AA787D"/>
    <w:rsid w:val="00AB03A9"/>
    <w:rsid w:val="00AB0550"/>
    <w:rsid w:val="00AB2036"/>
    <w:rsid w:val="00AB2FAD"/>
    <w:rsid w:val="00AB2FB2"/>
    <w:rsid w:val="00AB394F"/>
    <w:rsid w:val="00AC17DE"/>
    <w:rsid w:val="00AC1E05"/>
    <w:rsid w:val="00AC26E4"/>
    <w:rsid w:val="00AC4AC4"/>
    <w:rsid w:val="00AC55A3"/>
    <w:rsid w:val="00AC6681"/>
    <w:rsid w:val="00AC697E"/>
    <w:rsid w:val="00AC69AA"/>
    <w:rsid w:val="00AC7862"/>
    <w:rsid w:val="00AC7A97"/>
    <w:rsid w:val="00AD01A3"/>
    <w:rsid w:val="00AD0EE6"/>
    <w:rsid w:val="00AD1CCC"/>
    <w:rsid w:val="00AD31AC"/>
    <w:rsid w:val="00AD3762"/>
    <w:rsid w:val="00AD470A"/>
    <w:rsid w:val="00AD49F4"/>
    <w:rsid w:val="00AD5112"/>
    <w:rsid w:val="00AD5699"/>
    <w:rsid w:val="00AD5726"/>
    <w:rsid w:val="00AD5890"/>
    <w:rsid w:val="00AD63D8"/>
    <w:rsid w:val="00AD73AE"/>
    <w:rsid w:val="00AD767C"/>
    <w:rsid w:val="00AE0ACE"/>
    <w:rsid w:val="00AE1867"/>
    <w:rsid w:val="00AE1DB6"/>
    <w:rsid w:val="00AE250B"/>
    <w:rsid w:val="00AE30C1"/>
    <w:rsid w:val="00AE35FE"/>
    <w:rsid w:val="00AE506B"/>
    <w:rsid w:val="00AE62CC"/>
    <w:rsid w:val="00AE6422"/>
    <w:rsid w:val="00AE65B6"/>
    <w:rsid w:val="00AE71B1"/>
    <w:rsid w:val="00AE7740"/>
    <w:rsid w:val="00AF0305"/>
    <w:rsid w:val="00AF1326"/>
    <w:rsid w:val="00AF175C"/>
    <w:rsid w:val="00AF1A70"/>
    <w:rsid w:val="00AF6069"/>
    <w:rsid w:val="00AF690C"/>
    <w:rsid w:val="00AF6D17"/>
    <w:rsid w:val="00B0094C"/>
    <w:rsid w:val="00B00B8D"/>
    <w:rsid w:val="00B0235B"/>
    <w:rsid w:val="00B03AF8"/>
    <w:rsid w:val="00B06B54"/>
    <w:rsid w:val="00B06E1E"/>
    <w:rsid w:val="00B07965"/>
    <w:rsid w:val="00B07F76"/>
    <w:rsid w:val="00B11003"/>
    <w:rsid w:val="00B11C5E"/>
    <w:rsid w:val="00B126D9"/>
    <w:rsid w:val="00B14943"/>
    <w:rsid w:val="00B229CC"/>
    <w:rsid w:val="00B22A98"/>
    <w:rsid w:val="00B23C38"/>
    <w:rsid w:val="00B23E6D"/>
    <w:rsid w:val="00B23EFD"/>
    <w:rsid w:val="00B2669E"/>
    <w:rsid w:val="00B27285"/>
    <w:rsid w:val="00B27C47"/>
    <w:rsid w:val="00B27F2D"/>
    <w:rsid w:val="00B308A1"/>
    <w:rsid w:val="00B32CE2"/>
    <w:rsid w:val="00B345CE"/>
    <w:rsid w:val="00B3665D"/>
    <w:rsid w:val="00B36E26"/>
    <w:rsid w:val="00B3701B"/>
    <w:rsid w:val="00B376A6"/>
    <w:rsid w:val="00B407BE"/>
    <w:rsid w:val="00B40BC2"/>
    <w:rsid w:val="00B4148E"/>
    <w:rsid w:val="00B42303"/>
    <w:rsid w:val="00B42A7C"/>
    <w:rsid w:val="00B42F10"/>
    <w:rsid w:val="00B43591"/>
    <w:rsid w:val="00B43929"/>
    <w:rsid w:val="00B44799"/>
    <w:rsid w:val="00B45EB8"/>
    <w:rsid w:val="00B471DA"/>
    <w:rsid w:val="00B512C1"/>
    <w:rsid w:val="00B51CCB"/>
    <w:rsid w:val="00B53964"/>
    <w:rsid w:val="00B54C20"/>
    <w:rsid w:val="00B5502A"/>
    <w:rsid w:val="00B55482"/>
    <w:rsid w:val="00B56F49"/>
    <w:rsid w:val="00B57854"/>
    <w:rsid w:val="00B57E21"/>
    <w:rsid w:val="00B603A6"/>
    <w:rsid w:val="00B60E92"/>
    <w:rsid w:val="00B61105"/>
    <w:rsid w:val="00B616D8"/>
    <w:rsid w:val="00B62683"/>
    <w:rsid w:val="00B62F89"/>
    <w:rsid w:val="00B6335A"/>
    <w:rsid w:val="00B6427D"/>
    <w:rsid w:val="00B64706"/>
    <w:rsid w:val="00B66542"/>
    <w:rsid w:val="00B669F4"/>
    <w:rsid w:val="00B67258"/>
    <w:rsid w:val="00B70AEF"/>
    <w:rsid w:val="00B70D7D"/>
    <w:rsid w:val="00B7137F"/>
    <w:rsid w:val="00B72649"/>
    <w:rsid w:val="00B73DF4"/>
    <w:rsid w:val="00B75AF5"/>
    <w:rsid w:val="00B764CF"/>
    <w:rsid w:val="00B76797"/>
    <w:rsid w:val="00B76A14"/>
    <w:rsid w:val="00B77B4E"/>
    <w:rsid w:val="00B77F80"/>
    <w:rsid w:val="00B77FBE"/>
    <w:rsid w:val="00B8056A"/>
    <w:rsid w:val="00B81331"/>
    <w:rsid w:val="00B829EC"/>
    <w:rsid w:val="00B82CDD"/>
    <w:rsid w:val="00B87E35"/>
    <w:rsid w:val="00B902D7"/>
    <w:rsid w:val="00B90C5A"/>
    <w:rsid w:val="00B9401B"/>
    <w:rsid w:val="00B94892"/>
    <w:rsid w:val="00B95011"/>
    <w:rsid w:val="00B97163"/>
    <w:rsid w:val="00BA2614"/>
    <w:rsid w:val="00BA360C"/>
    <w:rsid w:val="00BA3C6B"/>
    <w:rsid w:val="00BA450F"/>
    <w:rsid w:val="00BA459F"/>
    <w:rsid w:val="00BA58B0"/>
    <w:rsid w:val="00BA596E"/>
    <w:rsid w:val="00BA66E6"/>
    <w:rsid w:val="00BA6B01"/>
    <w:rsid w:val="00BA7B87"/>
    <w:rsid w:val="00BB0138"/>
    <w:rsid w:val="00BB02E7"/>
    <w:rsid w:val="00BB1B02"/>
    <w:rsid w:val="00BB1DD4"/>
    <w:rsid w:val="00BB21B4"/>
    <w:rsid w:val="00BB2A0E"/>
    <w:rsid w:val="00BB33DD"/>
    <w:rsid w:val="00BB3BF2"/>
    <w:rsid w:val="00BB4286"/>
    <w:rsid w:val="00BB5CD3"/>
    <w:rsid w:val="00BB5FD4"/>
    <w:rsid w:val="00BB6489"/>
    <w:rsid w:val="00BB6866"/>
    <w:rsid w:val="00BB700E"/>
    <w:rsid w:val="00BB74EB"/>
    <w:rsid w:val="00BB7806"/>
    <w:rsid w:val="00BC006D"/>
    <w:rsid w:val="00BC0260"/>
    <w:rsid w:val="00BC086C"/>
    <w:rsid w:val="00BC0A43"/>
    <w:rsid w:val="00BC1DBF"/>
    <w:rsid w:val="00BC407A"/>
    <w:rsid w:val="00BC447F"/>
    <w:rsid w:val="00BC4C41"/>
    <w:rsid w:val="00BC51A5"/>
    <w:rsid w:val="00BC5284"/>
    <w:rsid w:val="00BC7251"/>
    <w:rsid w:val="00BC733E"/>
    <w:rsid w:val="00BD03B8"/>
    <w:rsid w:val="00BD1A3A"/>
    <w:rsid w:val="00BD1F5F"/>
    <w:rsid w:val="00BD2651"/>
    <w:rsid w:val="00BD271E"/>
    <w:rsid w:val="00BD4C98"/>
    <w:rsid w:val="00BD5ECE"/>
    <w:rsid w:val="00BD7021"/>
    <w:rsid w:val="00BE0261"/>
    <w:rsid w:val="00BE0FC7"/>
    <w:rsid w:val="00BE1162"/>
    <w:rsid w:val="00BE13A6"/>
    <w:rsid w:val="00BE14C5"/>
    <w:rsid w:val="00BE1E66"/>
    <w:rsid w:val="00BE3841"/>
    <w:rsid w:val="00BE4533"/>
    <w:rsid w:val="00BE4F03"/>
    <w:rsid w:val="00BE601B"/>
    <w:rsid w:val="00BF0598"/>
    <w:rsid w:val="00BF0860"/>
    <w:rsid w:val="00BF1834"/>
    <w:rsid w:val="00BF2CD7"/>
    <w:rsid w:val="00BF30A4"/>
    <w:rsid w:val="00BF4F00"/>
    <w:rsid w:val="00BF5C7E"/>
    <w:rsid w:val="00BF721C"/>
    <w:rsid w:val="00C00578"/>
    <w:rsid w:val="00C00A66"/>
    <w:rsid w:val="00C00B62"/>
    <w:rsid w:val="00C02AF3"/>
    <w:rsid w:val="00C039AD"/>
    <w:rsid w:val="00C04E7A"/>
    <w:rsid w:val="00C053C1"/>
    <w:rsid w:val="00C1076E"/>
    <w:rsid w:val="00C119FC"/>
    <w:rsid w:val="00C11A48"/>
    <w:rsid w:val="00C14118"/>
    <w:rsid w:val="00C14FC5"/>
    <w:rsid w:val="00C20810"/>
    <w:rsid w:val="00C20F96"/>
    <w:rsid w:val="00C214A3"/>
    <w:rsid w:val="00C220C3"/>
    <w:rsid w:val="00C22375"/>
    <w:rsid w:val="00C2257E"/>
    <w:rsid w:val="00C225CC"/>
    <w:rsid w:val="00C22724"/>
    <w:rsid w:val="00C23202"/>
    <w:rsid w:val="00C24185"/>
    <w:rsid w:val="00C25DC4"/>
    <w:rsid w:val="00C267F9"/>
    <w:rsid w:val="00C26982"/>
    <w:rsid w:val="00C270FB"/>
    <w:rsid w:val="00C27113"/>
    <w:rsid w:val="00C3184A"/>
    <w:rsid w:val="00C3527B"/>
    <w:rsid w:val="00C36814"/>
    <w:rsid w:val="00C36D61"/>
    <w:rsid w:val="00C37975"/>
    <w:rsid w:val="00C40406"/>
    <w:rsid w:val="00C40AAE"/>
    <w:rsid w:val="00C40BCC"/>
    <w:rsid w:val="00C4108A"/>
    <w:rsid w:val="00C42722"/>
    <w:rsid w:val="00C42C32"/>
    <w:rsid w:val="00C42E7D"/>
    <w:rsid w:val="00C44032"/>
    <w:rsid w:val="00C443B8"/>
    <w:rsid w:val="00C44537"/>
    <w:rsid w:val="00C45333"/>
    <w:rsid w:val="00C462DA"/>
    <w:rsid w:val="00C47F52"/>
    <w:rsid w:val="00C519E5"/>
    <w:rsid w:val="00C51FCA"/>
    <w:rsid w:val="00C520E1"/>
    <w:rsid w:val="00C52D4A"/>
    <w:rsid w:val="00C530ED"/>
    <w:rsid w:val="00C54F7B"/>
    <w:rsid w:val="00C5540D"/>
    <w:rsid w:val="00C563C1"/>
    <w:rsid w:val="00C5685A"/>
    <w:rsid w:val="00C57A6A"/>
    <w:rsid w:val="00C62691"/>
    <w:rsid w:val="00C63531"/>
    <w:rsid w:val="00C64042"/>
    <w:rsid w:val="00C642A4"/>
    <w:rsid w:val="00C66EAD"/>
    <w:rsid w:val="00C67496"/>
    <w:rsid w:val="00C7091D"/>
    <w:rsid w:val="00C70AB2"/>
    <w:rsid w:val="00C72147"/>
    <w:rsid w:val="00C7246A"/>
    <w:rsid w:val="00C72DA8"/>
    <w:rsid w:val="00C72F31"/>
    <w:rsid w:val="00C730AC"/>
    <w:rsid w:val="00C732FF"/>
    <w:rsid w:val="00C74DD5"/>
    <w:rsid w:val="00C74EBE"/>
    <w:rsid w:val="00C75673"/>
    <w:rsid w:val="00C75E30"/>
    <w:rsid w:val="00C75F36"/>
    <w:rsid w:val="00C76457"/>
    <w:rsid w:val="00C7673F"/>
    <w:rsid w:val="00C77BCF"/>
    <w:rsid w:val="00C80C01"/>
    <w:rsid w:val="00C80D60"/>
    <w:rsid w:val="00C82E15"/>
    <w:rsid w:val="00C838A9"/>
    <w:rsid w:val="00C83991"/>
    <w:rsid w:val="00C86F84"/>
    <w:rsid w:val="00C903B5"/>
    <w:rsid w:val="00C90C26"/>
    <w:rsid w:val="00C90DE6"/>
    <w:rsid w:val="00C92BDC"/>
    <w:rsid w:val="00C94668"/>
    <w:rsid w:val="00C9488F"/>
    <w:rsid w:val="00C9513A"/>
    <w:rsid w:val="00C955A4"/>
    <w:rsid w:val="00C959A0"/>
    <w:rsid w:val="00C96512"/>
    <w:rsid w:val="00C96642"/>
    <w:rsid w:val="00C97F60"/>
    <w:rsid w:val="00CA05B1"/>
    <w:rsid w:val="00CA1A2B"/>
    <w:rsid w:val="00CA288D"/>
    <w:rsid w:val="00CA36B5"/>
    <w:rsid w:val="00CA3DFB"/>
    <w:rsid w:val="00CA4A00"/>
    <w:rsid w:val="00CA4E32"/>
    <w:rsid w:val="00CA5CB2"/>
    <w:rsid w:val="00CA65EC"/>
    <w:rsid w:val="00CA758E"/>
    <w:rsid w:val="00CA7B4B"/>
    <w:rsid w:val="00CA7DCA"/>
    <w:rsid w:val="00CB2055"/>
    <w:rsid w:val="00CB329C"/>
    <w:rsid w:val="00CB3489"/>
    <w:rsid w:val="00CB3939"/>
    <w:rsid w:val="00CB396C"/>
    <w:rsid w:val="00CB3ABF"/>
    <w:rsid w:val="00CB3F65"/>
    <w:rsid w:val="00CB4088"/>
    <w:rsid w:val="00CB5807"/>
    <w:rsid w:val="00CB62A4"/>
    <w:rsid w:val="00CB6B80"/>
    <w:rsid w:val="00CB73C3"/>
    <w:rsid w:val="00CB7603"/>
    <w:rsid w:val="00CC0FEB"/>
    <w:rsid w:val="00CC15CB"/>
    <w:rsid w:val="00CC1D52"/>
    <w:rsid w:val="00CC25DA"/>
    <w:rsid w:val="00CC28E8"/>
    <w:rsid w:val="00CC3626"/>
    <w:rsid w:val="00CC3934"/>
    <w:rsid w:val="00CC5FC2"/>
    <w:rsid w:val="00CD0396"/>
    <w:rsid w:val="00CD1548"/>
    <w:rsid w:val="00CD17C4"/>
    <w:rsid w:val="00CD28D1"/>
    <w:rsid w:val="00CD3243"/>
    <w:rsid w:val="00CD564E"/>
    <w:rsid w:val="00CD56CF"/>
    <w:rsid w:val="00CD66DF"/>
    <w:rsid w:val="00CD7B07"/>
    <w:rsid w:val="00CE05D6"/>
    <w:rsid w:val="00CE21B1"/>
    <w:rsid w:val="00CE2493"/>
    <w:rsid w:val="00CE3996"/>
    <w:rsid w:val="00CE3CFA"/>
    <w:rsid w:val="00CE45AE"/>
    <w:rsid w:val="00CE4910"/>
    <w:rsid w:val="00CE5275"/>
    <w:rsid w:val="00CE7C32"/>
    <w:rsid w:val="00CE7F6F"/>
    <w:rsid w:val="00CF1640"/>
    <w:rsid w:val="00CF229B"/>
    <w:rsid w:val="00CF28FE"/>
    <w:rsid w:val="00CF2C63"/>
    <w:rsid w:val="00CF306E"/>
    <w:rsid w:val="00CF3273"/>
    <w:rsid w:val="00CF47FA"/>
    <w:rsid w:val="00CF59FA"/>
    <w:rsid w:val="00CF5AC7"/>
    <w:rsid w:val="00CF625E"/>
    <w:rsid w:val="00CF6B94"/>
    <w:rsid w:val="00CF7070"/>
    <w:rsid w:val="00D004ED"/>
    <w:rsid w:val="00D00FAE"/>
    <w:rsid w:val="00D02678"/>
    <w:rsid w:val="00D02811"/>
    <w:rsid w:val="00D02A8A"/>
    <w:rsid w:val="00D03F29"/>
    <w:rsid w:val="00D04AA5"/>
    <w:rsid w:val="00D065E0"/>
    <w:rsid w:val="00D06EF9"/>
    <w:rsid w:val="00D11473"/>
    <w:rsid w:val="00D11EFB"/>
    <w:rsid w:val="00D12175"/>
    <w:rsid w:val="00D12532"/>
    <w:rsid w:val="00D12AA0"/>
    <w:rsid w:val="00D1444E"/>
    <w:rsid w:val="00D152CF"/>
    <w:rsid w:val="00D15647"/>
    <w:rsid w:val="00D21F29"/>
    <w:rsid w:val="00D22D75"/>
    <w:rsid w:val="00D235CC"/>
    <w:rsid w:val="00D24714"/>
    <w:rsid w:val="00D274E6"/>
    <w:rsid w:val="00D2756F"/>
    <w:rsid w:val="00D27B44"/>
    <w:rsid w:val="00D27DA9"/>
    <w:rsid w:val="00D32D19"/>
    <w:rsid w:val="00D334A9"/>
    <w:rsid w:val="00D34095"/>
    <w:rsid w:val="00D343B5"/>
    <w:rsid w:val="00D345E9"/>
    <w:rsid w:val="00D35DD2"/>
    <w:rsid w:val="00D36C6A"/>
    <w:rsid w:val="00D36CBB"/>
    <w:rsid w:val="00D37E36"/>
    <w:rsid w:val="00D424C7"/>
    <w:rsid w:val="00D42603"/>
    <w:rsid w:val="00D42687"/>
    <w:rsid w:val="00D42939"/>
    <w:rsid w:val="00D42991"/>
    <w:rsid w:val="00D42A51"/>
    <w:rsid w:val="00D43991"/>
    <w:rsid w:val="00D44475"/>
    <w:rsid w:val="00D4470D"/>
    <w:rsid w:val="00D447EE"/>
    <w:rsid w:val="00D45D16"/>
    <w:rsid w:val="00D46609"/>
    <w:rsid w:val="00D479C7"/>
    <w:rsid w:val="00D47A9C"/>
    <w:rsid w:val="00D47D4E"/>
    <w:rsid w:val="00D508F8"/>
    <w:rsid w:val="00D522D7"/>
    <w:rsid w:val="00D57D96"/>
    <w:rsid w:val="00D617C4"/>
    <w:rsid w:val="00D61B32"/>
    <w:rsid w:val="00D61BF2"/>
    <w:rsid w:val="00D64DE8"/>
    <w:rsid w:val="00D6534D"/>
    <w:rsid w:val="00D657FC"/>
    <w:rsid w:val="00D67083"/>
    <w:rsid w:val="00D703B8"/>
    <w:rsid w:val="00D70589"/>
    <w:rsid w:val="00D71044"/>
    <w:rsid w:val="00D719A5"/>
    <w:rsid w:val="00D7247D"/>
    <w:rsid w:val="00D74936"/>
    <w:rsid w:val="00D75056"/>
    <w:rsid w:val="00D77EE9"/>
    <w:rsid w:val="00D802F5"/>
    <w:rsid w:val="00D80370"/>
    <w:rsid w:val="00D80BCF"/>
    <w:rsid w:val="00D823C0"/>
    <w:rsid w:val="00D82A82"/>
    <w:rsid w:val="00D85F9C"/>
    <w:rsid w:val="00D868D7"/>
    <w:rsid w:val="00D8766E"/>
    <w:rsid w:val="00D906AE"/>
    <w:rsid w:val="00D90FCE"/>
    <w:rsid w:val="00D938A7"/>
    <w:rsid w:val="00D93BF7"/>
    <w:rsid w:val="00D977F0"/>
    <w:rsid w:val="00D97F5B"/>
    <w:rsid w:val="00DA247F"/>
    <w:rsid w:val="00DA4090"/>
    <w:rsid w:val="00DA4D95"/>
    <w:rsid w:val="00DA5507"/>
    <w:rsid w:val="00DA7ACD"/>
    <w:rsid w:val="00DB1A08"/>
    <w:rsid w:val="00DB2079"/>
    <w:rsid w:val="00DB3DF7"/>
    <w:rsid w:val="00DB42C6"/>
    <w:rsid w:val="00DB5060"/>
    <w:rsid w:val="00DB5AAB"/>
    <w:rsid w:val="00DB5C54"/>
    <w:rsid w:val="00DB5FC5"/>
    <w:rsid w:val="00DB6EB5"/>
    <w:rsid w:val="00DB7773"/>
    <w:rsid w:val="00DC048A"/>
    <w:rsid w:val="00DC209C"/>
    <w:rsid w:val="00DC271F"/>
    <w:rsid w:val="00DC2819"/>
    <w:rsid w:val="00DC3DE1"/>
    <w:rsid w:val="00DC4649"/>
    <w:rsid w:val="00DC5060"/>
    <w:rsid w:val="00DC5E24"/>
    <w:rsid w:val="00DC7677"/>
    <w:rsid w:val="00DD0976"/>
    <w:rsid w:val="00DD1831"/>
    <w:rsid w:val="00DD310D"/>
    <w:rsid w:val="00DD3585"/>
    <w:rsid w:val="00DD4E21"/>
    <w:rsid w:val="00DD5BED"/>
    <w:rsid w:val="00DD603E"/>
    <w:rsid w:val="00DD67BC"/>
    <w:rsid w:val="00DD79B9"/>
    <w:rsid w:val="00DE139A"/>
    <w:rsid w:val="00DE2844"/>
    <w:rsid w:val="00DE2A83"/>
    <w:rsid w:val="00DE2A95"/>
    <w:rsid w:val="00DE6DB9"/>
    <w:rsid w:val="00DE7003"/>
    <w:rsid w:val="00DE7083"/>
    <w:rsid w:val="00DE763A"/>
    <w:rsid w:val="00DE7AF3"/>
    <w:rsid w:val="00DF0232"/>
    <w:rsid w:val="00DF08D8"/>
    <w:rsid w:val="00DF22D7"/>
    <w:rsid w:val="00DF34EB"/>
    <w:rsid w:val="00DF7050"/>
    <w:rsid w:val="00DF7ED4"/>
    <w:rsid w:val="00E006EC"/>
    <w:rsid w:val="00E022B7"/>
    <w:rsid w:val="00E02D3C"/>
    <w:rsid w:val="00E0353D"/>
    <w:rsid w:val="00E0423F"/>
    <w:rsid w:val="00E04C16"/>
    <w:rsid w:val="00E054F1"/>
    <w:rsid w:val="00E056A6"/>
    <w:rsid w:val="00E061E9"/>
    <w:rsid w:val="00E119D9"/>
    <w:rsid w:val="00E13CBB"/>
    <w:rsid w:val="00E141E6"/>
    <w:rsid w:val="00E1467B"/>
    <w:rsid w:val="00E1529F"/>
    <w:rsid w:val="00E1581D"/>
    <w:rsid w:val="00E15B91"/>
    <w:rsid w:val="00E15E91"/>
    <w:rsid w:val="00E17274"/>
    <w:rsid w:val="00E17BC7"/>
    <w:rsid w:val="00E205FB"/>
    <w:rsid w:val="00E20979"/>
    <w:rsid w:val="00E20D69"/>
    <w:rsid w:val="00E20DA0"/>
    <w:rsid w:val="00E225F2"/>
    <w:rsid w:val="00E22A14"/>
    <w:rsid w:val="00E23CF1"/>
    <w:rsid w:val="00E24974"/>
    <w:rsid w:val="00E249ED"/>
    <w:rsid w:val="00E25646"/>
    <w:rsid w:val="00E25AE4"/>
    <w:rsid w:val="00E25DD0"/>
    <w:rsid w:val="00E25F2D"/>
    <w:rsid w:val="00E27E5B"/>
    <w:rsid w:val="00E3102F"/>
    <w:rsid w:val="00E31137"/>
    <w:rsid w:val="00E3242F"/>
    <w:rsid w:val="00E3356D"/>
    <w:rsid w:val="00E35F96"/>
    <w:rsid w:val="00E36D60"/>
    <w:rsid w:val="00E4198E"/>
    <w:rsid w:val="00E425DA"/>
    <w:rsid w:val="00E425E4"/>
    <w:rsid w:val="00E44A00"/>
    <w:rsid w:val="00E471BA"/>
    <w:rsid w:val="00E522F5"/>
    <w:rsid w:val="00E523EF"/>
    <w:rsid w:val="00E528FB"/>
    <w:rsid w:val="00E53C19"/>
    <w:rsid w:val="00E55044"/>
    <w:rsid w:val="00E550EC"/>
    <w:rsid w:val="00E55EB2"/>
    <w:rsid w:val="00E60028"/>
    <w:rsid w:val="00E60152"/>
    <w:rsid w:val="00E60769"/>
    <w:rsid w:val="00E61580"/>
    <w:rsid w:val="00E62A6B"/>
    <w:rsid w:val="00E62BA9"/>
    <w:rsid w:val="00E63434"/>
    <w:rsid w:val="00E63712"/>
    <w:rsid w:val="00E63A6A"/>
    <w:rsid w:val="00E64403"/>
    <w:rsid w:val="00E665F8"/>
    <w:rsid w:val="00E66EF5"/>
    <w:rsid w:val="00E67CEF"/>
    <w:rsid w:val="00E70287"/>
    <w:rsid w:val="00E72353"/>
    <w:rsid w:val="00E7333F"/>
    <w:rsid w:val="00E7403D"/>
    <w:rsid w:val="00E75A8A"/>
    <w:rsid w:val="00E76CA1"/>
    <w:rsid w:val="00E77455"/>
    <w:rsid w:val="00E77BE4"/>
    <w:rsid w:val="00E82397"/>
    <w:rsid w:val="00E8295F"/>
    <w:rsid w:val="00E82B2F"/>
    <w:rsid w:val="00E82E43"/>
    <w:rsid w:val="00E8374F"/>
    <w:rsid w:val="00E83BC5"/>
    <w:rsid w:val="00E84622"/>
    <w:rsid w:val="00E84E02"/>
    <w:rsid w:val="00E879B3"/>
    <w:rsid w:val="00E87A5F"/>
    <w:rsid w:val="00E87E0A"/>
    <w:rsid w:val="00E907E0"/>
    <w:rsid w:val="00E90BFA"/>
    <w:rsid w:val="00E916DE"/>
    <w:rsid w:val="00E92094"/>
    <w:rsid w:val="00E920D0"/>
    <w:rsid w:val="00E9258A"/>
    <w:rsid w:val="00E930B7"/>
    <w:rsid w:val="00E93718"/>
    <w:rsid w:val="00E95A1E"/>
    <w:rsid w:val="00E9628E"/>
    <w:rsid w:val="00E96AC0"/>
    <w:rsid w:val="00E96E2B"/>
    <w:rsid w:val="00EA0549"/>
    <w:rsid w:val="00EA2254"/>
    <w:rsid w:val="00EA4636"/>
    <w:rsid w:val="00EA47AB"/>
    <w:rsid w:val="00EA56E4"/>
    <w:rsid w:val="00EA582A"/>
    <w:rsid w:val="00EA6623"/>
    <w:rsid w:val="00EA6A76"/>
    <w:rsid w:val="00EA6C53"/>
    <w:rsid w:val="00EA7526"/>
    <w:rsid w:val="00EB0584"/>
    <w:rsid w:val="00EB0C3A"/>
    <w:rsid w:val="00EB1102"/>
    <w:rsid w:val="00EB1E21"/>
    <w:rsid w:val="00EB1EC2"/>
    <w:rsid w:val="00EB2569"/>
    <w:rsid w:val="00EB281E"/>
    <w:rsid w:val="00EB2D1E"/>
    <w:rsid w:val="00EB3210"/>
    <w:rsid w:val="00EB4012"/>
    <w:rsid w:val="00EB6400"/>
    <w:rsid w:val="00EB6C3B"/>
    <w:rsid w:val="00EB709B"/>
    <w:rsid w:val="00EC083B"/>
    <w:rsid w:val="00EC0F9A"/>
    <w:rsid w:val="00EC101E"/>
    <w:rsid w:val="00EC149C"/>
    <w:rsid w:val="00EC197F"/>
    <w:rsid w:val="00EC1E7F"/>
    <w:rsid w:val="00EC2915"/>
    <w:rsid w:val="00EC4100"/>
    <w:rsid w:val="00EC4B51"/>
    <w:rsid w:val="00EC52A6"/>
    <w:rsid w:val="00ED1911"/>
    <w:rsid w:val="00ED194F"/>
    <w:rsid w:val="00ED1E8B"/>
    <w:rsid w:val="00ED27EB"/>
    <w:rsid w:val="00ED41D6"/>
    <w:rsid w:val="00ED4751"/>
    <w:rsid w:val="00ED57F9"/>
    <w:rsid w:val="00ED7079"/>
    <w:rsid w:val="00ED713D"/>
    <w:rsid w:val="00EE04CE"/>
    <w:rsid w:val="00EE0762"/>
    <w:rsid w:val="00EE1BA5"/>
    <w:rsid w:val="00EE3858"/>
    <w:rsid w:val="00EE579C"/>
    <w:rsid w:val="00EE743C"/>
    <w:rsid w:val="00EE77EC"/>
    <w:rsid w:val="00EE7CA1"/>
    <w:rsid w:val="00EF0944"/>
    <w:rsid w:val="00EF1825"/>
    <w:rsid w:val="00EF52CF"/>
    <w:rsid w:val="00EF5E71"/>
    <w:rsid w:val="00EF66C6"/>
    <w:rsid w:val="00EF6A6C"/>
    <w:rsid w:val="00EF71C9"/>
    <w:rsid w:val="00EF7825"/>
    <w:rsid w:val="00EF787F"/>
    <w:rsid w:val="00F0147A"/>
    <w:rsid w:val="00F0184D"/>
    <w:rsid w:val="00F0228C"/>
    <w:rsid w:val="00F0231E"/>
    <w:rsid w:val="00F02747"/>
    <w:rsid w:val="00F034CF"/>
    <w:rsid w:val="00F03ACC"/>
    <w:rsid w:val="00F041BB"/>
    <w:rsid w:val="00F0487D"/>
    <w:rsid w:val="00F053B9"/>
    <w:rsid w:val="00F05CE5"/>
    <w:rsid w:val="00F06130"/>
    <w:rsid w:val="00F06BAE"/>
    <w:rsid w:val="00F1093E"/>
    <w:rsid w:val="00F11132"/>
    <w:rsid w:val="00F11BB9"/>
    <w:rsid w:val="00F1274E"/>
    <w:rsid w:val="00F13726"/>
    <w:rsid w:val="00F13D27"/>
    <w:rsid w:val="00F1414F"/>
    <w:rsid w:val="00F15352"/>
    <w:rsid w:val="00F163AB"/>
    <w:rsid w:val="00F1745D"/>
    <w:rsid w:val="00F17B07"/>
    <w:rsid w:val="00F20B7D"/>
    <w:rsid w:val="00F20E70"/>
    <w:rsid w:val="00F21627"/>
    <w:rsid w:val="00F21799"/>
    <w:rsid w:val="00F225B7"/>
    <w:rsid w:val="00F229A4"/>
    <w:rsid w:val="00F240F4"/>
    <w:rsid w:val="00F24DE8"/>
    <w:rsid w:val="00F25180"/>
    <w:rsid w:val="00F25796"/>
    <w:rsid w:val="00F25CF7"/>
    <w:rsid w:val="00F25F72"/>
    <w:rsid w:val="00F27FA9"/>
    <w:rsid w:val="00F30A70"/>
    <w:rsid w:val="00F31A22"/>
    <w:rsid w:val="00F3239E"/>
    <w:rsid w:val="00F323DC"/>
    <w:rsid w:val="00F3272C"/>
    <w:rsid w:val="00F32B71"/>
    <w:rsid w:val="00F33531"/>
    <w:rsid w:val="00F339AB"/>
    <w:rsid w:val="00F33B08"/>
    <w:rsid w:val="00F35893"/>
    <w:rsid w:val="00F367AC"/>
    <w:rsid w:val="00F36AAD"/>
    <w:rsid w:val="00F40526"/>
    <w:rsid w:val="00F4190E"/>
    <w:rsid w:val="00F4206B"/>
    <w:rsid w:val="00F420A1"/>
    <w:rsid w:val="00F43461"/>
    <w:rsid w:val="00F444E3"/>
    <w:rsid w:val="00F4509B"/>
    <w:rsid w:val="00F451A2"/>
    <w:rsid w:val="00F45253"/>
    <w:rsid w:val="00F45DBE"/>
    <w:rsid w:val="00F468D6"/>
    <w:rsid w:val="00F5172F"/>
    <w:rsid w:val="00F51B7D"/>
    <w:rsid w:val="00F54775"/>
    <w:rsid w:val="00F56C9F"/>
    <w:rsid w:val="00F56D88"/>
    <w:rsid w:val="00F57799"/>
    <w:rsid w:val="00F5795D"/>
    <w:rsid w:val="00F57AB1"/>
    <w:rsid w:val="00F614AA"/>
    <w:rsid w:val="00F6202C"/>
    <w:rsid w:val="00F621B9"/>
    <w:rsid w:val="00F6362D"/>
    <w:rsid w:val="00F6695E"/>
    <w:rsid w:val="00F66D6C"/>
    <w:rsid w:val="00F67248"/>
    <w:rsid w:val="00F675BC"/>
    <w:rsid w:val="00F714D4"/>
    <w:rsid w:val="00F72E23"/>
    <w:rsid w:val="00F73FB9"/>
    <w:rsid w:val="00F7411C"/>
    <w:rsid w:val="00F74386"/>
    <w:rsid w:val="00F7494B"/>
    <w:rsid w:val="00F75C45"/>
    <w:rsid w:val="00F75E43"/>
    <w:rsid w:val="00F76649"/>
    <w:rsid w:val="00F76D9E"/>
    <w:rsid w:val="00F771A0"/>
    <w:rsid w:val="00F806E4"/>
    <w:rsid w:val="00F815AF"/>
    <w:rsid w:val="00F817C8"/>
    <w:rsid w:val="00F82771"/>
    <w:rsid w:val="00F8314A"/>
    <w:rsid w:val="00F83C53"/>
    <w:rsid w:val="00F85A30"/>
    <w:rsid w:val="00F85AE8"/>
    <w:rsid w:val="00F869D4"/>
    <w:rsid w:val="00F87DBF"/>
    <w:rsid w:val="00F90746"/>
    <w:rsid w:val="00F90FFB"/>
    <w:rsid w:val="00F92210"/>
    <w:rsid w:val="00F94BE7"/>
    <w:rsid w:val="00F95695"/>
    <w:rsid w:val="00F95761"/>
    <w:rsid w:val="00F9598E"/>
    <w:rsid w:val="00F96FDA"/>
    <w:rsid w:val="00F97124"/>
    <w:rsid w:val="00FA06E8"/>
    <w:rsid w:val="00FA0F8B"/>
    <w:rsid w:val="00FA1039"/>
    <w:rsid w:val="00FA2EB6"/>
    <w:rsid w:val="00FA3D3D"/>
    <w:rsid w:val="00FA58DE"/>
    <w:rsid w:val="00FA6878"/>
    <w:rsid w:val="00FA7755"/>
    <w:rsid w:val="00FA789F"/>
    <w:rsid w:val="00FB123B"/>
    <w:rsid w:val="00FB14EE"/>
    <w:rsid w:val="00FB3D01"/>
    <w:rsid w:val="00FB4393"/>
    <w:rsid w:val="00FB5712"/>
    <w:rsid w:val="00FB679F"/>
    <w:rsid w:val="00FC088C"/>
    <w:rsid w:val="00FC1352"/>
    <w:rsid w:val="00FC1B71"/>
    <w:rsid w:val="00FC27A1"/>
    <w:rsid w:val="00FC2987"/>
    <w:rsid w:val="00FC30AF"/>
    <w:rsid w:val="00FC3233"/>
    <w:rsid w:val="00FC465D"/>
    <w:rsid w:val="00FC69CD"/>
    <w:rsid w:val="00FC73D9"/>
    <w:rsid w:val="00FD1CA8"/>
    <w:rsid w:val="00FD2D61"/>
    <w:rsid w:val="00FD3F85"/>
    <w:rsid w:val="00FD40FA"/>
    <w:rsid w:val="00FD46A5"/>
    <w:rsid w:val="00FD48D0"/>
    <w:rsid w:val="00FD600F"/>
    <w:rsid w:val="00FD7584"/>
    <w:rsid w:val="00FE1B44"/>
    <w:rsid w:val="00FE26D9"/>
    <w:rsid w:val="00FE3D02"/>
    <w:rsid w:val="00FE3E27"/>
    <w:rsid w:val="00FE3F9C"/>
    <w:rsid w:val="00FE4010"/>
    <w:rsid w:val="00FE7495"/>
    <w:rsid w:val="00FE794C"/>
    <w:rsid w:val="00FE7984"/>
    <w:rsid w:val="00FF00A0"/>
    <w:rsid w:val="00FF03BE"/>
    <w:rsid w:val="00FF13C4"/>
    <w:rsid w:val="00FF1445"/>
    <w:rsid w:val="00FF1945"/>
    <w:rsid w:val="00FF1B92"/>
    <w:rsid w:val="00FF1D4E"/>
    <w:rsid w:val="00FF22EA"/>
    <w:rsid w:val="00FF2D23"/>
    <w:rsid w:val="00FF31AF"/>
    <w:rsid w:val="00FF37B1"/>
    <w:rsid w:val="00FF4126"/>
    <w:rsid w:val="00FF4242"/>
    <w:rsid w:val="00FF4360"/>
    <w:rsid w:val="00FF5C61"/>
    <w:rsid w:val="00FF6A86"/>
    <w:rsid w:val="00FF707C"/>
    <w:rsid w:val="00FF77C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none [3215]" stroke="f">
      <v:fill color="none [3215]"/>
      <v:stroke on="f"/>
    </o:shapedefaults>
    <o:shapelayout v:ext="edit">
      <o:idmap v:ext="edit" data="2"/>
    </o:shapelayout>
  </w:shapeDefaults>
  <w:decimalSymbol w:val="."/>
  <w:listSeparator w:val=","/>
  <w14:docId w14:val="2BF295F0"/>
  <w15:docId w15:val="{E7035F1D-610A-4782-A96D-2E3B47778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eorgia" w:eastAsia="Times New Roman" w:hAnsi="Georgia" w:cs="Times New Roman"/>
        <w:lang w:val="en-AU" w:eastAsia="en-AU" w:bidi="ar-SA"/>
      </w:rPr>
    </w:rPrDefault>
    <w:pPrDefault/>
  </w:docDefaults>
  <w:latentStyles w:defLockedState="1" w:defUIPriority="0" w:defSemiHidden="0" w:defUnhideWhenUsed="0" w:defQFormat="0" w:count="376">
    <w:lsdException w:name="Normal" w:locked="0"/>
    <w:lsdException w:name="heading 1" w:locked="0" w:uiPriority="1"/>
    <w:lsdException w:name="heading 2" w:locked="0" w:uiPriority="1"/>
    <w:lsdException w:name="heading 3" w:locked="0"/>
    <w:lsdException w:name="heading 4" w:locked="0" w:uiPriority="1"/>
    <w:lsdException w:name="heading 5" w:locked="0"/>
    <w:lsdException w:name="heading 6" w:locked="0" w:uiPriority="1"/>
    <w:lsdException w:name="heading 7" w:locked="0" w:semiHidden="1" w:uiPriority="1" w:unhideWhenUsed="1"/>
    <w:lsdException w:name="heading 8" w:locked="0" w:semiHidden="1" w:uiPriority="1" w:unhideWhenUsed="1"/>
    <w:lsdException w:name="heading 9" w:locked="0" w:semiHidden="1" w:unhideWhenUsed="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nhideWhenUsed="1"/>
    <w:lsdException w:name="toc 6" w:locked="0" w:semiHidden="1" w:uiPriority="39" w:unhideWhenUsed="1"/>
    <w:lsdException w:name="toc 7" w:locked="0" w:semiHidden="1" w:uiPriority="39" w:unhideWhenUsed="1"/>
    <w:lsdException w:name="toc 8" w:locked="0" w:semiHidden="1"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iPriority="99" w:unhideWhenUsed="1"/>
    <w:lsdException w:name="footer" w:locked="0" w:semiHidden="1" w:uiPriority="99" w:unhideWhenUsed="1"/>
    <w:lsdException w:name="index heading" w:locked="0" w:semiHidden="1" w:unhideWhenUsed="1"/>
    <w:lsdException w:name="caption" w:locked="0" w:semiHidden="1" w:uiPriority="4" w:unhideWhenUsed="1"/>
    <w:lsdException w:name="table of figures" w:locked="0"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semiHidden="1" w:unhideWhenUsed="1"/>
    <w:lsdException w:name="toa heading" w:locked="0" w:semiHidden="1" w:unhideWhenUsed="1"/>
    <w:lsdException w:name="List" w:semiHidden="1" w:unhideWhenUsed="1"/>
    <w:lsdException w:name="List Bullet" w:semiHidden="1" w:unhideWhenUsed="1" w:qFormat="1"/>
    <w:lsdException w:name="List Number" w:semiHidden="1" w:uiPriority="13" w:qFormat="1"/>
    <w:lsdException w:name="List 2" w:semiHidden="1" w:unhideWhenUsed="1"/>
    <w:lsdException w:name="List 3" w:semiHidden="1" w:unhideWhenUsed="1"/>
    <w:lsdException w:name="List 4" w:semiHidden="1"/>
    <w:lsdException w:name="List 5" w:semiHidden="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iPriority="13" w:unhideWhenUsed="1" w:qFormat="1"/>
    <w:lsdException w:name="List Number 3" w:semiHidden="1" w:uiPriority="13" w:unhideWhenUsed="1" w:qFormat="1"/>
    <w:lsdException w:name="List Number 4" w:semiHidden="1" w:uiPriority="13" w:unhideWhenUsed="1"/>
    <w:lsdException w:name="List Number 5" w:semiHidden="1" w:uiPriority="13" w:unhideWhenUsed="1"/>
    <w:lsdException w:name="Title" w:locked="0" w:qFormat="1"/>
    <w:lsdException w:name="Closing" w:locked="0" w:semiHidden="1" w:unhideWhenUsed="1"/>
    <w:lsdException w:name="Signature" w:locked="0"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locked="0" w:semiHidden="1" w:unhideWhenUsed="1"/>
    <w:lsdException w:name="Subtitle" w:locked="0" w:semiHidden="1" w:qFormat="1"/>
    <w:lsdException w:name="Salutation" w:locked="0" w:semiHidden="1" w:unhideWhenUsed="1"/>
    <w:lsdException w:name="Date" w:locked="0"/>
    <w:lsdException w:name="Body Text First Indent" w:semiHidden="1"/>
    <w:lsdException w:name="Body Text First Indent 2" w:semiHidden="1" w:unhideWhenUsed="1"/>
    <w:lsdException w:name="Note Heading" w:locked="0"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0" w:semiHidden="1" w:unhideWhenUsed="1"/>
    <w:lsdException w:name="Hyperlink" w:locked="0" w:semiHidden="1" w:uiPriority="99" w:unhideWhenUsed="1"/>
    <w:lsdException w:name="FollowedHyperlink" w:locked="0" w:semiHidden="1" w:unhideWhenUsed="1"/>
    <w:lsdException w:name="Strong" w:locked="0" w:semiHidden="1" w:qFormat="1"/>
    <w:lsdException w:name="Emphasis" w:semiHidden="1" w:qFormat="1"/>
    <w:lsdException w:name="Document Map" w:locked="0"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iPriority="99" w:unhideWhenUsed="1"/>
    <w:lsdException w:name="HTML Acronym" w:semiHidden="1" w:uiPriority="49" w:unhideWhenUsed="1"/>
    <w:lsdException w:name="HTML Address" w:semiHidden="1" w:uiPriority="49" w:unhideWhenUsed="1"/>
    <w:lsdException w:name="HTML Cite" w:semiHidden="1" w:uiPriority="49" w:unhideWhenUsed="1"/>
    <w:lsdException w:name="HTML Code" w:semiHidden="1" w:uiPriority="49" w:unhideWhenUsed="1"/>
    <w:lsdException w:name="HTML Definition" w:semiHidden="1" w:uiPriority="49" w:unhideWhenUsed="1"/>
    <w:lsdException w:name="HTML Keyboard" w:semiHidden="1" w:uiPriority="49" w:unhideWhenUsed="1"/>
    <w:lsdException w:name="HTML Preformatted" w:semiHidden="1" w:uiPriority="49" w:unhideWhenUsed="1"/>
    <w:lsdException w:name="HTML Sample" w:semiHidden="1" w:uiPriority="49" w:unhideWhenUsed="1"/>
    <w:lsdException w:name="HTML Typewriter" w:semiHidden="1" w:uiPriority="49" w:unhideWhenUsed="1"/>
    <w:lsdException w:name="HTML Variable" w:semiHidden="1" w:uiPriority="49" w:unhideWhenUsed="1"/>
    <w:lsdException w:name="Normal Table" w:locked="0" w:semiHidden="1" w:unhideWhenUsed="1"/>
    <w:lsdException w:name="annotation subject" w:locked="0" w:semiHidden="1" w:unhideWhenUsed="1"/>
    <w:lsdException w:name="No List" w:locked="0" w:semiHidden="1" w:uiPriority="99"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locked="0" w:semiHidden="1" w:unhideWhenUsed="1"/>
    <w:lsdException w:name="Placeholder Text" w:locked="0" w:semiHidden="1" w:uiPriority="99"/>
    <w:lsdException w:name="No Spacing" w:locked="0"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uiPriority="34" w:qFormat="1"/>
    <w:lsdException w:name="Quote" w:locked="0"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next w:val="PwCNormal"/>
    <w:uiPriority w:val="39"/>
    <w:rsid w:val="00B7137F"/>
    <w:pPr>
      <w:kinsoku w:val="0"/>
      <w:overflowPunct w:val="0"/>
      <w:autoSpaceDE w:val="0"/>
      <w:autoSpaceDN w:val="0"/>
      <w:adjustRightInd w:val="0"/>
      <w:snapToGrid w:val="0"/>
      <w:spacing w:line="281" w:lineRule="auto"/>
    </w:pPr>
    <w:rPr>
      <w:rFonts w:asciiTheme="minorHAnsi" w:hAnsiTheme="minorHAnsi" w:cs="Arial"/>
      <w:snapToGrid w:val="0"/>
      <w:sz w:val="18"/>
      <w:lang w:eastAsia="en-US"/>
    </w:rPr>
  </w:style>
  <w:style w:type="paragraph" w:styleId="Heading1">
    <w:name w:val="heading 1"/>
    <w:aliases w:val="Chapter Heading (Long)"/>
    <w:basedOn w:val="Normal"/>
    <w:next w:val="PwCNormal"/>
    <w:uiPriority w:val="1"/>
    <w:rsid w:val="00450239"/>
    <w:pPr>
      <w:framePr w:w="5103" w:wrap="around" w:vAnchor="page" w:hAnchor="page" w:x="5955" w:y="3687"/>
      <w:spacing w:line="640" w:lineRule="atLeast"/>
      <w:outlineLvl w:val="0"/>
    </w:pPr>
    <w:rPr>
      <w:bCs/>
      <w:color w:val="FFFFFF" w:themeColor="background1"/>
      <w:sz w:val="60"/>
      <w:szCs w:val="72"/>
    </w:rPr>
  </w:style>
  <w:style w:type="paragraph" w:styleId="Heading2">
    <w:name w:val="heading 2"/>
    <w:aliases w:val="Chapter Heading (Short)"/>
    <w:basedOn w:val="Normal"/>
    <w:next w:val="PwCNormal"/>
    <w:link w:val="Heading2Char"/>
    <w:uiPriority w:val="1"/>
    <w:rsid w:val="00842A36"/>
    <w:pPr>
      <w:keepNext/>
      <w:keepLines/>
      <w:pageBreakBefore/>
      <w:numPr>
        <w:ilvl w:val="1"/>
        <w:numId w:val="29"/>
      </w:numPr>
      <w:spacing w:after="180" w:line="640" w:lineRule="atLeast"/>
      <w:outlineLvl w:val="1"/>
    </w:pPr>
    <w:rPr>
      <w:rFonts w:asciiTheme="majorHAnsi" w:hAnsiTheme="majorHAnsi"/>
      <w:bCs/>
      <w:iCs/>
      <w:color w:val="D04A02" w:themeColor="accent1"/>
      <w:sz w:val="60"/>
      <w:szCs w:val="36"/>
    </w:rPr>
  </w:style>
  <w:style w:type="paragraph" w:styleId="Heading3">
    <w:name w:val="heading 3"/>
    <w:aliases w:val="Appendix Heading (Long)"/>
    <w:basedOn w:val="Heading1"/>
    <w:next w:val="PwCNormal"/>
    <w:uiPriority w:val="1"/>
    <w:rsid w:val="007F7653"/>
    <w:pPr>
      <w:framePr w:wrap="around"/>
      <w:numPr>
        <w:ilvl w:val="5"/>
        <w:numId w:val="28"/>
      </w:numPr>
      <w:outlineLvl w:val="2"/>
    </w:pPr>
    <w:rPr>
      <w:bCs w:val="0"/>
    </w:rPr>
  </w:style>
  <w:style w:type="paragraph" w:styleId="Heading4">
    <w:name w:val="heading 4"/>
    <w:aliases w:val="Appendix Heading (Short)"/>
    <w:basedOn w:val="Heading2"/>
    <w:next w:val="PwCNormal"/>
    <w:uiPriority w:val="1"/>
    <w:rsid w:val="00842A36"/>
    <w:pPr>
      <w:pageBreakBefore w:val="0"/>
      <w:numPr>
        <w:ilvl w:val="4"/>
      </w:numPr>
      <w:outlineLvl w:val="3"/>
    </w:pPr>
    <w:rPr>
      <w:bCs w:val="0"/>
    </w:rPr>
  </w:style>
  <w:style w:type="paragraph" w:styleId="Heading5">
    <w:name w:val="heading 5"/>
    <w:basedOn w:val="Heading2"/>
    <w:next w:val="PwCNormal"/>
    <w:uiPriority w:val="1"/>
    <w:rsid w:val="00842A36"/>
    <w:pPr>
      <w:pageBreakBefore w:val="0"/>
      <w:numPr>
        <w:ilvl w:val="0"/>
        <w:numId w:val="0"/>
      </w:numPr>
      <w:spacing w:before="360" w:line="380" w:lineRule="atLeast"/>
      <w:outlineLvl w:val="4"/>
    </w:pPr>
    <w:rPr>
      <w:bCs w:val="0"/>
      <w:iCs w:val="0"/>
      <w:sz w:val="32"/>
      <w:szCs w:val="32"/>
    </w:rPr>
  </w:style>
  <w:style w:type="paragraph" w:styleId="Heading6">
    <w:name w:val="heading 6"/>
    <w:basedOn w:val="Heading2"/>
    <w:next w:val="PwCNormal"/>
    <w:uiPriority w:val="1"/>
    <w:rsid w:val="00842A36"/>
    <w:pPr>
      <w:pageBreakBefore w:val="0"/>
      <w:numPr>
        <w:ilvl w:val="2"/>
      </w:numPr>
      <w:spacing w:after="120" w:line="300" w:lineRule="atLeast"/>
      <w:outlineLvl w:val="5"/>
    </w:pPr>
    <w:rPr>
      <w:rFonts w:asciiTheme="minorHAnsi" w:hAnsiTheme="minorHAnsi"/>
      <w:b/>
      <w:bCs w:val="0"/>
      <w:color w:val="000000" w:themeColor="text1"/>
      <w:sz w:val="24"/>
    </w:rPr>
  </w:style>
  <w:style w:type="paragraph" w:styleId="Heading7">
    <w:name w:val="heading 7"/>
    <w:basedOn w:val="Heading6"/>
    <w:next w:val="PwCNormal"/>
    <w:uiPriority w:val="1"/>
    <w:rsid w:val="00E20979"/>
    <w:pPr>
      <w:numPr>
        <w:ilvl w:val="3"/>
      </w:numPr>
      <w:spacing w:after="0" w:line="260" w:lineRule="atLeast"/>
      <w:outlineLvl w:val="6"/>
    </w:pPr>
    <w:rPr>
      <w:sz w:val="18"/>
      <w:szCs w:val="28"/>
    </w:rPr>
  </w:style>
  <w:style w:type="paragraph" w:styleId="Heading8">
    <w:name w:val="heading 8"/>
    <w:basedOn w:val="Majorheading"/>
    <w:next w:val="PwCNormal"/>
    <w:uiPriority w:val="1"/>
    <w:rsid w:val="00842A36"/>
    <w:pPr>
      <w:numPr>
        <w:ilvl w:val="6"/>
        <w:numId w:val="29"/>
      </w:numPr>
      <w:outlineLvl w:val="7"/>
    </w:pPr>
    <w:rPr>
      <w:sz w:val="32"/>
      <w:szCs w:val="21"/>
    </w:rPr>
  </w:style>
  <w:style w:type="paragraph" w:styleId="Heading9">
    <w:name w:val="heading 9"/>
    <w:basedOn w:val="Heading8"/>
    <w:next w:val="PwCNormal"/>
    <w:uiPriority w:val="1"/>
    <w:rsid w:val="00842A36"/>
    <w:pPr>
      <w:numPr>
        <w:ilvl w:val="0"/>
        <w:numId w:val="0"/>
      </w:numPr>
      <w:outlineLvl w:val="8"/>
    </w:pPr>
    <w:rPr>
      <w:b w:val="0"/>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42A36"/>
    <w:pPr>
      <w:tabs>
        <w:tab w:val="right" w:pos="9865"/>
      </w:tabs>
    </w:pPr>
    <w:rPr>
      <w:rFonts w:ascii="Arial" w:hAnsi="Arial"/>
      <w:color w:val="000000" w:themeColor="text1"/>
      <w:sz w:val="19"/>
      <w:szCs w:val="18"/>
    </w:rPr>
  </w:style>
  <w:style w:type="paragraph" w:styleId="Footer">
    <w:name w:val="footer"/>
    <w:basedOn w:val="Normal"/>
    <w:link w:val="FooterChar"/>
    <w:uiPriority w:val="99"/>
    <w:rsid w:val="00842A36"/>
    <w:pPr>
      <w:tabs>
        <w:tab w:val="right" w:pos="9865"/>
      </w:tabs>
      <w:spacing w:line="0" w:lineRule="atLeast"/>
    </w:pPr>
    <w:rPr>
      <w:rFonts w:ascii="Arial" w:hAnsi="Arial"/>
      <w:color w:val="000000" w:themeColor="text1"/>
      <w:sz w:val="19"/>
      <w:szCs w:val="18"/>
    </w:rPr>
  </w:style>
  <w:style w:type="paragraph" w:customStyle="1" w:styleId="TOCtitle">
    <w:name w:val="TOC title"/>
    <w:basedOn w:val="Heading2"/>
    <w:next w:val="PwCNormal"/>
    <w:uiPriority w:val="49"/>
    <w:unhideWhenUsed/>
    <w:rsid w:val="00267225"/>
    <w:pPr>
      <w:numPr>
        <w:ilvl w:val="0"/>
        <w:numId w:val="0"/>
      </w:numPr>
      <w:spacing w:after="1200"/>
    </w:pPr>
    <w:rPr>
      <w:color w:val="EB8C00" w:themeColor="accent4"/>
    </w:rPr>
  </w:style>
  <w:style w:type="paragraph" w:customStyle="1" w:styleId="Covertitle">
    <w:name w:val="Cover title"/>
    <w:basedOn w:val="KeySentenceInside"/>
    <w:next w:val="Coversubtitle"/>
    <w:uiPriority w:val="19"/>
    <w:rsid w:val="00842A36"/>
    <w:pPr>
      <w:framePr w:w="2154" w:wrap="notBeside" w:vAnchor="page" w:hAnchor="page" w:x="928" w:y="8414"/>
      <w:spacing w:before="200"/>
      <w:ind w:left="113"/>
    </w:pPr>
    <w:rPr>
      <w:rFonts w:asciiTheme="majorHAnsi" w:hAnsiTheme="majorHAnsi"/>
      <w:color w:val="auto"/>
      <w:sz w:val="19"/>
      <w:lang w:val="en-GB"/>
    </w:rPr>
  </w:style>
  <w:style w:type="paragraph" w:customStyle="1" w:styleId="Coversubtitle">
    <w:name w:val="Cover subtitle"/>
    <w:basedOn w:val="Covertitle"/>
    <w:uiPriority w:val="19"/>
    <w:rsid w:val="00842A36"/>
    <w:pPr>
      <w:framePr w:wrap="notBeside"/>
      <w:spacing w:before="180"/>
    </w:pPr>
    <w:rPr>
      <w:bCs/>
      <w:szCs w:val="64"/>
    </w:rPr>
  </w:style>
  <w:style w:type="paragraph" w:customStyle="1" w:styleId="AppendixNumberLong">
    <w:name w:val="Appendix Number (Long)"/>
    <w:basedOn w:val="Heading3"/>
    <w:next w:val="Heading3"/>
    <w:uiPriority w:val="19"/>
    <w:rsid w:val="00450239"/>
    <w:pPr>
      <w:keepNext/>
      <w:keepLines/>
      <w:pageBreakBefore/>
      <w:framePr w:w="0" w:wrap="auto" w:vAnchor="margin" w:hAnchor="text" w:xAlign="left" w:yAlign="inline"/>
      <w:numPr>
        <w:numId w:val="29"/>
      </w:numPr>
    </w:pPr>
    <w:rPr>
      <w:sz w:val="760"/>
    </w:rPr>
  </w:style>
  <w:style w:type="paragraph" w:customStyle="1" w:styleId="ChapterNumberLong">
    <w:name w:val="Chapter Number (Long)"/>
    <w:basedOn w:val="Heading1"/>
    <w:next w:val="Heading1"/>
    <w:uiPriority w:val="19"/>
    <w:rsid w:val="00C72DA8"/>
    <w:pPr>
      <w:pageBreakBefore/>
      <w:framePr w:w="5670" w:wrap="around" w:vAnchor="text" w:hAnchor="text" w:xAlign="left" w:y="1"/>
      <w:numPr>
        <w:numId w:val="29"/>
      </w:numPr>
    </w:pPr>
    <w:rPr>
      <w:sz w:val="900"/>
    </w:rPr>
  </w:style>
  <w:style w:type="paragraph" w:customStyle="1" w:styleId="Footer-Even">
    <w:name w:val="Footer - Even"/>
    <w:basedOn w:val="Footer"/>
    <w:uiPriority w:val="39"/>
    <w:rsid w:val="00842A36"/>
  </w:style>
  <w:style w:type="paragraph" w:customStyle="1" w:styleId="URL">
    <w:name w:val="URL"/>
    <w:basedOn w:val="Copyright"/>
    <w:next w:val="PwCNormal"/>
    <w:uiPriority w:val="49"/>
    <w:rsid w:val="00842A36"/>
    <w:pPr>
      <w:framePr w:wrap="around" w:vAnchor="page" w:hAnchor="page" w:x="1030" w:y="12475"/>
      <w:spacing w:line="240" w:lineRule="auto"/>
    </w:pPr>
    <w:rPr>
      <w:color w:val="000000" w:themeColor="text1"/>
      <w:sz w:val="24"/>
      <w:szCs w:val="24"/>
    </w:rPr>
  </w:style>
  <w:style w:type="paragraph" w:customStyle="1" w:styleId="Indent1">
    <w:name w:val="Indent 1"/>
    <w:basedOn w:val="Normal"/>
    <w:uiPriority w:val="49"/>
    <w:qFormat/>
    <w:rsid w:val="00842A36"/>
    <w:pPr>
      <w:numPr>
        <w:ilvl w:val="1"/>
        <w:numId w:val="16"/>
      </w:numPr>
      <w:spacing w:before="100" w:after="100"/>
    </w:pPr>
    <w:rPr>
      <w:rFonts w:cs="Times New Roman"/>
    </w:rPr>
  </w:style>
  <w:style w:type="paragraph" w:customStyle="1" w:styleId="Indent2">
    <w:name w:val="Indent 2"/>
    <w:basedOn w:val="Indent1"/>
    <w:uiPriority w:val="49"/>
    <w:qFormat/>
    <w:rsid w:val="00842A36"/>
    <w:pPr>
      <w:numPr>
        <w:ilvl w:val="2"/>
      </w:numPr>
    </w:pPr>
  </w:style>
  <w:style w:type="paragraph" w:customStyle="1" w:styleId="Indent3">
    <w:name w:val="Indent 3"/>
    <w:basedOn w:val="Indent2"/>
    <w:uiPriority w:val="49"/>
    <w:qFormat/>
    <w:rsid w:val="00842A36"/>
    <w:pPr>
      <w:numPr>
        <w:ilvl w:val="3"/>
      </w:numPr>
    </w:pPr>
  </w:style>
  <w:style w:type="paragraph" w:customStyle="1" w:styleId="Indent5">
    <w:name w:val="Indent 5"/>
    <w:basedOn w:val="Indent4"/>
    <w:uiPriority w:val="49"/>
    <w:rsid w:val="00842A36"/>
    <w:pPr>
      <w:numPr>
        <w:ilvl w:val="5"/>
      </w:numPr>
    </w:pPr>
  </w:style>
  <w:style w:type="paragraph" w:customStyle="1" w:styleId="Indent6">
    <w:name w:val="Indent 6"/>
    <w:basedOn w:val="Indent5"/>
    <w:uiPriority w:val="49"/>
    <w:rsid w:val="00842A36"/>
    <w:pPr>
      <w:numPr>
        <w:ilvl w:val="6"/>
      </w:numPr>
    </w:pPr>
  </w:style>
  <w:style w:type="paragraph" w:customStyle="1" w:styleId="Indent7">
    <w:name w:val="Indent 7"/>
    <w:basedOn w:val="Indent6"/>
    <w:uiPriority w:val="49"/>
    <w:rsid w:val="00842A36"/>
    <w:pPr>
      <w:numPr>
        <w:ilvl w:val="7"/>
      </w:numPr>
    </w:pPr>
  </w:style>
  <w:style w:type="numbering" w:customStyle="1" w:styleId="Indents">
    <w:name w:val="Indents"/>
    <w:rsid w:val="00842A36"/>
    <w:pPr>
      <w:numPr>
        <w:numId w:val="9"/>
      </w:numPr>
    </w:pPr>
  </w:style>
  <w:style w:type="paragraph" w:customStyle="1" w:styleId="Copyright">
    <w:name w:val="Copyright"/>
    <w:basedOn w:val="Normal"/>
    <w:uiPriority w:val="19"/>
    <w:rsid w:val="00842A36"/>
    <w:rPr>
      <w:rFonts w:ascii="Arial" w:hAnsi="Arial"/>
      <w:color w:val="FFFFFF" w:themeColor="background1"/>
      <w:sz w:val="16"/>
      <w:lang w:val="en-US"/>
    </w:rPr>
  </w:style>
  <w:style w:type="paragraph" w:customStyle="1" w:styleId="Header-Even">
    <w:name w:val="Header - Even"/>
    <w:basedOn w:val="Header"/>
    <w:uiPriority w:val="39"/>
    <w:rsid w:val="00842A36"/>
  </w:style>
  <w:style w:type="paragraph" w:customStyle="1" w:styleId="PleaseNote">
    <w:name w:val="Please Note"/>
    <w:basedOn w:val="PrefaceTitle"/>
    <w:next w:val="PwCNormal"/>
    <w:uiPriority w:val="29"/>
    <w:rsid w:val="00842A36"/>
    <w:rPr>
      <w:iCs w:val="0"/>
    </w:rPr>
  </w:style>
  <w:style w:type="paragraph" w:customStyle="1" w:styleId="Indent4">
    <w:name w:val="Indent 4"/>
    <w:basedOn w:val="Indent3"/>
    <w:uiPriority w:val="49"/>
    <w:rsid w:val="00842A36"/>
    <w:pPr>
      <w:numPr>
        <w:ilvl w:val="4"/>
      </w:numPr>
    </w:pPr>
  </w:style>
  <w:style w:type="paragraph" w:styleId="TOC2">
    <w:name w:val="toc 2"/>
    <w:basedOn w:val="TOC1"/>
    <w:next w:val="PwCNormal"/>
    <w:uiPriority w:val="39"/>
    <w:rsid w:val="001F55E5"/>
    <w:pPr>
      <w:numPr>
        <w:numId w:val="0"/>
      </w:numPr>
      <w:spacing w:line="300" w:lineRule="atLeast"/>
      <w:ind w:left="567" w:hanging="567"/>
    </w:pPr>
    <w:rPr>
      <w:sz w:val="24"/>
    </w:rPr>
  </w:style>
  <w:style w:type="paragraph" w:styleId="TOC4">
    <w:name w:val="toc 4"/>
    <w:basedOn w:val="TOC2"/>
    <w:next w:val="PwCNormal"/>
    <w:uiPriority w:val="39"/>
    <w:rsid w:val="00842A36"/>
    <w:pPr>
      <w:tabs>
        <w:tab w:val="left" w:pos="1418"/>
      </w:tabs>
      <w:ind w:left="1418" w:hanging="1418"/>
    </w:pPr>
  </w:style>
  <w:style w:type="paragraph" w:styleId="TOC7">
    <w:name w:val="toc 7"/>
    <w:basedOn w:val="TOC6"/>
    <w:next w:val="PwCNormal"/>
    <w:uiPriority w:val="39"/>
    <w:rsid w:val="00842A36"/>
    <w:pPr>
      <w:tabs>
        <w:tab w:val="clear" w:pos="1134"/>
        <w:tab w:val="left" w:pos="1985"/>
      </w:tabs>
      <w:ind w:left="1985" w:hanging="851"/>
    </w:pPr>
  </w:style>
  <w:style w:type="paragraph" w:customStyle="1" w:styleId="KeySentenceInside">
    <w:name w:val="Key Sentence Inside"/>
    <w:basedOn w:val="KeySentence"/>
    <w:uiPriority w:val="39"/>
    <w:rsid w:val="00842A36"/>
    <w:pPr>
      <w:framePr w:w="2296" w:wrap="notBeside" w:vAnchor="text" w:hAnchor="margin" w:x="-2521" w:y="1" w:anchorLock="1"/>
    </w:pPr>
  </w:style>
  <w:style w:type="paragraph" w:customStyle="1" w:styleId="ChapterNumberedList1">
    <w:name w:val="Chapter Numbered List 1"/>
    <w:basedOn w:val="PwCNormal"/>
    <w:uiPriority w:val="19"/>
    <w:rsid w:val="00842A36"/>
    <w:pPr>
      <w:numPr>
        <w:ilvl w:val="7"/>
        <w:numId w:val="29"/>
      </w:numPr>
      <w:spacing w:before="120"/>
    </w:pPr>
  </w:style>
  <w:style w:type="paragraph" w:customStyle="1" w:styleId="ChapterNumberedList2">
    <w:name w:val="Chapter Numbered List 2"/>
    <w:basedOn w:val="ChapterNumberedList1"/>
    <w:uiPriority w:val="19"/>
    <w:rsid w:val="00842A36"/>
    <w:pPr>
      <w:numPr>
        <w:ilvl w:val="8"/>
      </w:numPr>
    </w:pPr>
  </w:style>
  <w:style w:type="paragraph" w:styleId="TOC6">
    <w:name w:val="toc 6"/>
    <w:basedOn w:val="TOC2"/>
    <w:next w:val="PwCNormal"/>
    <w:uiPriority w:val="39"/>
    <w:rsid w:val="00842A36"/>
    <w:pPr>
      <w:tabs>
        <w:tab w:val="left" w:pos="1134"/>
      </w:tabs>
      <w:ind w:left="1134"/>
    </w:pPr>
  </w:style>
  <w:style w:type="paragraph" w:customStyle="1" w:styleId="PwCNormal">
    <w:name w:val="PwC Normal"/>
    <w:basedOn w:val="Normal"/>
    <w:link w:val="PwCNormalChar"/>
    <w:qFormat/>
    <w:rsid w:val="00842A36"/>
    <w:pPr>
      <w:numPr>
        <w:numId w:val="16"/>
      </w:numPr>
      <w:spacing w:before="240" w:after="120"/>
    </w:pPr>
    <w:rPr>
      <w:color w:val="000000" w:themeColor="text1"/>
    </w:rPr>
  </w:style>
  <w:style w:type="paragraph" w:customStyle="1" w:styleId="CoverDate">
    <w:name w:val="Cover Date"/>
    <w:basedOn w:val="Coversubtitle"/>
    <w:uiPriority w:val="19"/>
    <w:rsid w:val="006E205E"/>
    <w:pPr>
      <w:framePr w:w="0" w:wrap="auto" w:vAnchor="margin" w:hAnchor="text" w:xAlign="left" w:yAlign="inline"/>
      <w:spacing w:before="240" w:after="0" w:line="320" w:lineRule="atLeast"/>
      <w:ind w:left="0"/>
    </w:pPr>
    <w:rPr>
      <w:rFonts w:asciiTheme="minorHAnsi" w:hAnsiTheme="minorHAnsi"/>
      <w:color w:val="000000"/>
      <w:sz w:val="20"/>
    </w:rPr>
  </w:style>
  <w:style w:type="paragraph" w:customStyle="1" w:styleId="KeySentenceOutside">
    <w:name w:val="Key Sentence Outside"/>
    <w:basedOn w:val="KeySentence"/>
    <w:uiPriority w:val="39"/>
    <w:rsid w:val="00842A36"/>
    <w:pPr>
      <w:framePr w:w="2410" w:wrap="around" w:vAnchor="text" w:hAnchor="margin" w:x="7909" w:y="1" w:anchorLock="1"/>
    </w:pPr>
  </w:style>
  <w:style w:type="character" w:customStyle="1" w:styleId="PwCNormalChar">
    <w:name w:val="PwC Normal Char"/>
    <w:basedOn w:val="DefaultParagraphFont"/>
    <w:link w:val="PwCNormal"/>
    <w:rsid w:val="00842A36"/>
    <w:rPr>
      <w:rFonts w:asciiTheme="minorHAnsi" w:hAnsiTheme="minorHAnsi" w:cs="Arial"/>
      <w:snapToGrid w:val="0"/>
      <w:color w:val="000000" w:themeColor="text1"/>
      <w:sz w:val="18"/>
      <w:lang w:eastAsia="en-US"/>
    </w:rPr>
  </w:style>
  <w:style w:type="paragraph" w:styleId="TOC1">
    <w:name w:val="toc 1"/>
    <w:basedOn w:val="Normal"/>
    <w:next w:val="PwCNormal"/>
    <w:uiPriority w:val="39"/>
    <w:rsid w:val="00E87E0A"/>
    <w:pPr>
      <w:numPr>
        <w:numId w:val="25"/>
      </w:numPr>
      <w:tabs>
        <w:tab w:val="right" w:pos="8675"/>
      </w:tabs>
      <w:spacing w:before="240" w:after="240" w:line="240" w:lineRule="atLeast"/>
      <w:ind w:right="851"/>
    </w:pPr>
  </w:style>
  <w:style w:type="paragraph" w:customStyle="1" w:styleId="CREATISID">
    <w:name w:val="CREATISID"/>
    <w:basedOn w:val="PwCNormal"/>
    <w:uiPriority w:val="19"/>
    <w:unhideWhenUsed/>
    <w:rsid w:val="00842A36"/>
    <w:pPr>
      <w:framePr w:w="227" w:h="539" w:wrap="notBeside" w:vAnchor="page" w:hAnchor="page" w:x="511" w:y="15594"/>
      <w:numPr>
        <w:numId w:val="0"/>
      </w:numPr>
      <w:spacing w:after="0"/>
      <w:textDirection w:val="btLr"/>
    </w:pPr>
    <w:rPr>
      <w:rFonts w:eastAsia="MS Mincho"/>
      <w:sz w:val="10"/>
      <w:szCs w:val="12"/>
      <w:lang w:eastAsia="ja-JP"/>
    </w:rPr>
  </w:style>
  <w:style w:type="numbering" w:customStyle="1" w:styleId="BulletList">
    <w:name w:val="Bullet List"/>
    <w:rsid w:val="00842A36"/>
    <w:pPr>
      <w:numPr>
        <w:numId w:val="4"/>
      </w:numPr>
    </w:pPr>
  </w:style>
  <w:style w:type="paragraph" w:customStyle="1" w:styleId="Footer-Landscape">
    <w:name w:val="Footer - Landscape"/>
    <w:basedOn w:val="Footer"/>
    <w:uiPriority w:val="39"/>
    <w:rsid w:val="00842A36"/>
    <w:pPr>
      <w:tabs>
        <w:tab w:val="clear" w:pos="9865"/>
        <w:tab w:val="right" w:pos="14797"/>
      </w:tabs>
    </w:pPr>
  </w:style>
  <w:style w:type="paragraph" w:customStyle="1" w:styleId="TableBullet1Normal">
    <w:name w:val="Table Bullet 1 Normal"/>
    <w:basedOn w:val="TableTextNormal"/>
    <w:rsid w:val="00842A36"/>
    <w:pPr>
      <w:numPr>
        <w:numId w:val="17"/>
      </w:numPr>
      <w:spacing w:before="40" w:after="40"/>
    </w:pPr>
  </w:style>
  <w:style w:type="paragraph" w:customStyle="1" w:styleId="TableTextNormal">
    <w:name w:val="Table Text Normal"/>
    <w:basedOn w:val="Normal"/>
    <w:rsid w:val="00842A36"/>
    <w:pPr>
      <w:spacing w:before="80" w:after="80"/>
    </w:pPr>
  </w:style>
  <w:style w:type="paragraph" w:customStyle="1" w:styleId="TableBullet1Small">
    <w:name w:val="Table Bullet 1 Small"/>
    <w:basedOn w:val="TableTextSmall"/>
    <w:rsid w:val="00842A36"/>
    <w:pPr>
      <w:numPr>
        <w:numId w:val="18"/>
      </w:numPr>
      <w:spacing w:before="20" w:after="20"/>
    </w:pPr>
  </w:style>
  <w:style w:type="paragraph" w:customStyle="1" w:styleId="TableTextSmall">
    <w:name w:val="Table Text Small"/>
    <w:basedOn w:val="Normal"/>
    <w:rsid w:val="00842A36"/>
    <w:pPr>
      <w:spacing w:before="40" w:after="40"/>
    </w:pPr>
    <w:rPr>
      <w:rFonts w:ascii="Arial" w:hAnsi="Arial"/>
      <w:sz w:val="16"/>
      <w:szCs w:val="18"/>
    </w:rPr>
  </w:style>
  <w:style w:type="paragraph" w:customStyle="1" w:styleId="TableBullet3Normal">
    <w:name w:val="Table Bullet 3 Normal"/>
    <w:basedOn w:val="TableBullet2Normal"/>
    <w:rsid w:val="00842A36"/>
    <w:pPr>
      <w:numPr>
        <w:ilvl w:val="2"/>
      </w:numPr>
    </w:pPr>
  </w:style>
  <w:style w:type="paragraph" w:customStyle="1" w:styleId="TableBullet3Small">
    <w:name w:val="Table Bullet 3 Small"/>
    <w:basedOn w:val="TableBullet2Small"/>
    <w:rsid w:val="00842A36"/>
    <w:pPr>
      <w:numPr>
        <w:ilvl w:val="2"/>
      </w:numPr>
    </w:pPr>
    <w:rPr>
      <w:szCs w:val="16"/>
    </w:rPr>
  </w:style>
  <w:style w:type="paragraph" w:customStyle="1" w:styleId="BlockText2">
    <w:name w:val="Block Text 2"/>
    <w:basedOn w:val="Normal"/>
    <w:uiPriority w:val="19"/>
    <w:rsid w:val="00842A36"/>
    <w:pPr>
      <w:pBdr>
        <w:top w:val="single" w:sz="2" w:space="10" w:color="464646" w:themeColor="accent6"/>
        <w:left w:val="single" w:sz="2" w:space="10" w:color="464646" w:themeColor="accent6"/>
        <w:bottom w:val="single" w:sz="2" w:space="10" w:color="464646" w:themeColor="accent6"/>
        <w:right w:val="single" w:sz="2" w:space="10" w:color="464646" w:themeColor="accent6"/>
      </w:pBdr>
      <w:shd w:val="clear" w:color="auto" w:fill="464646" w:themeFill="accent6"/>
      <w:kinsoku/>
      <w:overflowPunct/>
      <w:autoSpaceDE/>
      <w:autoSpaceDN/>
      <w:adjustRightInd/>
      <w:snapToGrid/>
      <w:spacing w:after="420" w:line="221" w:lineRule="auto"/>
      <w:ind w:left="227" w:right="227"/>
    </w:pPr>
    <w:rPr>
      <w:rFonts w:ascii="Georgia" w:eastAsiaTheme="minorHAnsi" w:hAnsi="Georgia" w:cstheme="minorBidi"/>
      <w:snapToGrid/>
      <w:color w:val="FFFFFF" w:themeColor="background1"/>
      <w:sz w:val="80"/>
      <w:szCs w:val="48"/>
      <w:lang w:val="en-GB"/>
    </w:rPr>
  </w:style>
  <w:style w:type="paragraph" w:customStyle="1" w:styleId="Appendix">
    <w:name w:val="Appendix"/>
    <w:basedOn w:val="Heading1"/>
    <w:next w:val="Normal"/>
    <w:uiPriority w:val="99"/>
    <w:rsid w:val="00842A36"/>
    <w:pPr>
      <w:keepNext/>
      <w:keepLines/>
      <w:framePr w:wrap="around"/>
      <w:numPr>
        <w:numId w:val="13"/>
      </w:numPr>
      <w:kinsoku/>
      <w:overflowPunct/>
      <w:autoSpaceDE/>
      <w:autoSpaceDN/>
      <w:adjustRightInd/>
      <w:snapToGrid/>
      <w:spacing w:after="480" w:line="600" w:lineRule="atLeast"/>
    </w:pPr>
    <w:rPr>
      <w:rFonts w:eastAsiaTheme="majorEastAsia" w:cstheme="majorBidi"/>
      <w:snapToGrid/>
      <w:szCs w:val="28"/>
      <w:lang w:val="en-GB"/>
    </w:rPr>
  </w:style>
  <w:style w:type="numbering" w:customStyle="1" w:styleId="PwCAppendixList1">
    <w:name w:val="PwC Appendix List 1"/>
    <w:uiPriority w:val="99"/>
    <w:rsid w:val="00842A36"/>
    <w:pPr>
      <w:numPr>
        <w:numId w:val="13"/>
      </w:numPr>
    </w:pPr>
  </w:style>
  <w:style w:type="paragraph" w:styleId="Caption">
    <w:name w:val="caption"/>
    <w:basedOn w:val="Normal"/>
    <w:next w:val="Normal"/>
    <w:uiPriority w:val="4"/>
    <w:unhideWhenUsed/>
    <w:rsid w:val="00842A36"/>
    <w:pPr>
      <w:keepNext/>
      <w:keepLines/>
      <w:tabs>
        <w:tab w:val="left" w:pos="992"/>
      </w:tabs>
      <w:spacing w:before="240" w:after="120"/>
      <w:ind w:left="992" w:hanging="992"/>
    </w:pPr>
    <w:rPr>
      <w:bCs/>
      <w:color w:val="D04A02" w:themeColor="accent1"/>
      <w:szCs w:val="18"/>
    </w:rPr>
  </w:style>
  <w:style w:type="paragraph" w:customStyle="1" w:styleId="Majorheading">
    <w:name w:val="Major heading"/>
    <w:basedOn w:val="Normal"/>
    <w:next w:val="PwCNormal"/>
    <w:uiPriority w:val="1"/>
    <w:qFormat/>
    <w:rsid w:val="00842A36"/>
    <w:pPr>
      <w:keepNext/>
      <w:keepLines/>
      <w:spacing w:before="240" w:after="40"/>
    </w:pPr>
    <w:rPr>
      <w:b/>
      <w:color w:val="000000" w:themeColor="text1"/>
      <w:sz w:val="24"/>
      <w:szCs w:val="24"/>
    </w:rPr>
  </w:style>
  <w:style w:type="numbering" w:customStyle="1" w:styleId="TableBulletNormalList">
    <w:name w:val="Table Bullet Normal List"/>
    <w:rsid w:val="00842A36"/>
    <w:pPr>
      <w:numPr>
        <w:numId w:val="19"/>
      </w:numPr>
    </w:pPr>
  </w:style>
  <w:style w:type="paragraph" w:customStyle="1" w:styleId="Disclaimer">
    <w:name w:val="Disclaimer"/>
    <w:basedOn w:val="Normal"/>
    <w:uiPriority w:val="29"/>
    <w:unhideWhenUsed/>
    <w:rsid w:val="00842A36"/>
    <w:pPr>
      <w:spacing w:after="140"/>
    </w:pPr>
    <w:rPr>
      <w:rFonts w:ascii="Arial" w:hAnsi="Arial"/>
      <w:sz w:val="16"/>
    </w:rPr>
  </w:style>
  <w:style w:type="paragraph" w:customStyle="1" w:styleId="Footer-LandscapeEven">
    <w:name w:val="Footer - Landscape Even"/>
    <w:basedOn w:val="Footer-Landscape"/>
    <w:uiPriority w:val="39"/>
    <w:rsid w:val="00842A36"/>
  </w:style>
  <w:style w:type="paragraph" w:customStyle="1" w:styleId="PwCNormal-Single">
    <w:name w:val="PwC Normal - Single"/>
    <w:basedOn w:val="PwCNormal"/>
    <w:qFormat/>
    <w:rsid w:val="009D05C9"/>
    <w:pPr>
      <w:numPr>
        <w:numId w:val="0"/>
      </w:numPr>
      <w:spacing w:before="0" w:after="0" w:line="240" w:lineRule="auto"/>
    </w:pPr>
  </w:style>
  <w:style w:type="numbering" w:customStyle="1" w:styleId="TableNumberdListNormal">
    <w:name w:val="Table Numberd List Normal"/>
    <w:uiPriority w:val="99"/>
    <w:rsid w:val="00842A36"/>
    <w:pPr>
      <w:numPr>
        <w:numId w:val="21"/>
      </w:numPr>
    </w:pPr>
  </w:style>
  <w:style w:type="numbering" w:customStyle="1" w:styleId="TableNumberedListSmall">
    <w:name w:val="Table Numbered List Small"/>
    <w:uiPriority w:val="99"/>
    <w:rsid w:val="00842A36"/>
    <w:pPr>
      <w:numPr>
        <w:numId w:val="23"/>
      </w:numPr>
    </w:pPr>
  </w:style>
  <w:style w:type="paragraph" w:customStyle="1" w:styleId="TableIndent2Normal">
    <w:name w:val="Table Indent 2 Normal"/>
    <w:basedOn w:val="TableIndent1Normal"/>
    <w:rsid w:val="00842A36"/>
    <w:pPr>
      <w:ind w:left="567"/>
    </w:pPr>
  </w:style>
  <w:style w:type="paragraph" w:customStyle="1" w:styleId="TableIndent2Small">
    <w:name w:val="Table Indent 2 Small"/>
    <w:basedOn w:val="TableIndent1Small"/>
    <w:rsid w:val="00842A36"/>
    <w:pPr>
      <w:ind w:left="567"/>
    </w:pPr>
    <w:rPr>
      <w:szCs w:val="16"/>
    </w:rPr>
  </w:style>
  <w:style w:type="paragraph" w:customStyle="1" w:styleId="KeySentence">
    <w:name w:val="Key Sentence"/>
    <w:basedOn w:val="Normal"/>
    <w:uiPriority w:val="39"/>
    <w:rsid w:val="00842A36"/>
    <w:pPr>
      <w:spacing w:after="160" w:line="260" w:lineRule="atLeast"/>
    </w:pPr>
    <w:rPr>
      <w:color w:val="D04A02" w:themeColor="accent1"/>
      <w:sz w:val="16"/>
      <w:szCs w:val="18"/>
    </w:rPr>
  </w:style>
  <w:style w:type="paragraph" w:customStyle="1" w:styleId="Headings1">
    <w:name w:val="Headings #1"/>
    <w:basedOn w:val="Heading2"/>
    <w:link w:val="Headings1Char"/>
    <w:uiPriority w:val="39"/>
    <w:qFormat/>
    <w:rsid w:val="00C22375"/>
  </w:style>
  <w:style w:type="paragraph" w:customStyle="1" w:styleId="PrefaceTitle">
    <w:name w:val="Preface Title"/>
    <w:basedOn w:val="Heading2"/>
    <w:next w:val="PwCNormal"/>
    <w:uiPriority w:val="29"/>
    <w:rsid w:val="00842A36"/>
    <w:pPr>
      <w:numPr>
        <w:ilvl w:val="0"/>
        <w:numId w:val="0"/>
      </w:numPr>
    </w:pPr>
  </w:style>
  <w:style w:type="paragraph" w:customStyle="1" w:styleId="Sources">
    <w:name w:val="Sources"/>
    <w:basedOn w:val="Normal"/>
    <w:next w:val="PwCNormal"/>
    <w:rsid w:val="00842A36"/>
    <w:pPr>
      <w:spacing w:before="80" w:after="240" w:line="180" w:lineRule="atLeast"/>
    </w:pPr>
    <w:rPr>
      <w:color w:val="D04A02" w:themeColor="accent1"/>
      <w:sz w:val="16"/>
    </w:rPr>
  </w:style>
  <w:style w:type="paragraph" w:customStyle="1" w:styleId="Minorheading">
    <w:name w:val="Minor heading"/>
    <w:basedOn w:val="Majorheading"/>
    <w:next w:val="PwCNormal"/>
    <w:uiPriority w:val="1"/>
    <w:qFormat/>
    <w:rsid w:val="00BB5FD4"/>
    <w:pPr>
      <w:spacing w:line="180" w:lineRule="atLeast"/>
    </w:pPr>
    <w:rPr>
      <w:color w:val="D04A02" w:themeColor="accent1"/>
      <w:sz w:val="18"/>
    </w:rPr>
  </w:style>
  <w:style w:type="paragraph" w:customStyle="1" w:styleId="Minorheading2">
    <w:name w:val="Minor heading 2"/>
    <w:basedOn w:val="Minorheading"/>
    <w:next w:val="PwCNormal"/>
    <w:uiPriority w:val="1"/>
    <w:qFormat/>
    <w:rsid w:val="00842A36"/>
    <w:pPr>
      <w:spacing w:line="240" w:lineRule="atLeast"/>
    </w:pPr>
    <w:rPr>
      <w:b w:val="0"/>
      <w:i/>
    </w:rPr>
  </w:style>
  <w:style w:type="numbering" w:customStyle="1" w:styleId="PwCListNumbers1">
    <w:name w:val="PwC List Numbers 1"/>
    <w:uiPriority w:val="99"/>
    <w:rsid w:val="00842A36"/>
    <w:pPr>
      <w:numPr>
        <w:numId w:val="14"/>
      </w:numPr>
    </w:pPr>
  </w:style>
  <w:style w:type="paragraph" w:customStyle="1" w:styleId="TableBullet2Normal">
    <w:name w:val="Table Bullet 2 Normal"/>
    <w:basedOn w:val="TableBullet1Normal"/>
    <w:rsid w:val="00842A36"/>
    <w:pPr>
      <w:numPr>
        <w:ilvl w:val="1"/>
      </w:numPr>
    </w:pPr>
  </w:style>
  <w:style w:type="paragraph" w:customStyle="1" w:styleId="TableBullet2Small">
    <w:name w:val="Table Bullet 2 Small"/>
    <w:basedOn w:val="TableBullet1Small"/>
    <w:rsid w:val="00842A36"/>
    <w:pPr>
      <w:numPr>
        <w:ilvl w:val="1"/>
      </w:numPr>
    </w:pPr>
  </w:style>
  <w:style w:type="paragraph" w:customStyle="1" w:styleId="TableIndent1Normal">
    <w:name w:val="Table Indent 1 Normal"/>
    <w:basedOn w:val="TableBullet1Normal"/>
    <w:rsid w:val="00842A36"/>
    <w:pPr>
      <w:numPr>
        <w:numId w:val="0"/>
      </w:numPr>
      <w:ind w:left="284"/>
    </w:pPr>
  </w:style>
  <w:style w:type="paragraph" w:customStyle="1" w:styleId="TableIndent1Small">
    <w:name w:val="Table Indent 1 Small"/>
    <w:basedOn w:val="TableBullet1Small"/>
    <w:rsid w:val="00842A36"/>
    <w:pPr>
      <w:numPr>
        <w:numId w:val="0"/>
      </w:numPr>
      <w:ind w:left="284"/>
    </w:pPr>
  </w:style>
  <w:style w:type="paragraph" w:customStyle="1" w:styleId="SubHeading">
    <w:name w:val="Sub Heading"/>
    <w:basedOn w:val="PwCNormal"/>
    <w:rsid w:val="00842A36"/>
    <w:pPr>
      <w:spacing w:after="480" w:line="600" w:lineRule="atLeast"/>
    </w:pPr>
    <w:rPr>
      <w:sz w:val="56"/>
    </w:rPr>
  </w:style>
  <w:style w:type="paragraph" w:styleId="FootnoteText">
    <w:name w:val="footnote text"/>
    <w:basedOn w:val="Normal"/>
    <w:uiPriority w:val="39"/>
    <w:rsid w:val="00842A36"/>
    <w:pPr>
      <w:tabs>
        <w:tab w:val="left" w:pos="284"/>
      </w:tabs>
      <w:spacing w:before="80" w:after="80"/>
      <w:ind w:left="227" w:hanging="227"/>
    </w:pPr>
    <w:rPr>
      <w:sz w:val="14"/>
    </w:rPr>
  </w:style>
  <w:style w:type="character" w:styleId="FootnoteReference">
    <w:name w:val="footnote reference"/>
    <w:basedOn w:val="DefaultParagraphFont"/>
    <w:uiPriority w:val="39"/>
    <w:rsid w:val="00842A36"/>
    <w:rPr>
      <w:rFonts w:cs="Arial"/>
      <w:sz w:val="21"/>
      <w:vertAlign w:val="superscript"/>
    </w:rPr>
  </w:style>
  <w:style w:type="character" w:styleId="EndnoteReference">
    <w:name w:val="endnote reference"/>
    <w:basedOn w:val="DefaultParagraphFont"/>
    <w:semiHidden/>
    <w:unhideWhenUsed/>
    <w:rsid w:val="00842A36"/>
    <w:rPr>
      <w:rFonts w:ascii="Arial" w:hAnsi="Arial" w:cs="Arial"/>
      <w:sz w:val="21"/>
      <w:vertAlign w:val="superscript"/>
    </w:rPr>
  </w:style>
  <w:style w:type="paragraph" w:styleId="EndnoteText">
    <w:name w:val="endnote text"/>
    <w:basedOn w:val="FootnoteText"/>
    <w:semiHidden/>
    <w:unhideWhenUsed/>
    <w:rsid w:val="00842A36"/>
  </w:style>
  <w:style w:type="paragraph" w:customStyle="1" w:styleId="Address">
    <w:name w:val="Address"/>
    <w:basedOn w:val="Normal"/>
    <w:uiPriority w:val="19"/>
    <w:rsid w:val="006A61F5"/>
    <w:pPr>
      <w:kinsoku/>
      <w:overflowPunct/>
      <w:autoSpaceDE/>
      <w:autoSpaceDN/>
      <w:adjustRightInd/>
      <w:snapToGrid/>
      <w:spacing w:line="200" w:lineRule="atLeast"/>
    </w:pPr>
    <w:rPr>
      <w:rFonts w:asciiTheme="majorHAnsi" w:eastAsiaTheme="minorHAnsi" w:hAnsiTheme="majorHAnsi" w:cstheme="minorBidi"/>
      <w:i/>
      <w:noProof/>
      <w:snapToGrid/>
      <w:szCs w:val="22"/>
      <w:lang w:val="en-GB" w:eastAsia="en-GB"/>
    </w:rPr>
  </w:style>
  <w:style w:type="table" w:styleId="TableGrid">
    <w:name w:val="Table Grid"/>
    <w:basedOn w:val="TableNormal"/>
    <w:uiPriority w:val="39"/>
    <w:locked/>
    <w:rsid w:val="00842A36"/>
    <w:pPr>
      <w:kinsoku w:val="0"/>
      <w:overflowPunct w:val="0"/>
      <w:autoSpaceDE w:val="0"/>
      <w:autoSpaceDN w:val="0"/>
      <w:adjustRightInd w:val="0"/>
      <w:snapToGri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TOC1"/>
    <w:next w:val="PwCNormal"/>
    <w:uiPriority w:val="39"/>
    <w:rsid w:val="00842A36"/>
    <w:pPr>
      <w:numPr>
        <w:ilvl w:val="2"/>
      </w:numPr>
    </w:pPr>
  </w:style>
  <w:style w:type="paragraph" w:styleId="TOC5">
    <w:name w:val="toc 5"/>
    <w:basedOn w:val="TOC2"/>
    <w:next w:val="PwCNormal"/>
    <w:uiPriority w:val="49"/>
    <w:rsid w:val="00842A36"/>
    <w:pPr>
      <w:tabs>
        <w:tab w:val="left" w:pos="567"/>
      </w:tabs>
    </w:pPr>
  </w:style>
  <w:style w:type="paragraph" w:styleId="TOC8">
    <w:name w:val="toc 8"/>
    <w:basedOn w:val="TOC7"/>
    <w:next w:val="PwCNormal"/>
    <w:uiPriority w:val="49"/>
    <w:rsid w:val="00842A36"/>
    <w:pPr>
      <w:tabs>
        <w:tab w:val="clear" w:pos="1985"/>
        <w:tab w:val="left" w:pos="3402"/>
      </w:tabs>
      <w:ind w:left="3403"/>
    </w:pPr>
  </w:style>
  <w:style w:type="paragraph" w:styleId="TOC9">
    <w:name w:val="toc 9"/>
    <w:basedOn w:val="TOC8"/>
    <w:next w:val="PwCNormal"/>
    <w:uiPriority w:val="39"/>
    <w:rsid w:val="00842A36"/>
    <w:pPr>
      <w:tabs>
        <w:tab w:val="clear" w:pos="3402"/>
        <w:tab w:val="left" w:pos="4253"/>
      </w:tabs>
      <w:ind w:left="4253"/>
    </w:pPr>
  </w:style>
  <w:style w:type="paragraph" w:customStyle="1" w:styleId="Separator">
    <w:name w:val="Separator"/>
    <w:basedOn w:val="Normal"/>
    <w:semiHidden/>
    <w:rsid w:val="00842A36"/>
    <w:pPr>
      <w:spacing w:before="240" w:after="120"/>
    </w:pPr>
    <w:rPr>
      <w:sz w:val="16"/>
    </w:rPr>
  </w:style>
  <w:style w:type="paragraph" w:styleId="Revision">
    <w:name w:val="Revision"/>
    <w:hidden/>
    <w:uiPriority w:val="99"/>
    <w:semiHidden/>
    <w:rsid w:val="00BB5FD4"/>
    <w:rPr>
      <w:rFonts w:asciiTheme="minorHAnsi" w:hAnsiTheme="minorHAnsi" w:cs="Arial"/>
      <w:snapToGrid w:val="0"/>
      <w:sz w:val="18"/>
      <w:lang w:eastAsia="en-US"/>
    </w:rPr>
  </w:style>
  <w:style w:type="paragraph" w:customStyle="1" w:styleId="TableColumnHeadingNormal">
    <w:name w:val="Table Column Heading Normal"/>
    <w:basedOn w:val="TableTextNormal"/>
    <w:rsid w:val="00842A36"/>
    <w:pPr>
      <w:keepNext/>
      <w:keepLines/>
    </w:pPr>
    <w:rPr>
      <w:b/>
      <w:color w:val="000000" w:themeColor="text1"/>
    </w:rPr>
  </w:style>
  <w:style w:type="paragraph" w:customStyle="1" w:styleId="TableColumnHeadingSmall">
    <w:name w:val="Table Column Heading Small"/>
    <w:basedOn w:val="TableTextSmall"/>
    <w:next w:val="TableTextSmall"/>
    <w:rsid w:val="00842A36"/>
    <w:pPr>
      <w:keepNext/>
      <w:keepLines/>
    </w:pPr>
    <w:rPr>
      <w:b/>
      <w:color w:val="7D7D7D" w:themeColor="text2"/>
      <w:szCs w:val="16"/>
    </w:rPr>
  </w:style>
  <w:style w:type="numbering" w:customStyle="1" w:styleId="TableBulletSmallList">
    <w:name w:val="Table Bullet Small List"/>
    <w:rsid w:val="00842A36"/>
    <w:pPr>
      <w:numPr>
        <w:numId w:val="20"/>
      </w:numPr>
    </w:pPr>
  </w:style>
  <w:style w:type="paragraph" w:customStyle="1" w:styleId="Header-Landscape">
    <w:name w:val="Header - Landscape"/>
    <w:basedOn w:val="Header"/>
    <w:uiPriority w:val="39"/>
    <w:rsid w:val="00842A36"/>
  </w:style>
  <w:style w:type="character" w:styleId="PageNumber">
    <w:name w:val="page number"/>
    <w:semiHidden/>
    <w:unhideWhenUsed/>
    <w:rsid w:val="00842A36"/>
  </w:style>
  <w:style w:type="paragraph" w:styleId="Date">
    <w:name w:val="Date"/>
    <w:basedOn w:val="Normal"/>
    <w:next w:val="PwCNormal"/>
    <w:uiPriority w:val="59"/>
    <w:semiHidden/>
    <w:rsid w:val="00842A36"/>
  </w:style>
  <w:style w:type="paragraph" w:customStyle="1" w:styleId="Indent8">
    <w:name w:val="Indent 8"/>
    <w:basedOn w:val="Indent7"/>
    <w:uiPriority w:val="49"/>
    <w:rsid w:val="00842A36"/>
    <w:pPr>
      <w:numPr>
        <w:ilvl w:val="8"/>
      </w:numPr>
    </w:pPr>
  </w:style>
  <w:style w:type="paragraph" w:customStyle="1" w:styleId="Header-LandscapeEven">
    <w:name w:val="Header - Landscape Even"/>
    <w:basedOn w:val="Header-Landscape"/>
    <w:uiPriority w:val="39"/>
    <w:rsid w:val="00842A36"/>
    <w:pPr>
      <w:tabs>
        <w:tab w:val="right" w:pos="14661"/>
      </w:tabs>
    </w:pPr>
  </w:style>
  <w:style w:type="paragraph" w:customStyle="1" w:styleId="Footer-ToC">
    <w:name w:val="Footer - ToC"/>
    <w:basedOn w:val="Footer"/>
    <w:uiPriority w:val="39"/>
    <w:rsid w:val="00842A36"/>
    <w:pPr>
      <w:tabs>
        <w:tab w:val="clear" w:pos="9865"/>
        <w:tab w:val="right" w:pos="7342"/>
      </w:tabs>
      <w:ind w:left="-2523"/>
    </w:pPr>
  </w:style>
  <w:style w:type="paragraph" w:customStyle="1" w:styleId="Footer-ToCEven">
    <w:name w:val="Footer - ToC Even"/>
    <w:basedOn w:val="Footer-ToC"/>
    <w:uiPriority w:val="39"/>
    <w:rsid w:val="00842A36"/>
  </w:style>
  <w:style w:type="table" w:customStyle="1" w:styleId="PwCColour">
    <w:name w:val="PwC Colour"/>
    <w:basedOn w:val="TableNormal"/>
    <w:rsid w:val="001E019F"/>
    <w:tblPr>
      <w:tblStyleRowBandSize w:val="1"/>
      <w:tblStyleColBandSize w:val="1"/>
      <w:tblBorders>
        <w:top w:val="single" w:sz="4" w:space="0" w:color="FFFFFF"/>
        <w:left w:val="single" w:sz="4" w:space="0" w:color="FFFFFF"/>
        <w:bottom w:val="single" w:sz="6" w:space="0" w:color="7D7D7D" w:themeColor="text2"/>
        <w:right w:val="single" w:sz="4" w:space="0" w:color="FFFFFF"/>
        <w:insideH w:val="dotted" w:sz="8" w:space="0" w:color="7D7D7D" w:themeColor="text2"/>
        <w:insideV w:val="single" w:sz="4" w:space="0" w:color="FFFFFF"/>
      </w:tblBorders>
    </w:tblPr>
    <w:tcPr>
      <w:shd w:val="clear" w:color="auto" w:fill="auto"/>
      <w:tcMar>
        <w:top w:w="0" w:type="dxa"/>
        <w:left w:w="108" w:type="dxa"/>
        <w:bottom w:w="0" w:type="dxa"/>
        <w:right w:w="108" w:type="dxa"/>
      </w:tcMar>
    </w:tcPr>
    <w:tblStylePr w:type="firstRow">
      <w:pPr>
        <w:jc w:val="left"/>
      </w:pPr>
      <w:rPr>
        <w:rFonts w:ascii="Georgia" w:hAnsi="Georgia"/>
        <w:b w:val="0"/>
        <w:color w:val="auto"/>
      </w:rPr>
      <w:tblPr/>
      <w:trPr>
        <w:tblHeader/>
      </w:trPr>
      <w:tcPr>
        <w:tcBorders>
          <w:top w:val="single" w:sz="4" w:space="0" w:color="EB8C00" w:themeColor="accent4"/>
          <w:bottom w:val="single" w:sz="4" w:space="0" w:color="EB8C00" w:themeColor="accent4"/>
        </w:tcBorders>
      </w:tcPr>
    </w:tblStylePr>
    <w:tblStylePr w:type="lastRow">
      <w:rPr>
        <w:color w:val="auto"/>
      </w:rPr>
      <w:tblPr/>
      <w:tcPr>
        <w:tcBorders>
          <w:top w:val="single" w:sz="4" w:space="0" w:color="7D7D7D" w:themeColor="text2"/>
        </w:tcBorders>
        <w:shd w:val="clear" w:color="auto" w:fill="auto"/>
      </w:tcPr>
    </w:tblStylePr>
    <w:tblStylePr w:type="nwCell">
      <w:pPr>
        <w:jc w:val="left"/>
      </w:pPr>
      <w:tblPr/>
      <w:tcPr>
        <w:vAlign w:val="bottom"/>
      </w:tcPr>
    </w:tblStylePr>
  </w:style>
  <w:style w:type="paragraph" w:customStyle="1" w:styleId="CVRoleTitle">
    <w:name w:val="CV Role Title"/>
    <w:basedOn w:val="CVText"/>
    <w:uiPriority w:val="19"/>
    <w:qFormat/>
    <w:rsid w:val="00842A36"/>
    <w:pPr>
      <w:pBdr>
        <w:bottom w:val="none" w:sz="0" w:space="0" w:color="00457C"/>
      </w:pBdr>
    </w:pPr>
    <w:rPr>
      <w:i/>
      <w:color w:val="464646" w:themeColor="accent6"/>
      <w:sz w:val="24"/>
      <w:szCs w:val="24"/>
    </w:rPr>
  </w:style>
  <w:style w:type="paragraph" w:customStyle="1" w:styleId="ListBullet1">
    <w:name w:val="List Bullet 1"/>
    <w:basedOn w:val="Normal"/>
    <w:semiHidden/>
    <w:locked/>
    <w:rsid w:val="00E20979"/>
    <w:pPr>
      <w:numPr>
        <w:numId w:val="27"/>
      </w:numPr>
      <w:tabs>
        <w:tab w:val="num" w:pos="720"/>
      </w:tabs>
      <w:spacing w:before="100" w:after="100"/>
    </w:pPr>
  </w:style>
  <w:style w:type="paragraph" w:styleId="ListBullet2">
    <w:name w:val="List Bullet 2"/>
    <w:basedOn w:val="ListBullet1"/>
    <w:uiPriority w:val="2"/>
    <w:qFormat/>
    <w:locked/>
    <w:rsid w:val="00E20979"/>
    <w:pPr>
      <w:numPr>
        <w:ilvl w:val="1"/>
      </w:numPr>
      <w:tabs>
        <w:tab w:val="num" w:pos="720"/>
      </w:tabs>
      <w:spacing w:before="120" w:after="120"/>
    </w:pPr>
  </w:style>
  <w:style w:type="paragraph" w:styleId="ListBullet4">
    <w:name w:val="List Bullet 4"/>
    <w:basedOn w:val="ListBullet3"/>
    <w:uiPriority w:val="2"/>
    <w:unhideWhenUsed/>
    <w:locked/>
    <w:rsid w:val="00E20979"/>
    <w:pPr>
      <w:numPr>
        <w:ilvl w:val="3"/>
      </w:numPr>
      <w:tabs>
        <w:tab w:val="num" w:pos="1701"/>
      </w:tabs>
    </w:pPr>
  </w:style>
  <w:style w:type="paragraph" w:customStyle="1" w:styleId="CVBullet1">
    <w:name w:val="CV Bullet 1"/>
    <w:basedOn w:val="CVText"/>
    <w:uiPriority w:val="18"/>
    <w:qFormat/>
    <w:rsid w:val="00842A36"/>
    <w:pPr>
      <w:numPr>
        <w:numId w:val="7"/>
      </w:numPr>
      <w:spacing w:before="40" w:after="40"/>
    </w:pPr>
  </w:style>
  <w:style w:type="paragraph" w:customStyle="1" w:styleId="CVDetails">
    <w:name w:val="CV Details"/>
    <w:basedOn w:val="CVRoleTitle"/>
    <w:uiPriority w:val="19"/>
    <w:qFormat/>
    <w:rsid w:val="00842A36"/>
    <w:pPr>
      <w:spacing w:before="120" w:after="40"/>
    </w:pPr>
    <w:rPr>
      <w:sz w:val="14"/>
    </w:rPr>
  </w:style>
  <w:style w:type="paragraph" w:customStyle="1" w:styleId="CVHeading2">
    <w:name w:val="CV Heading 2"/>
    <w:basedOn w:val="CVHeading1"/>
    <w:next w:val="CVText"/>
    <w:uiPriority w:val="18"/>
    <w:qFormat/>
    <w:rsid w:val="00842A36"/>
    <w:pPr>
      <w:pBdr>
        <w:bottom w:val="none" w:sz="0" w:space="0" w:color="00457C"/>
      </w:pBdr>
    </w:pPr>
    <w:rPr>
      <w:b w:val="0"/>
      <w:sz w:val="18"/>
      <w:szCs w:val="24"/>
    </w:rPr>
  </w:style>
  <w:style w:type="paragraph" w:styleId="ListBullet3">
    <w:name w:val="List Bullet 3"/>
    <w:basedOn w:val="ListBullet2"/>
    <w:uiPriority w:val="2"/>
    <w:qFormat/>
    <w:locked/>
    <w:rsid w:val="00E20979"/>
    <w:pPr>
      <w:numPr>
        <w:ilvl w:val="2"/>
      </w:numPr>
      <w:tabs>
        <w:tab w:val="num" w:pos="1134"/>
      </w:tabs>
    </w:pPr>
  </w:style>
  <w:style w:type="paragraph" w:customStyle="1" w:styleId="CVHeading1">
    <w:name w:val="CV Heading 1"/>
    <w:basedOn w:val="CVText"/>
    <w:next w:val="CVText"/>
    <w:uiPriority w:val="18"/>
    <w:qFormat/>
    <w:rsid w:val="00842A36"/>
    <w:pPr>
      <w:keepNext/>
      <w:keepLines/>
      <w:spacing w:before="120"/>
    </w:pPr>
    <w:rPr>
      <w:b/>
      <w:color w:val="D04A02" w:themeColor="accent1"/>
      <w:sz w:val="20"/>
    </w:rPr>
  </w:style>
  <w:style w:type="paragraph" w:customStyle="1" w:styleId="CVPhoto">
    <w:name w:val="CV Photo"/>
    <w:basedOn w:val="CVHeading2"/>
    <w:uiPriority w:val="19"/>
    <w:rsid w:val="00842A36"/>
    <w:rPr>
      <w:i/>
      <w:sz w:val="21"/>
    </w:rPr>
  </w:style>
  <w:style w:type="paragraph" w:customStyle="1" w:styleId="CVText">
    <w:name w:val="CV Text"/>
    <w:basedOn w:val="PwCNormal"/>
    <w:uiPriority w:val="17"/>
    <w:qFormat/>
    <w:rsid w:val="00842A36"/>
    <w:pPr>
      <w:numPr>
        <w:numId w:val="0"/>
      </w:numPr>
      <w:spacing w:before="80" w:after="80"/>
    </w:pPr>
  </w:style>
  <w:style w:type="paragraph" w:customStyle="1" w:styleId="CVNamelarge">
    <w:name w:val="CV Name large"/>
    <w:basedOn w:val="CVText"/>
    <w:next w:val="CVRoleTitle"/>
    <w:uiPriority w:val="19"/>
    <w:qFormat/>
    <w:rsid w:val="00842A36"/>
    <w:pPr>
      <w:spacing w:before="0"/>
    </w:pPr>
    <w:rPr>
      <w:b/>
      <w:color w:val="D04A02" w:themeColor="accent1"/>
      <w:sz w:val="36"/>
      <w:szCs w:val="24"/>
    </w:rPr>
  </w:style>
  <w:style w:type="paragraph" w:customStyle="1" w:styleId="CVBullet2">
    <w:name w:val="CV Bullet 2"/>
    <w:basedOn w:val="CVBullet1"/>
    <w:uiPriority w:val="18"/>
    <w:qFormat/>
    <w:rsid w:val="00842A36"/>
    <w:pPr>
      <w:numPr>
        <w:ilvl w:val="1"/>
      </w:numPr>
    </w:pPr>
  </w:style>
  <w:style w:type="paragraph" w:styleId="Title">
    <w:name w:val="Title"/>
    <w:basedOn w:val="Normal"/>
    <w:semiHidden/>
    <w:qFormat/>
    <w:rsid w:val="00842A36"/>
    <w:pPr>
      <w:spacing w:before="240" w:after="60"/>
      <w:jc w:val="center"/>
      <w:outlineLvl w:val="0"/>
    </w:pPr>
    <w:rPr>
      <w:b/>
      <w:bCs/>
      <w:color w:val="7D7D7D" w:themeColor="text2"/>
      <w:kern w:val="28"/>
      <w:sz w:val="32"/>
      <w:szCs w:val="32"/>
    </w:rPr>
  </w:style>
  <w:style w:type="paragraph" w:styleId="BalloonText">
    <w:name w:val="Balloon Text"/>
    <w:basedOn w:val="Normal"/>
    <w:semiHidden/>
    <w:locked/>
    <w:rsid w:val="00842A36"/>
    <w:rPr>
      <w:rFonts w:ascii="Tahoma" w:hAnsi="Tahoma"/>
      <w:sz w:val="16"/>
      <w:szCs w:val="16"/>
    </w:rPr>
  </w:style>
  <w:style w:type="numbering" w:customStyle="1" w:styleId="Style1">
    <w:name w:val="Style1"/>
    <w:uiPriority w:val="99"/>
    <w:rsid w:val="00842A36"/>
    <w:pPr>
      <w:numPr>
        <w:numId w:val="15"/>
      </w:numPr>
    </w:pPr>
  </w:style>
  <w:style w:type="character" w:customStyle="1" w:styleId="Heading2Char">
    <w:name w:val="Heading 2 Char"/>
    <w:aliases w:val="Chapter Heading (Short) Char"/>
    <w:basedOn w:val="DefaultParagraphFont"/>
    <w:link w:val="Heading2"/>
    <w:uiPriority w:val="1"/>
    <w:rsid w:val="00C22375"/>
    <w:rPr>
      <w:rFonts w:asciiTheme="majorHAnsi" w:hAnsiTheme="majorHAnsi" w:cs="Arial"/>
      <w:bCs/>
      <w:iCs/>
      <w:snapToGrid w:val="0"/>
      <w:color w:val="D04A02" w:themeColor="accent1"/>
      <w:sz w:val="60"/>
      <w:szCs w:val="36"/>
      <w:lang w:eastAsia="en-US"/>
    </w:rPr>
  </w:style>
  <w:style w:type="paragraph" w:customStyle="1" w:styleId="VersionControl">
    <w:name w:val="Version Control"/>
    <w:basedOn w:val="TOCtitle"/>
    <w:uiPriority w:val="49"/>
    <w:unhideWhenUsed/>
    <w:rsid w:val="00842A36"/>
    <w:pPr>
      <w:pageBreakBefore w:val="0"/>
      <w:framePr w:w="9923" w:wrap="around" w:vAnchor="text" w:hAnchor="page" w:x="1498" w:y="1"/>
      <w:spacing w:before="360" w:after="240"/>
    </w:pPr>
    <w:rPr>
      <w:sz w:val="28"/>
    </w:rPr>
  </w:style>
  <w:style w:type="paragraph" w:customStyle="1" w:styleId="VersionTableHeading">
    <w:name w:val="Version Table Heading"/>
    <w:basedOn w:val="VersionTableText"/>
    <w:uiPriority w:val="49"/>
    <w:unhideWhenUsed/>
    <w:rsid w:val="00842A36"/>
    <w:pPr>
      <w:framePr w:wrap="around"/>
    </w:pPr>
  </w:style>
  <w:style w:type="paragraph" w:customStyle="1" w:styleId="VersionTableText">
    <w:name w:val="Version Table Text"/>
    <w:basedOn w:val="VersionControl"/>
    <w:uiPriority w:val="49"/>
    <w:unhideWhenUsed/>
    <w:rsid w:val="00842A36"/>
    <w:pPr>
      <w:framePr w:wrap="around"/>
      <w:spacing w:before="80" w:after="80" w:line="240" w:lineRule="auto"/>
      <w:outlineLvl w:val="9"/>
    </w:pPr>
    <w:rPr>
      <w:rFonts w:asciiTheme="minorHAnsi" w:hAnsiTheme="minorHAnsi"/>
      <w:sz w:val="21"/>
      <w:szCs w:val="20"/>
    </w:rPr>
  </w:style>
  <w:style w:type="character" w:customStyle="1" w:styleId="HeaderChar">
    <w:name w:val="Header Char"/>
    <w:basedOn w:val="DefaultParagraphFont"/>
    <w:link w:val="Header"/>
    <w:uiPriority w:val="99"/>
    <w:locked/>
    <w:rsid w:val="00842A36"/>
    <w:rPr>
      <w:rFonts w:ascii="Arial" w:hAnsi="Arial" w:cs="Arial"/>
      <w:snapToGrid w:val="0"/>
      <w:color w:val="000000" w:themeColor="text1"/>
      <w:sz w:val="19"/>
      <w:szCs w:val="18"/>
      <w:lang w:eastAsia="en-US"/>
    </w:rPr>
  </w:style>
  <w:style w:type="character" w:customStyle="1" w:styleId="FooterChar">
    <w:name w:val="Footer Char"/>
    <w:basedOn w:val="DefaultParagraphFont"/>
    <w:link w:val="Footer"/>
    <w:uiPriority w:val="99"/>
    <w:locked/>
    <w:rsid w:val="00842A36"/>
    <w:rPr>
      <w:rFonts w:ascii="Arial" w:hAnsi="Arial" w:cs="Arial"/>
      <w:snapToGrid w:val="0"/>
      <w:color w:val="000000" w:themeColor="text1"/>
      <w:sz w:val="19"/>
      <w:szCs w:val="18"/>
      <w:lang w:eastAsia="en-US"/>
    </w:rPr>
  </w:style>
  <w:style w:type="paragraph" w:customStyle="1" w:styleId="Header-FirstPage">
    <w:name w:val="Header - First Page"/>
    <w:basedOn w:val="Header"/>
    <w:uiPriority w:val="39"/>
    <w:rsid w:val="00842A36"/>
  </w:style>
  <w:style w:type="paragraph" w:customStyle="1" w:styleId="Appendicestitle">
    <w:name w:val="Appendices title"/>
    <w:basedOn w:val="TOCtitle"/>
    <w:uiPriority w:val="19"/>
    <w:rsid w:val="00842A36"/>
    <w:pPr>
      <w:pageBreakBefore w:val="0"/>
      <w:numPr>
        <w:ilvl w:val="1"/>
        <w:numId w:val="25"/>
      </w:numPr>
    </w:pPr>
  </w:style>
  <w:style w:type="numbering" w:customStyle="1" w:styleId="CVBullets">
    <w:name w:val="CV Bullets"/>
    <w:uiPriority w:val="99"/>
    <w:rsid w:val="00842A36"/>
    <w:pPr>
      <w:numPr>
        <w:numId w:val="8"/>
      </w:numPr>
    </w:pPr>
  </w:style>
  <w:style w:type="paragraph" w:styleId="DocumentMap">
    <w:name w:val="Document Map"/>
    <w:basedOn w:val="Normal"/>
    <w:link w:val="DocumentMapChar"/>
    <w:semiHidden/>
    <w:rsid w:val="00842A36"/>
    <w:rPr>
      <w:rFonts w:ascii="Tahoma" w:hAnsi="Tahoma" w:cs="Tahoma"/>
      <w:sz w:val="16"/>
      <w:szCs w:val="16"/>
    </w:rPr>
  </w:style>
  <w:style w:type="character" w:customStyle="1" w:styleId="DocumentMapChar">
    <w:name w:val="Document Map Char"/>
    <w:basedOn w:val="DefaultParagraphFont"/>
    <w:link w:val="DocumentMap"/>
    <w:semiHidden/>
    <w:rsid w:val="00842A36"/>
    <w:rPr>
      <w:rFonts w:ascii="Tahoma" w:hAnsi="Tahoma" w:cs="Tahoma"/>
      <w:snapToGrid w:val="0"/>
      <w:sz w:val="16"/>
      <w:szCs w:val="16"/>
      <w:lang w:eastAsia="en-US"/>
    </w:rPr>
  </w:style>
  <w:style w:type="table" w:styleId="TableGrid1">
    <w:name w:val="Table Grid 1"/>
    <w:basedOn w:val="TableNormal"/>
    <w:semiHidden/>
    <w:locked/>
    <w:rsid w:val="00842A36"/>
    <w:pPr>
      <w:kinsoku w:val="0"/>
      <w:overflowPunct w:val="0"/>
      <w:autoSpaceDE w:val="0"/>
      <w:autoSpaceDN w:val="0"/>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locked/>
    <w:rsid w:val="00842A36"/>
    <w:pPr>
      <w:kinsoku w:val="0"/>
      <w:overflowPunct w:val="0"/>
      <w:autoSpaceDE w:val="0"/>
      <w:autoSpaceDN w:val="0"/>
      <w:adjustRightInd w:val="0"/>
      <w:snapToGrid w:val="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locked/>
    <w:rsid w:val="00842A36"/>
    <w:pPr>
      <w:kinsoku w:val="0"/>
      <w:overflowPunct w:val="0"/>
      <w:autoSpaceDE w:val="0"/>
      <w:autoSpaceDN w:val="0"/>
      <w:adjustRightInd w:val="0"/>
      <w:snapToGrid w:val="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locked/>
    <w:rsid w:val="00842A36"/>
    <w:pPr>
      <w:kinsoku w:val="0"/>
      <w:overflowPunct w:val="0"/>
      <w:autoSpaceDE w:val="0"/>
      <w:autoSpaceDN w:val="0"/>
      <w:adjustRightInd w:val="0"/>
      <w:snapToGrid w:val="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locked/>
    <w:rsid w:val="00842A36"/>
    <w:pPr>
      <w:kinsoku w:val="0"/>
      <w:overflowPunct w:val="0"/>
      <w:autoSpaceDE w:val="0"/>
      <w:autoSpaceDN w:val="0"/>
      <w:adjustRightInd w:val="0"/>
      <w:snapToGrid w:val="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locked/>
    <w:rsid w:val="00842A36"/>
    <w:pPr>
      <w:kinsoku w:val="0"/>
      <w:overflowPunct w:val="0"/>
      <w:autoSpaceDE w:val="0"/>
      <w:autoSpaceDN w:val="0"/>
      <w:adjustRightInd w:val="0"/>
      <w:snapToGrid w:val="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locked/>
    <w:rsid w:val="00842A36"/>
    <w:pPr>
      <w:kinsoku w:val="0"/>
      <w:overflowPunct w:val="0"/>
      <w:autoSpaceDE w:val="0"/>
      <w:autoSpaceDN w:val="0"/>
      <w:adjustRightInd w:val="0"/>
      <w:snapToGrid w:val="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locked/>
    <w:rsid w:val="00842A36"/>
    <w:pPr>
      <w:kinsoku w:val="0"/>
      <w:overflowPunct w:val="0"/>
      <w:autoSpaceDE w:val="0"/>
      <w:autoSpaceDN w:val="0"/>
      <w:adjustRightInd w:val="0"/>
      <w:snapToGrid w:val="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3Deffects1">
    <w:name w:val="Table 3D effects 1"/>
    <w:basedOn w:val="TableNormal"/>
    <w:locked/>
    <w:rsid w:val="00842A36"/>
    <w:pPr>
      <w:kinsoku w:val="0"/>
      <w:overflowPunct w:val="0"/>
      <w:autoSpaceDE w:val="0"/>
      <w:autoSpaceDN w:val="0"/>
      <w:adjustRightInd w:val="0"/>
      <w:snapToGrid w:val="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Theme">
    <w:name w:val="Table Theme"/>
    <w:basedOn w:val="TableNormal"/>
    <w:semiHidden/>
    <w:rsid w:val="00842A36"/>
    <w:pPr>
      <w:kinsoku w:val="0"/>
      <w:overflowPunct w:val="0"/>
      <w:autoSpaceDE w:val="0"/>
      <w:autoSpaceDN w:val="0"/>
      <w:adjustRightInd w:val="0"/>
      <w:snapToGri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croText">
    <w:name w:val="macro"/>
    <w:link w:val="MacroTextChar"/>
    <w:uiPriority w:val="29"/>
    <w:unhideWhenUsed/>
    <w:locked/>
    <w:rsid w:val="00842A36"/>
    <w:pPr>
      <w:tabs>
        <w:tab w:val="left" w:pos="567"/>
        <w:tab w:val="left" w:pos="1134"/>
        <w:tab w:val="left" w:pos="1701"/>
        <w:tab w:val="left" w:pos="2268"/>
        <w:tab w:val="left" w:pos="2835"/>
        <w:tab w:val="left" w:pos="3402"/>
        <w:tab w:val="left" w:pos="3969"/>
      </w:tabs>
      <w:kinsoku w:val="0"/>
      <w:overflowPunct w:val="0"/>
      <w:autoSpaceDE w:val="0"/>
      <w:autoSpaceDN w:val="0"/>
      <w:adjustRightInd w:val="0"/>
      <w:snapToGrid w:val="0"/>
    </w:pPr>
    <w:rPr>
      <w:rFonts w:ascii="Consolas" w:hAnsi="Consolas" w:cs="Arial"/>
      <w:snapToGrid w:val="0"/>
      <w:lang w:eastAsia="en-US"/>
    </w:rPr>
  </w:style>
  <w:style w:type="character" w:customStyle="1" w:styleId="MacroTextChar">
    <w:name w:val="Macro Text Char"/>
    <w:basedOn w:val="DefaultParagraphFont"/>
    <w:link w:val="MacroText"/>
    <w:uiPriority w:val="29"/>
    <w:rsid w:val="0036123B"/>
    <w:rPr>
      <w:rFonts w:ascii="Consolas" w:hAnsi="Consolas" w:cs="Arial"/>
      <w:snapToGrid w:val="0"/>
      <w:lang w:eastAsia="en-US"/>
    </w:rPr>
  </w:style>
  <w:style w:type="paragraph" w:styleId="Bibliography">
    <w:name w:val="Bibliography"/>
    <w:basedOn w:val="Normal"/>
    <w:next w:val="Normal"/>
    <w:uiPriority w:val="37"/>
    <w:semiHidden/>
    <w:locked/>
    <w:rsid w:val="00842A36"/>
  </w:style>
  <w:style w:type="paragraph" w:styleId="BlockText">
    <w:name w:val="Block Text"/>
    <w:basedOn w:val="Normal"/>
    <w:uiPriority w:val="19"/>
    <w:rsid w:val="001A0166"/>
    <w:pPr>
      <w:spacing w:before="240" w:after="120" w:line="340" w:lineRule="atLeast"/>
    </w:pPr>
    <w:rPr>
      <w:rFonts w:eastAsiaTheme="minorEastAsia" w:cstheme="minorBidi"/>
      <w:iCs/>
      <w:color w:val="D04A02" w:themeColor="accent1"/>
      <w:sz w:val="28"/>
    </w:rPr>
  </w:style>
  <w:style w:type="paragraph" w:styleId="BodyText">
    <w:name w:val="Body Text"/>
    <w:basedOn w:val="Normal"/>
    <w:link w:val="BodyTextChar"/>
    <w:uiPriority w:val="59"/>
    <w:semiHidden/>
    <w:locked/>
    <w:rsid w:val="00842A36"/>
    <w:pPr>
      <w:spacing w:after="120"/>
    </w:pPr>
  </w:style>
  <w:style w:type="character" w:customStyle="1" w:styleId="BodyTextChar">
    <w:name w:val="Body Text Char"/>
    <w:basedOn w:val="DefaultParagraphFont"/>
    <w:link w:val="BodyText"/>
    <w:uiPriority w:val="59"/>
    <w:semiHidden/>
    <w:rsid w:val="0036123B"/>
    <w:rPr>
      <w:rFonts w:asciiTheme="minorHAnsi" w:hAnsiTheme="minorHAnsi" w:cs="Arial"/>
      <w:snapToGrid w:val="0"/>
      <w:sz w:val="18"/>
      <w:lang w:eastAsia="en-US"/>
    </w:rPr>
  </w:style>
  <w:style w:type="paragraph" w:styleId="BodyText2">
    <w:name w:val="Body Text 2"/>
    <w:basedOn w:val="Normal"/>
    <w:link w:val="BodyText2Char"/>
    <w:uiPriority w:val="59"/>
    <w:semiHidden/>
    <w:locked/>
    <w:rsid w:val="00842A36"/>
    <w:pPr>
      <w:spacing w:after="120" w:line="480" w:lineRule="auto"/>
    </w:pPr>
  </w:style>
  <w:style w:type="character" w:customStyle="1" w:styleId="BodyText2Char">
    <w:name w:val="Body Text 2 Char"/>
    <w:basedOn w:val="DefaultParagraphFont"/>
    <w:link w:val="BodyText2"/>
    <w:uiPriority w:val="59"/>
    <w:semiHidden/>
    <w:rsid w:val="0036123B"/>
    <w:rPr>
      <w:rFonts w:asciiTheme="minorHAnsi" w:hAnsiTheme="minorHAnsi" w:cs="Arial"/>
      <w:snapToGrid w:val="0"/>
      <w:sz w:val="18"/>
      <w:lang w:eastAsia="en-US"/>
    </w:rPr>
  </w:style>
  <w:style w:type="paragraph" w:styleId="BodyText3">
    <w:name w:val="Body Text 3"/>
    <w:basedOn w:val="Normal"/>
    <w:link w:val="BodyText3Char"/>
    <w:uiPriority w:val="59"/>
    <w:semiHidden/>
    <w:locked/>
    <w:rsid w:val="00842A36"/>
    <w:pPr>
      <w:spacing w:after="120"/>
    </w:pPr>
    <w:rPr>
      <w:sz w:val="16"/>
      <w:szCs w:val="16"/>
    </w:rPr>
  </w:style>
  <w:style w:type="character" w:customStyle="1" w:styleId="BodyText3Char">
    <w:name w:val="Body Text 3 Char"/>
    <w:basedOn w:val="DefaultParagraphFont"/>
    <w:link w:val="BodyText3"/>
    <w:uiPriority w:val="59"/>
    <w:semiHidden/>
    <w:rsid w:val="0036123B"/>
    <w:rPr>
      <w:rFonts w:asciiTheme="minorHAnsi" w:hAnsiTheme="minorHAnsi" w:cs="Arial"/>
      <w:snapToGrid w:val="0"/>
      <w:sz w:val="16"/>
      <w:szCs w:val="16"/>
      <w:lang w:eastAsia="en-US"/>
    </w:rPr>
  </w:style>
  <w:style w:type="paragraph" w:styleId="BodyTextFirstIndent">
    <w:name w:val="Body Text First Indent"/>
    <w:basedOn w:val="BodyText"/>
    <w:link w:val="BodyTextFirstIndentChar"/>
    <w:uiPriority w:val="59"/>
    <w:semiHidden/>
    <w:locked/>
    <w:rsid w:val="00842A36"/>
    <w:pPr>
      <w:spacing w:after="0"/>
      <w:ind w:firstLine="360"/>
    </w:pPr>
  </w:style>
  <w:style w:type="character" w:customStyle="1" w:styleId="BodyTextFirstIndentChar">
    <w:name w:val="Body Text First Indent Char"/>
    <w:basedOn w:val="BodyTextChar"/>
    <w:link w:val="BodyTextFirstIndent"/>
    <w:uiPriority w:val="59"/>
    <w:semiHidden/>
    <w:rsid w:val="0036123B"/>
    <w:rPr>
      <w:rFonts w:asciiTheme="minorHAnsi" w:hAnsiTheme="minorHAnsi" w:cs="Arial"/>
      <w:snapToGrid w:val="0"/>
      <w:sz w:val="18"/>
      <w:lang w:eastAsia="en-US"/>
    </w:rPr>
  </w:style>
  <w:style w:type="paragraph" w:styleId="BodyTextIndent">
    <w:name w:val="Body Text Indent"/>
    <w:basedOn w:val="Normal"/>
    <w:link w:val="BodyTextIndentChar"/>
    <w:uiPriority w:val="59"/>
    <w:semiHidden/>
    <w:locked/>
    <w:rsid w:val="00842A36"/>
    <w:pPr>
      <w:spacing w:after="120"/>
      <w:ind w:left="283"/>
    </w:pPr>
  </w:style>
  <w:style w:type="character" w:customStyle="1" w:styleId="BodyTextIndentChar">
    <w:name w:val="Body Text Indent Char"/>
    <w:basedOn w:val="DefaultParagraphFont"/>
    <w:link w:val="BodyTextIndent"/>
    <w:uiPriority w:val="59"/>
    <w:semiHidden/>
    <w:rsid w:val="0036123B"/>
    <w:rPr>
      <w:rFonts w:asciiTheme="minorHAnsi" w:hAnsiTheme="minorHAnsi" w:cs="Arial"/>
      <w:snapToGrid w:val="0"/>
      <w:sz w:val="18"/>
      <w:lang w:eastAsia="en-US"/>
    </w:rPr>
  </w:style>
  <w:style w:type="paragraph" w:styleId="BodyTextFirstIndent2">
    <w:name w:val="Body Text First Indent 2"/>
    <w:basedOn w:val="BodyTextIndent"/>
    <w:link w:val="BodyTextFirstIndent2Char"/>
    <w:uiPriority w:val="59"/>
    <w:semiHidden/>
    <w:locked/>
    <w:rsid w:val="00842A36"/>
    <w:pPr>
      <w:spacing w:after="0"/>
      <w:ind w:left="360" w:firstLine="360"/>
    </w:pPr>
  </w:style>
  <w:style w:type="character" w:customStyle="1" w:styleId="BodyTextFirstIndent2Char">
    <w:name w:val="Body Text First Indent 2 Char"/>
    <w:basedOn w:val="BodyTextIndentChar"/>
    <w:link w:val="BodyTextFirstIndent2"/>
    <w:uiPriority w:val="59"/>
    <w:semiHidden/>
    <w:rsid w:val="0036123B"/>
    <w:rPr>
      <w:rFonts w:asciiTheme="minorHAnsi" w:hAnsiTheme="minorHAnsi" w:cs="Arial"/>
      <w:snapToGrid w:val="0"/>
      <w:sz w:val="18"/>
      <w:lang w:eastAsia="en-US"/>
    </w:rPr>
  </w:style>
  <w:style w:type="paragraph" w:styleId="BodyTextIndent2">
    <w:name w:val="Body Text Indent 2"/>
    <w:basedOn w:val="Normal"/>
    <w:link w:val="BodyTextIndent2Char"/>
    <w:uiPriority w:val="59"/>
    <w:semiHidden/>
    <w:locked/>
    <w:rsid w:val="00842A36"/>
    <w:pPr>
      <w:spacing w:after="120" w:line="480" w:lineRule="auto"/>
      <w:ind w:left="283"/>
    </w:pPr>
  </w:style>
  <w:style w:type="character" w:customStyle="1" w:styleId="BodyTextIndent2Char">
    <w:name w:val="Body Text Indent 2 Char"/>
    <w:basedOn w:val="DefaultParagraphFont"/>
    <w:link w:val="BodyTextIndent2"/>
    <w:uiPriority w:val="59"/>
    <w:semiHidden/>
    <w:rsid w:val="0036123B"/>
    <w:rPr>
      <w:rFonts w:asciiTheme="minorHAnsi" w:hAnsiTheme="minorHAnsi" w:cs="Arial"/>
      <w:snapToGrid w:val="0"/>
      <w:sz w:val="18"/>
      <w:lang w:eastAsia="en-US"/>
    </w:rPr>
  </w:style>
  <w:style w:type="paragraph" w:styleId="BodyTextIndent3">
    <w:name w:val="Body Text Indent 3"/>
    <w:basedOn w:val="Normal"/>
    <w:link w:val="BodyTextIndent3Char"/>
    <w:uiPriority w:val="59"/>
    <w:semiHidden/>
    <w:locked/>
    <w:rsid w:val="00842A36"/>
    <w:pPr>
      <w:spacing w:after="120"/>
      <w:ind w:left="283"/>
    </w:pPr>
    <w:rPr>
      <w:sz w:val="16"/>
      <w:szCs w:val="16"/>
    </w:rPr>
  </w:style>
  <w:style w:type="character" w:customStyle="1" w:styleId="BodyTextIndent3Char">
    <w:name w:val="Body Text Indent 3 Char"/>
    <w:basedOn w:val="DefaultParagraphFont"/>
    <w:link w:val="BodyTextIndent3"/>
    <w:uiPriority w:val="59"/>
    <w:semiHidden/>
    <w:rsid w:val="0036123B"/>
    <w:rPr>
      <w:rFonts w:asciiTheme="minorHAnsi" w:hAnsiTheme="minorHAnsi" w:cs="Arial"/>
      <w:snapToGrid w:val="0"/>
      <w:sz w:val="16"/>
      <w:szCs w:val="16"/>
      <w:lang w:eastAsia="en-US"/>
    </w:rPr>
  </w:style>
  <w:style w:type="character" w:styleId="BookTitle">
    <w:name w:val="Book Title"/>
    <w:basedOn w:val="DefaultParagraphFont"/>
    <w:uiPriority w:val="33"/>
    <w:semiHidden/>
    <w:qFormat/>
    <w:locked/>
    <w:rsid w:val="00842A36"/>
    <w:rPr>
      <w:rFonts w:ascii="Georgia" w:hAnsi="Georgia"/>
      <w:b/>
      <w:bCs/>
      <w:smallCaps/>
      <w:spacing w:val="5"/>
    </w:rPr>
  </w:style>
  <w:style w:type="paragraph" w:styleId="Closing">
    <w:name w:val="Closing"/>
    <w:basedOn w:val="Normal"/>
    <w:link w:val="ClosingChar"/>
    <w:uiPriority w:val="59"/>
    <w:semiHidden/>
    <w:unhideWhenUsed/>
    <w:rsid w:val="00842A36"/>
    <w:pPr>
      <w:ind w:left="4252"/>
    </w:pPr>
  </w:style>
  <w:style w:type="character" w:customStyle="1" w:styleId="ClosingChar">
    <w:name w:val="Closing Char"/>
    <w:basedOn w:val="DefaultParagraphFont"/>
    <w:link w:val="Closing"/>
    <w:uiPriority w:val="59"/>
    <w:semiHidden/>
    <w:rsid w:val="0036123B"/>
    <w:rPr>
      <w:rFonts w:asciiTheme="minorHAnsi" w:hAnsiTheme="minorHAnsi" w:cs="Arial"/>
      <w:snapToGrid w:val="0"/>
      <w:sz w:val="18"/>
      <w:lang w:eastAsia="en-US"/>
    </w:rPr>
  </w:style>
  <w:style w:type="character" w:styleId="CommentReference">
    <w:name w:val="annotation reference"/>
    <w:basedOn w:val="DefaultParagraphFont"/>
    <w:uiPriority w:val="59"/>
    <w:semiHidden/>
    <w:rsid w:val="00842A36"/>
    <w:rPr>
      <w:rFonts w:ascii="Georgia" w:hAnsi="Georgia"/>
      <w:sz w:val="16"/>
      <w:szCs w:val="16"/>
    </w:rPr>
  </w:style>
  <w:style w:type="paragraph" w:styleId="CommentText">
    <w:name w:val="annotation text"/>
    <w:basedOn w:val="Normal"/>
    <w:link w:val="CommentTextChar"/>
    <w:uiPriority w:val="59"/>
    <w:semiHidden/>
    <w:rsid w:val="00842A36"/>
  </w:style>
  <w:style w:type="character" w:customStyle="1" w:styleId="CommentTextChar">
    <w:name w:val="Comment Text Char"/>
    <w:basedOn w:val="DefaultParagraphFont"/>
    <w:link w:val="CommentText"/>
    <w:uiPriority w:val="59"/>
    <w:semiHidden/>
    <w:rsid w:val="0036123B"/>
    <w:rPr>
      <w:rFonts w:asciiTheme="minorHAnsi" w:hAnsiTheme="minorHAnsi" w:cs="Arial"/>
      <w:snapToGrid w:val="0"/>
      <w:sz w:val="18"/>
      <w:lang w:eastAsia="en-US"/>
    </w:rPr>
  </w:style>
  <w:style w:type="paragraph" w:styleId="CommentSubject">
    <w:name w:val="annotation subject"/>
    <w:basedOn w:val="CommentText"/>
    <w:next w:val="CommentText"/>
    <w:link w:val="CommentSubjectChar"/>
    <w:uiPriority w:val="59"/>
    <w:semiHidden/>
    <w:rsid w:val="00842A36"/>
    <w:rPr>
      <w:b/>
      <w:bCs/>
    </w:rPr>
  </w:style>
  <w:style w:type="character" w:customStyle="1" w:styleId="CommentSubjectChar">
    <w:name w:val="Comment Subject Char"/>
    <w:basedOn w:val="CommentTextChar"/>
    <w:link w:val="CommentSubject"/>
    <w:uiPriority w:val="59"/>
    <w:semiHidden/>
    <w:rsid w:val="0036123B"/>
    <w:rPr>
      <w:rFonts w:asciiTheme="minorHAnsi" w:hAnsiTheme="minorHAnsi" w:cs="Arial"/>
      <w:b/>
      <w:bCs/>
      <w:snapToGrid w:val="0"/>
      <w:sz w:val="18"/>
      <w:lang w:eastAsia="en-US"/>
    </w:rPr>
  </w:style>
  <w:style w:type="paragraph" w:styleId="EnvelopeAddress">
    <w:name w:val="envelope address"/>
    <w:basedOn w:val="Normal"/>
    <w:semiHidden/>
    <w:unhideWhenUsed/>
    <w:locked/>
    <w:rsid w:val="00842A36"/>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semiHidden/>
    <w:locked/>
    <w:rsid w:val="00842A36"/>
    <w:rPr>
      <w:rFonts w:asciiTheme="majorHAnsi" w:eastAsiaTheme="majorEastAsia" w:hAnsiTheme="majorHAnsi" w:cstheme="majorBidi"/>
    </w:rPr>
  </w:style>
  <w:style w:type="character" w:styleId="FollowedHyperlink">
    <w:name w:val="FollowedHyperlink"/>
    <w:basedOn w:val="DefaultParagraphFont"/>
    <w:semiHidden/>
    <w:rsid w:val="00842A36"/>
    <w:rPr>
      <w:color w:val="DB536A" w:themeColor="followedHyperlink"/>
      <w:u w:val="single"/>
    </w:rPr>
  </w:style>
  <w:style w:type="character" w:styleId="Hyperlink">
    <w:name w:val="Hyperlink"/>
    <w:basedOn w:val="DefaultParagraphFont"/>
    <w:uiPriority w:val="99"/>
    <w:rsid w:val="00842A36"/>
    <w:rPr>
      <w:color w:val="7D7D7D" w:themeColor="text2"/>
      <w:u w:val="single"/>
    </w:rPr>
  </w:style>
  <w:style w:type="paragraph" w:styleId="IndexHeading">
    <w:name w:val="index heading"/>
    <w:basedOn w:val="Normal"/>
    <w:next w:val="Normal"/>
    <w:semiHidden/>
    <w:rsid w:val="00842A36"/>
    <w:rPr>
      <w:rFonts w:asciiTheme="majorHAnsi" w:eastAsiaTheme="majorEastAsia" w:hAnsiTheme="majorHAnsi" w:cstheme="majorBidi"/>
      <w:b/>
      <w:bCs/>
    </w:rPr>
  </w:style>
  <w:style w:type="paragraph" w:customStyle="1" w:styleId="BlockTextClient">
    <w:name w:val="Block Text Client"/>
    <w:basedOn w:val="BlockText"/>
    <w:uiPriority w:val="39"/>
    <w:rsid w:val="00842A36"/>
    <w:pPr>
      <w:spacing w:line="200" w:lineRule="atLeast"/>
      <w:contextualSpacing/>
    </w:pPr>
    <w:rPr>
      <w:b/>
      <w:color w:val="auto"/>
      <w:sz w:val="15"/>
    </w:rPr>
  </w:style>
  <w:style w:type="paragraph" w:customStyle="1" w:styleId="BlockText2Client">
    <w:name w:val="Block Text 2 Client"/>
    <w:basedOn w:val="BlockText2"/>
    <w:uiPriority w:val="19"/>
    <w:rsid w:val="00842A36"/>
    <w:pPr>
      <w:spacing w:after="120" w:line="300" w:lineRule="atLeast"/>
      <w:contextualSpacing/>
    </w:pPr>
    <w:rPr>
      <w:rFonts w:asciiTheme="minorHAnsi" w:hAnsiTheme="minorHAnsi"/>
      <w:b/>
      <w:sz w:val="24"/>
      <w:szCs w:val="20"/>
    </w:rPr>
  </w:style>
  <w:style w:type="paragraph" w:customStyle="1" w:styleId="BlockText2Position">
    <w:name w:val="Block Text 2 Position"/>
    <w:basedOn w:val="BlockText2"/>
    <w:uiPriority w:val="19"/>
    <w:rsid w:val="00842A36"/>
    <w:rPr>
      <w:i/>
      <w:sz w:val="20"/>
      <w:szCs w:val="20"/>
    </w:rPr>
  </w:style>
  <w:style w:type="character" w:styleId="LineNumber">
    <w:name w:val="line number"/>
    <w:basedOn w:val="DefaultParagraphFont"/>
    <w:semiHidden/>
    <w:rsid w:val="00842A36"/>
  </w:style>
  <w:style w:type="paragraph" w:styleId="ListBullet">
    <w:name w:val="List Bullet"/>
    <w:basedOn w:val="Normal"/>
    <w:uiPriority w:val="2"/>
    <w:qFormat/>
    <w:locked/>
    <w:rsid w:val="00842A36"/>
    <w:pPr>
      <w:numPr>
        <w:numId w:val="10"/>
      </w:numPr>
      <w:spacing w:before="120" w:after="120"/>
    </w:pPr>
  </w:style>
  <w:style w:type="paragraph" w:styleId="ListBullet5">
    <w:name w:val="List Bullet 5"/>
    <w:basedOn w:val="ListBullet4"/>
    <w:uiPriority w:val="2"/>
    <w:unhideWhenUsed/>
    <w:locked/>
    <w:rsid w:val="00842A36"/>
    <w:pPr>
      <w:numPr>
        <w:ilvl w:val="4"/>
      </w:numPr>
      <w:tabs>
        <w:tab w:val="num" w:pos="2268"/>
      </w:tabs>
      <w:contextualSpacing/>
    </w:pPr>
  </w:style>
  <w:style w:type="paragraph" w:styleId="ListNumber">
    <w:name w:val="List Number"/>
    <w:basedOn w:val="Normal"/>
    <w:uiPriority w:val="13"/>
    <w:unhideWhenUsed/>
    <w:qFormat/>
    <w:locked/>
    <w:rsid w:val="00842A36"/>
    <w:pPr>
      <w:numPr>
        <w:numId w:val="11"/>
      </w:numPr>
      <w:contextualSpacing/>
    </w:pPr>
  </w:style>
  <w:style w:type="paragraph" w:styleId="ListNumber2">
    <w:name w:val="List Number 2"/>
    <w:basedOn w:val="ListNumber"/>
    <w:uiPriority w:val="13"/>
    <w:unhideWhenUsed/>
    <w:qFormat/>
    <w:locked/>
    <w:rsid w:val="00842A36"/>
    <w:pPr>
      <w:numPr>
        <w:ilvl w:val="1"/>
      </w:numPr>
    </w:pPr>
  </w:style>
  <w:style w:type="paragraph" w:styleId="ListNumber3">
    <w:name w:val="List Number 3"/>
    <w:basedOn w:val="ListNumber2"/>
    <w:uiPriority w:val="13"/>
    <w:unhideWhenUsed/>
    <w:qFormat/>
    <w:locked/>
    <w:rsid w:val="00842A36"/>
    <w:pPr>
      <w:numPr>
        <w:ilvl w:val="2"/>
      </w:numPr>
    </w:pPr>
  </w:style>
  <w:style w:type="paragraph" w:styleId="ListNumber4">
    <w:name w:val="List Number 4"/>
    <w:basedOn w:val="ListNumber3"/>
    <w:uiPriority w:val="13"/>
    <w:unhideWhenUsed/>
    <w:locked/>
    <w:rsid w:val="00842A36"/>
    <w:pPr>
      <w:numPr>
        <w:ilvl w:val="3"/>
      </w:numPr>
    </w:pPr>
  </w:style>
  <w:style w:type="paragraph" w:styleId="ListNumber5">
    <w:name w:val="List Number 5"/>
    <w:basedOn w:val="ListNumber4"/>
    <w:uiPriority w:val="13"/>
    <w:unhideWhenUsed/>
    <w:locked/>
    <w:rsid w:val="00842A36"/>
    <w:pPr>
      <w:numPr>
        <w:ilvl w:val="4"/>
      </w:numPr>
    </w:pPr>
  </w:style>
  <w:style w:type="paragraph" w:styleId="ListParagraph">
    <w:name w:val="List Paragraph"/>
    <w:basedOn w:val="Normal"/>
    <w:uiPriority w:val="34"/>
    <w:semiHidden/>
    <w:qFormat/>
    <w:locked/>
    <w:rsid w:val="00842A36"/>
    <w:pPr>
      <w:ind w:left="720"/>
      <w:contextualSpacing/>
    </w:pPr>
  </w:style>
  <w:style w:type="paragraph" w:styleId="MessageHeader">
    <w:name w:val="Message Header"/>
    <w:basedOn w:val="Normal"/>
    <w:link w:val="MessageHeaderChar"/>
    <w:semiHidden/>
    <w:rsid w:val="00842A3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842A36"/>
    <w:rPr>
      <w:rFonts w:asciiTheme="majorHAnsi" w:eastAsiaTheme="majorEastAsia" w:hAnsiTheme="majorHAnsi" w:cstheme="majorBidi"/>
      <w:snapToGrid w:val="0"/>
      <w:sz w:val="24"/>
      <w:szCs w:val="24"/>
      <w:shd w:val="pct20" w:color="auto" w:fill="auto"/>
      <w:lang w:eastAsia="en-US"/>
    </w:rPr>
  </w:style>
  <w:style w:type="paragraph" w:styleId="NoSpacing">
    <w:name w:val="No Spacing"/>
    <w:uiPriority w:val="1"/>
    <w:semiHidden/>
    <w:qFormat/>
    <w:rsid w:val="00842A36"/>
    <w:pPr>
      <w:kinsoku w:val="0"/>
      <w:overflowPunct w:val="0"/>
      <w:autoSpaceDE w:val="0"/>
      <w:autoSpaceDN w:val="0"/>
      <w:adjustRightInd w:val="0"/>
      <w:snapToGrid w:val="0"/>
    </w:pPr>
    <w:rPr>
      <w:rFonts w:cs="Arial"/>
      <w:snapToGrid w:val="0"/>
      <w:lang w:eastAsia="en-US"/>
    </w:rPr>
  </w:style>
  <w:style w:type="paragraph" w:styleId="NormalIndent">
    <w:name w:val="Normal Indent"/>
    <w:basedOn w:val="Normal"/>
    <w:semiHidden/>
    <w:rsid w:val="00842A36"/>
    <w:pPr>
      <w:ind w:left="720"/>
    </w:pPr>
  </w:style>
  <w:style w:type="paragraph" w:styleId="NoteHeading">
    <w:name w:val="Note Heading"/>
    <w:basedOn w:val="Normal"/>
    <w:next w:val="Normal"/>
    <w:link w:val="NoteHeadingChar"/>
    <w:semiHidden/>
    <w:unhideWhenUsed/>
    <w:rsid w:val="00842A36"/>
  </w:style>
  <w:style w:type="character" w:customStyle="1" w:styleId="NoteHeadingChar">
    <w:name w:val="Note Heading Char"/>
    <w:basedOn w:val="DefaultParagraphFont"/>
    <w:link w:val="NoteHeading"/>
    <w:semiHidden/>
    <w:rsid w:val="00842A36"/>
    <w:rPr>
      <w:rFonts w:asciiTheme="minorHAnsi" w:hAnsiTheme="minorHAnsi" w:cs="Arial"/>
      <w:snapToGrid w:val="0"/>
      <w:sz w:val="18"/>
      <w:lang w:eastAsia="en-US"/>
    </w:rPr>
  </w:style>
  <w:style w:type="character" w:styleId="PlaceholderText">
    <w:name w:val="Placeholder Text"/>
    <w:basedOn w:val="DefaultParagraphFont"/>
    <w:uiPriority w:val="99"/>
    <w:semiHidden/>
    <w:rsid w:val="00842A36"/>
    <w:rPr>
      <w:color w:val="808080"/>
    </w:rPr>
  </w:style>
  <w:style w:type="paragraph" w:styleId="PlainText">
    <w:name w:val="Plain Text"/>
    <w:basedOn w:val="Normal"/>
    <w:link w:val="PlainTextChar"/>
    <w:semiHidden/>
    <w:rsid w:val="00842A36"/>
    <w:rPr>
      <w:rFonts w:ascii="Consolas" w:hAnsi="Consolas"/>
    </w:rPr>
  </w:style>
  <w:style w:type="character" w:customStyle="1" w:styleId="PlainTextChar">
    <w:name w:val="Plain Text Char"/>
    <w:basedOn w:val="DefaultParagraphFont"/>
    <w:link w:val="PlainText"/>
    <w:semiHidden/>
    <w:rsid w:val="00842A36"/>
    <w:rPr>
      <w:rFonts w:ascii="Consolas" w:hAnsi="Consolas" w:cs="Arial"/>
      <w:snapToGrid w:val="0"/>
      <w:sz w:val="18"/>
      <w:lang w:eastAsia="en-US"/>
    </w:rPr>
  </w:style>
  <w:style w:type="paragraph" w:styleId="Quote">
    <w:name w:val="Quote"/>
    <w:basedOn w:val="Normal"/>
    <w:next w:val="Normal"/>
    <w:link w:val="QuoteChar"/>
    <w:uiPriority w:val="29"/>
    <w:semiHidden/>
    <w:qFormat/>
    <w:rsid w:val="00842A36"/>
    <w:rPr>
      <w:i/>
      <w:iCs/>
      <w:color w:val="000000" w:themeColor="text1"/>
    </w:rPr>
  </w:style>
  <w:style w:type="character" w:customStyle="1" w:styleId="QuoteChar">
    <w:name w:val="Quote Char"/>
    <w:basedOn w:val="DefaultParagraphFont"/>
    <w:link w:val="Quote"/>
    <w:uiPriority w:val="29"/>
    <w:semiHidden/>
    <w:rsid w:val="00842A36"/>
    <w:rPr>
      <w:rFonts w:asciiTheme="minorHAnsi" w:hAnsiTheme="minorHAnsi" w:cs="Arial"/>
      <w:i/>
      <w:iCs/>
      <w:snapToGrid w:val="0"/>
      <w:color w:val="000000" w:themeColor="text1"/>
      <w:sz w:val="18"/>
      <w:lang w:eastAsia="en-US"/>
    </w:rPr>
  </w:style>
  <w:style w:type="paragraph" w:styleId="Salutation">
    <w:name w:val="Salutation"/>
    <w:basedOn w:val="Normal"/>
    <w:next w:val="Normal"/>
    <w:link w:val="SalutationChar"/>
    <w:semiHidden/>
    <w:unhideWhenUsed/>
    <w:rsid w:val="00842A36"/>
  </w:style>
  <w:style w:type="character" w:customStyle="1" w:styleId="SalutationChar">
    <w:name w:val="Salutation Char"/>
    <w:basedOn w:val="DefaultParagraphFont"/>
    <w:link w:val="Salutation"/>
    <w:semiHidden/>
    <w:rsid w:val="00842A36"/>
    <w:rPr>
      <w:rFonts w:asciiTheme="minorHAnsi" w:hAnsiTheme="minorHAnsi" w:cs="Arial"/>
      <w:snapToGrid w:val="0"/>
      <w:sz w:val="18"/>
      <w:lang w:eastAsia="en-US"/>
    </w:rPr>
  </w:style>
  <w:style w:type="paragraph" w:styleId="Signature">
    <w:name w:val="Signature"/>
    <w:basedOn w:val="Normal"/>
    <w:link w:val="SignatureChar"/>
    <w:semiHidden/>
    <w:rsid w:val="00842A36"/>
    <w:pPr>
      <w:ind w:left="4252"/>
    </w:pPr>
  </w:style>
  <w:style w:type="character" w:customStyle="1" w:styleId="SignatureChar">
    <w:name w:val="Signature Char"/>
    <w:basedOn w:val="DefaultParagraphFont"/>
    <w:link w:val="Signature"/>
    <w:semiHidden/>
    <w:rsid w:val="00842A36"/>
    <w:rPr>
      <w:rFonts w:asciiTheme="minorHAnsi" w:hAnsiTheme="minorHAnsi" w:cs="Arial"/>
      <w:snapToGrid w:val="0"/>
      <w:sz w:val="18"/>
      <w:lang w:eastAsia="en-US"/>
    </w:rPr>
  </w:style>
  <w:style w:type="paragraph" w:styleId="TableofAuthorities">
    <w:name w:val="table of authorities"/>
    <w:basedOn w:val="Normal"/>
    <w:next w:val="Normal"/>
    <w:semiHidden/>
    <w:unhideWhenUsed/>
    <w:rsid w:val="00842A36"/>
    <w:pPr>
      <w:ind w:left="210" w:hanging="210"/>
    </w:pPr>
  </w:style>
  <w:style w:type="paragraph" w:styleId="TableofFigures">
    <w:name w:val="table of figures"/>
    <w:basedOn w:val="Normal"/>
    <w:next w:val="Normal"/>
    <w:semiHidden/>
    <w:unhideWhenUsed/>
    <w:rsid w:val="00842A36"/>
  </w:style>
  <w:style w:type="paragraph" w:styleId="TOAHeading">
    <w:name w:val="toa heading"/>
    <w:basedOn w:val="Normal"/>
    <w:next w:val="Normal"/>
    <w:semiHidden/>
    <w:unhideWhenUsed/>
    <w:rsid w:val="00842A36"/>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unhideWhenUsed/>
    <w:qFormat/>
    <w:rsid w:val="00842A36"/>
    <w:pPr>
      <w:keepNext/>
      <w:keepLines/>
      <w:framePr w:wrap="around"/>
      <w:spacing w:before="480" w:line="240" w:lineRule="auto"/>
      <w:outlineLvl w:val="9"/>
    </w:pPr>
    <w:rPr>
      <w:rFonts w:eastAsiaTheme="majorEastAsia" w:cstheme="majorBidi"/>
      <w:color w:val="9B3701" w:themeColor="accent1" w:themeShade="BF"/>
      <w:sz w:val="28"/>
      <w:szCs w:val="28"/>
    </w:rPr>
  </w:style>
  <w:style w:type="paragraph" w:customStyle="1" w:styleId="URLCover">
    <w:name w:val="URL Cover"/>
    <w:basedOn w:val="Normal"/>
    <w:uiPriority w:val="49"/>
    <w:rsid w:val="00842A36"/>
    <w:pPr>
      <w:jc w:val="right"/>
    </w:pPr>
    <w:rPr>
      <w:color w:val="000000"/>
      <w:sz w:val="19"/>
    </w:rPr>
  </w:style>
  <w:style w:type="paragraph" w:customStyle="1" w:styleId="CoverOutcomeHeadline">
    <w:name w:val="Cover Outcome Headline"/>
    <w:basedOn w:val="PwCNormal"/>
    <w:uiPriority w:val="9"/>
    <w:rsid w:val="00882D01"/>
    <w:pPr>
      <w:spacing w:before="6800"/>
    </w:pPr>
    <w:rPr>
      <w:rFonts w:asciiTheme="majorHAnsi" w:hAnsiTheme="majorHAnsi"/>
      <w:color w:val="000000"/>
      <w:sz w:val="72"/>
      <w:szCs w:val="88"/>
      <w:lang w:val="en-GB"/>
    </w:rPr>
  </w:style>
  <w:style w:type="paragraph" w:customStyle="1" w:styleId="CoverOutcomeSubtitle">
    <w:name w:val="Cover Outcome Subtitle"/>
    <w:basedOn w:val="CoverOutcomeHeadline"/>
    <w:uiPriority w:val="19"/>
    <w:rsid w:val="006E205E"/>
    <w:pPr>
      <w:spacing w:before="0" w:after="0" w:line="320" w:lineRule="atLeast"/>
      <w:contextualSpacing/>
    </w:pPr>
    <w:rPr>
      <w:rFonts w:asciiTheme="minorHAnsi" w:hAnsiTheme="minorHAnsi"/>
      <w:b/>
      <w:sz w:val="26"/>
    </w:rPr>
  </w:style>
  <w:style w:type="paragraph" w:customStyle="1" w:styleId="TableNumberedList1">
    <w:name w:val="Table Numbered List 1"/>
    <w:basedOn w:val="TableTextNormal"/>
    <w:rsid w:val="00842A36"/>
    <w:pPr>
      <w:numPr>
        <w:numId w:val="22"/>
      </w:numPr>
    </w:pPr>
  </w:style>
  <w:style w:type="paragraph" w:customStyle="1" w:styleId="TableNumberedList2">
    <w:name w:val="Table Numbered List 2"/>
    <w:basedOn w:val="TableNumberedList1"/>
    <w:rsid w:val="00842A36"/>
    <w:pPr>
      <w:numPr>
        <w:ilvl w:val="1"/>
      </w:numPr>
      <w:spacing w:before="40" w:after="40"/>
    </w:pPr>
  </w:style>
  <w:style w:type="paragraph" w:customStyle="1" w:styleId="TableNumberedList3">
    <w:name w:val="Table Numbered List 3"/>
    <w:basedOn w:val="TableNumberedList2"/>
    <w:rsid w:val="00842A36"/>
    <w:pPr>
      <w:numPr>
        <w:ilvl w:val="2"/>
      </w:numPr>
    </w:pPr>
  </w:style>
  <w:style w:type="paragraph" w:customStyle="1" w:styleId="TableNumberedListSmall1">
    <w:name w:val="Table Numbered List Small 1"/>
    <w:basedOn w:val="TableTextSmall"/>
    <w:rsid w:val="00842A36"/>
    <w:pPr>
      <w:numPr>
        <w:numId w:val="24"/>
      </w:numPr>
    </w:pPr>
  </w:style>
  <w:style w:type="paragraph" w:customStyle="1" w:styleId="TableNumberedListSmall2">
    <w:name w:val="Table Numbered List Small 2"/>
    <w:basedOn w:val="TableNumberedListSmall1"/>
    <w:rsid w:val="00842A36"/>
    <w:pPr>
      <w:numPr>
        <w:ilvl w:val="1"/>
      </w:numPr>
    </w:pPr>
    <w:rPr>
      <w:szCs w:val="21"/>
    </w:rPr>
  </w:style>
  <w:style w:type="paragraph" w:customStyle="1" w:styleId="TableNumberedListSmall3">
    <w:name w:val="Table Numbered List Small 3"/>
    <w:basedOn w:val="TableNumberedListSmall2"/>
    <w:rsid w:val="00842A36"/>
    <w:pPr>
      <w:numPr>
        <w:ilvl w:val="2"/>
      </w:numPr>
    </w:pPr>
  </w:style>
  <w:style w:type="numbering" w:customStyle="1" w:styleId="ListNumberList">
    <w:name w:val="List Number List"/>
    <w:uiPriority w:val="99"/>
    <w:rsid w:val="00842A36"/>
    <w:pPr>
      <w:numPr>
        <w:numId w:val="12"/>
      </w:numPr>
    </w:pPr>
  </w:style>
  <w:style w:type="numbering" w:styleId="111111">
    <w:name w:val="Outline List 2"/>
    <w:basedOn w:val="NoList"/>
    <w:rsid w:val="00842A36"/>
    <w:pPr>
      <w:numPr>
        <w:numId w:val="1"/>
      </w:numPr>
    </w:pPr>
  </w:style>
  <w:style w:type="numbering" w:styleId="1ai">
    <w:name w:val="Outline List 1"/>
    <w:basedOn w:val="NoList"/>
    <w:rsid w:val="00842A36"/>
    <w:pPr>
      <w:numPr>
        <w:numId w:val="2"/>
      </w:numPr>
    </w:pPr>
  </w:style>
  <w:style w:type="numbering" w:styleId="ArticleSection">
    <w:name w:val="Outline List 3"/>
    <w:basedOn w:val="NoList"/>
    <w:rsid w:val="00842A36"/>
    <w:pPr>
      <w:numPr>
        <w:numId w:val="3"/>
      </w:numPr>
    </w:pPr>
  </w:style>
  <w:style w:type="paragraph" w:customStyle="1" w:styleId="Minorheading3">
    <w:name w:val="Minor heading 3"/>
    <w:basedOn w:val="Minorheading2"/>
    <w:uiPriority w:val="1"/>
    <w:rsid w:val="00842A36"/>
    <w:rPr>
      <w:b/>
      <w:i w:val="0"/>
    </w:rPr>
  </w:style>
  <w:style w:type="paragraph" w:customStyle="1" w:styleId="Bullet1">
    <w:name w:val="Bullet 1"/>
    <w:basedOn w:val="PwCNormal"/>
    <w:uiPriority w:val="4"/>
    <w:rsid w:val="00842A36"/>
    <w:pPr>
      <w:numPr>
        <w:numId w:val="5"/>
      </w:numPr>
      <w:spacing w:before="120"/>
    </w:pPr>
  </w:style>
  <w:style w:type="paragraph" w:customStyle="1" w:styleId="Bullet2">
    <w:name w:val="Bullet 2"/>
    <w:basedOn w:val="Bullet1"/>
    <w:uiPriority w:val="4"/>
    <w:rsid w:val="00842A36"/>
    <w:pPr>
      <w:numPr>
        <w:ilvl w:val="1"/>
      </w:numPr>
    </w:pPr>
  </w:style>
  <w:style w:type="paragraph" w:customStyle="1" w:styleId="Bullet3">
    <w:name w:val="Bullet 3"/>
    <w:basedOn w:val="Bullet2"/>
    <w:uiPriority w:val="4"/>
    <w:rsid w:val="00842A36"/>
    <w:pPr>
      <w:numPr>
        <w:ilvl w:val="2"/>
      </w:numPr>
    </w:pPr>
  </w:style>
  <w:style w:type="paragraph" w:customStyle="1" w:styleId="Bullet4">
    <w:name w:val="Bullet 4"/>
    <w:basedOn w:val="Bullet3"/>
    <w:uiPriority w:val="4"/>
    <w:rsid w:val="00842A36"/>
    <w:pPr>
      <w:numPr>
        <w:ilvl w:val="3"/>
      </w:numPr>
    </w:pPr>
  </w:style>
  <w:style w:type="numbering" w:customStyle="1" w:styleId="Bullets">
    <w:name w:val="Bullets"/>
    <w:uiPriority w:val="99"/>
    <w:rsid w:val="00842A36"/>
    <w:pPr>
      <w:numPr>
        <w:numId w:val="5"/>
      </w:numPr>
    </w:pPr>
  </w:style>
  <w:style w:type="numbering" w:customStyle="1" w:styleId="ChapterNumberingList0">
    <w:name w:val="Chapter Numbering List"/>
    <w:uiPriority w:val="99"/>
    <w:rsid w:val="00842A36"/>
    <w:pPr>
      <w:numPr>
        <w:numId w:val="6"/>
      </w:numPr>
    </w:pPr>
  </w:style>
  <w:style w:type="paragraph" w:customStyle="1" w:styleId="Bodyheadline">
    <w:name w:val="Body headline"/>
    <w:basedOn w:val="Normal"/>
    <w:qFormat/>
    <w:rsid w:val="00957317"/>
    <w:pPr>
      <w:pBdr>
        <w:top w:val="single" w:sz="4" w:space="4" w:color="EB8C00" w:themeColor="accent4"/>
        <w:bottom w:val="single" w:sz="4" w:space="4" w:color="EB8C00" w:themeColor="accent4"/>
      </w:pBdr>
      <w:kinsoku/>
      <w:overflowPunct/>
      <w:autoSpaceDE/>
      <w:autoSpaceDN/>
      <w:adjustRightInd/>
      <w:snapToGrid/>
      <w:spacing w:before="240" w:after="240"/>
    </w:pPr>
    <w:rPr>
      <w:rFonts w:eastAsiaTheme="minorHAnsi" w:cstheme="minorBidi"/>
      <w:b/>
      <w:snapToGrid/>
      <w:color w:val="D04A02" w:themeColor="accent1"/>
      <w:sz w:val="20"/>
      <w:szCs w:val="17"/>
      <w:lang w:val="en-GB"/>
    </w:rPr>
  </w:style>
  <w:style w:type="numbering" w:customStyle="1" w:styleId="ListBullets">
    <w:name w:val="List Bullets"/>
    <w:uiPriority w:val="99"/>
    <w:rsid w:val="00E20979"/>
    <w:pPr>
      <w:numPr>
        <w:numId w:val="26"/>
      </w:numPr>
    </w:pPr>
  </w:style>
  <w:style w:type="table" w:customStyle="1" w:styleId="PwCBasic">
    <w:name w:val="PwC Basic"/>
    <w:basedOn w:val="TableNormal"/>
    <w:uiPriority w:val="99"/>
    <w:rsid w:val="001E019F"/>
    <w:pPr>
      <w:spacing w:line="216" w:lineRule="auto"/>
      <w:contextualSpacing/>
    </w:pPr>
    <w:rPr>
      <w:rFonts w:asciiTheme="minorHAnsi" w:eastAsiaTheme="minorHAnsi" w:hAnsiTheme="minorHAnsi" w:cs="Times New Roman (Body CS)"/>
      <w:sz w:val="17"/>
      <w:szCs w:val="17"/>
      <w:lang w:val="en-GB" w:eastAsia="en-US"/>
    </w:rPr>
    <w:tblPr>
      <w:tblBorders>
        <w:top w:val="dotted" w:sz="4" w:space="0" w:color="auto"/>
        <w:bottom w:val="single" w:sz="4" w:space="0" w:color="auto"/>
        <w:insideH w:val="dotted" w:sz="4" w:space="0" w:color="auto"/>
      </w:tblBorders>
      <w:tblCellMar>
        <w:left w:w="0" w:type="dxa"/>
        <w:right w:w="0" w:type="dxa"/>
      </w:tblCellMar>
    </w:tblPr>
    <w:tcPr>
      <w:vAlign w:val="center"/>
    </w:tcPr>
    <w:tblStylePr w:type="firstRow">
      <w:rPr>
        <w:rFonts w:asciiTheme="minorHAnsi" w:hAnsiTheme="minorHAnsi"/>
        <w:b/>
      </w:rPr>
      <w:tblPr/>
      <w:trPr>
        <w:tblHeader/>
      </w:trPr>
      <w:tcPr>
        <w:tcBorders>
          <w:top w:val="single" w:sz="4" w:space="0" w:color="auto"/>
          <w:left w:val="nil"/>
          <w:bottom w:val="single" w:sz="4" w:space="0" w:color="auto"/>
          <w:right w:val="nil"/>
          <w:insideH w:val="nil"/>
          <w:insideV w:val="nil"/>
          <w:tl2br w:val="nil"/>
          <w:tr2bl w:val="nil"/>
        </w:tcBorders>
      </w:tcPr>
    </w:tblStylePr>
    <w:tblStylePr w:type="lastRow">
      <w:tblPr/>
      <w:tcPr>
        <w:tcBorders>
          <w:top w:val="single" w:sz="4" w:space="0" w:color="auto"/>
          <w:left w:val="nil"/>
          <w:bottom w:val="single" w:sz="4" w:space="0" w:color="auto"/>
          <w:right w:val="nil"/>
          <w:insideH w:val="nil"/>
          <w:insideV w:val="nil"/>
          <w:tl2br w:val="nil"/>
          <w:tr2bl w:val="nil"/>
        </w:tcBorders>
      </w:tcPr>
    </w:tblStylePr>
  </w:style>
  <w:style w:type="paragraph" w:customStyle="1" w:styleId="LastPageFooter">
    <w:name w:val="Last Page Footer"/>
    <w:basedOn w:val="Normal"/>
    <w:uiPriority w:val="39"/>
    <w:rsid w:val="00C57A6A"/>
    <w:rPr>
      <w:color w:val="FFFFFF" w:themeColor="background1"/>
      <w:sz w:val="14"/>
    </w:rPr>
  </w:style>
  <w:style w:type="numbering" w:customStyle="1" w:styleId="Chapternumberinglist">
    <w:name w:val="Chapter numbering list"/>
    <w:uiPriority w:val="99"/>
    <w:rsid w:val="007F7653"/>
    <w:pPr>
      <w:numPr>
        <w:numId w:val="28"/>
      </w:numPr>
    </w:pPr>
  </w:style>
  <w:style w:type="paragraph" w:customStyle="1" w:styleId="AppendixNumberLongAlt">
    <w:name w:val="Appendix Number (Long) Alt"/>
    <w:basedOn w:val="AppendixNumberLong"/>
    <w:uiPriority w:val="39"/>
    <w:rsid w:val="006842FF"/>
    <w:pPr>
      <w:framePr w:w="1701" w:wrap="around" w:hAnchor="margin" w:x="1" w:y="1"/>
      <w:spacing w:line="240" w:lineRule="auto"/>
    </w:pPr>
    <w:rPr>
      <w:sz w:val="230"/>
    </w:rPr>
  </w:style>
  <w:style w:type="paragraph" w:customStyle="1" w:styleId="ChapterNumberLongAlt">
    <w:name w:val="Chapter Number (Long) Alt"/>
    <w:basedOn w:val="ChapterNumberLong"/>
    <w:uiPriority w:val="39"/>
    <w:rsid w:val="00DD4E21"/>
    <w:pPr>
      <w:framePr w:w="1701" w:wrap="around" w:vAnchor="margin" w:hAnchor="margin" w:x="1"/>
    </w:pPr>
    <w:rPr>
      <w:sz w:val="230"/>
    </w:rPr>
  </w:style>
  <w:style w:type="paragraph" w:customStyle="1" w:styleId="FilledFrame">
    <w:name w:val="Filled Frame"/>
    <w:basedOn w:val="PwCNormal"/>
    <w:uiPriority w:val="39"/>
    <w:rsid w:val="00081A57"/>
    <w:pPr>
      <w:framePr w:w="1701" w:wrap="around" w:vAnchor="text" w:hAnchor="text" w:y="1"/>
      <w:numPr>
        <w:numId w:val="0"/>
      </w:numPr>
      <w:shd w:val="clear" w:color="auto" w:fill="D04A02" w:themeFill="accent1"/>
      <w:spacing w:before="120" w:line="240" w:lineRule="auto"/>
    </w:pPr>
  </w:style>
  <w:style w:type="paragraph" w:customStyle="1" w:styleId="DividerOpt2">
    <w:name w:val="Divider Opt 2"/>
    <w:basedOn w:val="Normal"/>
    <w:uiPriority w:val="39"/>
    <w:rsid w:val="00081A57"/>
    <w:pPr>
      <w:spacing w:before="119" w:after="238" w:line="240" w:lineRule="auto"/>
      <w:ind w:left="539" w:right="539"/>
    </w:pPr>
    <w:rPr>
      <w:rFonts w:ascii="Georgia" w:hAnsi="Georgia"/>
      <w:color w:val="FFFFFF" w:themeColor="background1"/>
      <w:sz w:val="132"/>
    </w:rPr>
  </w:style>
  <w:style w:type="paragraph" w:customStyle="1" w:styleId="DividerOpt2paragraphspacing">
    <w:name w:val="Divider Opt 2 paragraph spacing"/>
    <w:basedOn w:val="PwCNormal"/>
    <w:uiPriority w:val="39"/>
    <w:rsid w:val="009D05C9"/>
    <w:pPr>
      <w:numPr>
        <w:numId w:val="0"/>
      </w:numPr>
      <w:tabs>
        <w:tab w:val="right" w:pos="3402"/>
        <w:tab w:val="right" w:pos="3969"/>
        <w:tab w:val="right" w:pos="4536"/>
        <w:tab w:val="right" w:pos="5103"/>
        <w:tab w:val="right" w:pos="5670"/>
        <w:tab w:val="right" w:pos="6237"/>
        <w:tab w:val="right" w:pos="6804"/>
        <w:tab w:val="right" w:pos="7371"/>
        <w:tab w:val="right" w:pos="7938"/>
        <w:tab w:val="right" w:pos="8505"/>
        <w:tab w:val="right" w:pos="9072"/>
        <w:tab w:val="right" w:pos="9639"/>
        <w:tab w:val="right" w:pos="10206"/>
      </w:tabs>
      <w:spacing w:before="0" w:after="0" w:line="1840" w:lineRule="exact"/>
      <w:ind w:right="-567"/>
    </w:pPr>
  </w:style>
  <w:style w:type="paragraph" w:customStyle="1" w:styleId="DividerOpt2paragraphspacing1st">
    <w:name w:val="Divider Opt 2 paragraph spacing 1st"/>
    <w:basedOn w:val="DividerOpt2paragraphspacing"/>
    <w:uiPriority w:val="39"/>
    <w:rsid w:val="009D05C9"/>
    <w:pPr>
      <w:tabs>
        <w:tab w:val="right" w:pos="1134"/>
        <w:tab w:val="right" w:pos="1701"/>
        <w:tab w:val="right" w:pos="2268"/>
        <w:tab w:val="right" w:pos="2835"/>
      </w:tabs>
    </w:pPr>
  </w:style>
  <w:style w:type="paragraph" w:styleId="NormalWeb">
    <w:name w:val="Normal (Web)"/>
    <w:basedOn w:val="Normal"/>
    <w:uiPriority w:val="99"/>
    <w:unhideWhenUsed/>
    <w:rsid w:val="006842FF"/>
    <w:pPr>
      <w:kinsoku/>
      <w:overflowPunct/>
      <w:autoSpaceDE/>
      <w:autoSpaceDN/>
      <w:adjustRightInd/>
      <w:snapToGrid/>
      <w:spacing w:before="100" w:beforeAutospacing="1" w:after="100" w:afterAutospacing="1" w:line="240" w:lineRule="auto"/>
    </w:pPr>
    <w:rPr>
      <w:rFonts w:ascii="Times New Roman" w:eastAsiaTheme="minorEastAsia" w:hAnsi="Times New Roman" w:cs="Times New Roman"/>
      <w:snapToGrid/>
      <w:sz w:val="24"/>
      <w:szCs w:val="24"/>
      <w:lang w:val="en-US"/>
    </w:rPr>
  </w:style>
  <w:style w:type="paragraph" w:customStyle="1" w:styleId="Footer-White">
    <w:name w:val="Footer - White"/>
    <w:basedOn w:val="Footer-Even"/>
    <w:uiPriority w:val="39"/>
    <w:rsid w:val="00361597"/>
    <w:rPr>
      <w:noProof/>
      <w:color w:val="FFFFFF" w:themeColor="background1"/>
    </w:rPr>
  </w:style>
  <w:style w:type="character" w:customStyle="1" w:styleId="Headings1Char">
    <w:name w:val="Headings #1 Char"/>
    <w:basedOn w:val="Heading2Char"/>
    <w:link w:val="Headings1"/>
    <w:uiPriority w:val="39"/>
    <w:rsid w:val="00C22375"/>
    <w:rPr>
      <w:rFonts w:asciiTheme="majorHAnsi" w:hAnsiTheme="majorHAnsi" w:cs="Arial"/>
      <w:bCs/>
      <w:iCs/>
      <w:snapToGrid w:val="0"/>
      <w:color w:val="D04A02" w:themeColor="accent1"/>
      <w:sz w:val="60"/>
      <w:szCs w:val="36"/>
      <w:lang w:eastAsia="en-US"/>
    </w:rPr>
  </w:style>
  <w:style w:type="table" w:styleId="GridTable5Dark-Accent4">
    <w:name w:val="Grid Table 5 Dark Accent 4"/>
    <w:basedOn w:val="TableNormal"/>
    <w:uiPriority w:val="50"/>
    <w:rsid w:val="00ED57F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8C8"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B8C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B8C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B8C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B8C00" w:themeFill="accent4"/>
      </w:tcPr>
    </w:tblStylePr>
    <w:tblStylePr w:type="band1Vert">
      <w:tblPr/>
      <w:tcPr>
        <w:shd w:val="clear" w:color="auto" w:fill="FFD291" w:themeFill="accent4" w:themeFillTint="66"/>
      </w:tcPr>
    </w:tblStylePr>
    <w:tblStylePr w:type="band1Horz">
      <w:tblPr/>
      <w:tcPr>
        <w:shd w:val="clear" w:color="auto" w:fill="FFD291" w:themeFill="accent4" w:themeFillTint="66"/>
      </w:tcPr>
    </w:tblStylePr>
  </w:style>
  <w:style w:type="table" w:styleId="GridTable4-Accent4">
    <w:name w:val="Grid Table 4 Accent 4"/>
    <w:basedOn w:val="TableNormal"/>
    <w:uiPriority w:val="49"/>
    <w:rsid w:val="00574F6F"/>
    <w:tblPr>
      <w:tblStyleRowBandSize w:val="1"/>
      <w:tblStyleColBandSize w:val="1"/>
      <w:tblBorders>
        <w:top w:val="single" w:sz="4" w:space="0" w:color="FFBB5A" w:themeColor="accent4" w:themeTint="99"/>
        <w:left w:val="single" w:sz="4" w:space="0" w:color="FFBB5A" w:themeColor="accent4" w:themeTint="99"/>
        <w:bottom w:val="single" w:sz="4" w:space="0" w:color="FFBB5A" w:themeColor="accent4" w:themeTint="99"/>
        <w:right w:val="single" w:sz="4" w:space="0" w:color="FFBB5A" w:themeColor="accent4" w:themeTint="99"/>
        <w:insideH w:val="single" w:sz="4" w:space="0" w:color="FFBB5A" w:themeColor="accent4" w:themeTint="99"/>
        <w:insideV w:val="single" w:sz="4" w:space="0" w:color="FFBB5A" w:themeColor="accent4" w:themeTint="99"/>
      </w:tblBorders>
    </w:tblPr>
    <w:tblStylePr w:type="firstRow">
      <w:rPr>
        <w:b/>
        <w:bCs/>
        <w:color w:val="FFFFFF" w:themeColor="background1"/>
      </w:rPr>
      <w:tblPr/>
      <w:tcPr>
        <w:tcBorders>
          <w:top w:val="single" w:sz="4" w:space="0" w:color="EB8C00" w:themeColor="accent4"/>
          <w:left w:val="single" w:sz="4" w:space="0" w:color="EB8C00" w:themeColor="accent4"/>
          <w:bottom w:val="single" w:sz="4" w:space="0" w:color="EB8C00" w:themeColor="accent4"/>
          <w:right w:val="single" w:sz="4" w:space="0" w:color="EB8C00" w:themeColor="accent4"/>
          <w:insideH w:val="nil"/>
          <w:insideV w:val="nil"/>
        </w:tcBorders>
        <w:shd w:val="clear" w:color="auto" w:fill="EB8C00" w:themeFill="accent4"/>
      </w:tcPr>
    </w:tblStylePr>
    <w:tblStylePr w:type="lastRow">
      <w:rPr>
        <w:b/>
        <w:bCs/>
      </w:rPr>
      <w:tblPr/>
      <w:tcPr>
        <w:tcBorders>
          <w:top w:val="double" w:sz="4" w:space="0" w:color="EB8C00" w:themeColor="accent4"/>
        </w:tcBorders>
      </w:tcPr>
    </w:tblStylePr>
    <w:tblStylePr w:type="firstCol">
      <w:rPr>
        <w:b/>
        <w:bCs/>
      </w:rPr>
    </w:tblStylePr>
    <w:tblStylePr w:type="lastCol">
      <w:rPr>
        <w:b/>
        <w:bCs/>
      </w:rPr>
    </w:tblStylePr>
    <w:tblStylePr w:type="band1Vert">
      <w:tblPr/>
      <w:tcPr>
        <w:shd w:val="clear" w:color="auto" w:fill="FFE8C8" w:themeFill="accent4" w:themeFillTint="33"/>
      </w:tcPr>
    </w:tblStylePr>
    <w:tblStylePr w:type="band1Horz">
      <w:tblPr/>
      <w:tcPr>
        <w:shd w:val="clear" w:color="auto" w:fill="FFE8C8" w:themeFill="accent4" w:themeFillTint="33"/>
      </w:tcPr>
    </w:tblStylePr>
  </w:style>
  <w:style w:type="table" w:styleId="ListTable3-Accent1">
    <w:name w:val="List Table 3 Accent 1"/>
    <w:basedOn w:val="TableNormal"/>
    <w:uiPriority w:val="48"/>
    <w:rsid w:val="00524D8E"/>
    <w:tblPr>
      <w:tblStyleRowBandSize w:val="1"/>
      <w:tblStyleColBandSize w:val="1"/>
      <w:tblBorders>
        <w:top w:val="single" w:sz="4" w:space="0" w:color="D04A02" w:themeColor="accent1"/>
        <w:left w:val="single" w:sz="4" w:space="0" w:color="D04A02" w:themeColor="accent1"/>
        <w:bottom w:val="single" w:sz="4" w:space="0" w:color="D04A02" w:themeColor="accent1"/>
        <w:right w:val="single" w:sz="4" w:space="0" w:color="D04A02" w:themeColor="accent1"/>
      </w:tblBorders>
    </w:tblPr>
    <w:tblStylePr w:type="firstRow">
      <w:rPr>
        <w:b/>
        <w:bCs/>
        <w:color w:val="FFFFFF" w:themeColor="background1"/>
      </w:rPr>
      <w:tblPr/>
      <w:tcPr>
        <w:shd w:val="clear" w:color="auto" w:fill="D04A02" w:themeFill="accent1"/>
      </w:tcPr>
    </w:tblStylePr>
    <w:tblStylePr w:type="lastRow">
      <w:rPr>
        <w:b/>
        <w:bCs/>
      </w:rPr>
      <w:tblPr/>
      <w:tcPr>
        <w:tcBorders>
          <w:top w:val="double" w:sz="4" w:space="0" w:color="D04A0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4A02" w:themeColor="accent1"/>
          <w:right w:val="single" w:sz="4" w:space="0" w:color="D04A02" w:themeColor="accent1"/>
        </w:tcBorders>
      </w:tcPr>
    </w:tblStylePr>
    <w:tblStylePr w:type="band1Horz">
      <w:tblPr/>
      <w:tcPr>
        <w:tcBorders>
          <w:top w:val="single" w:sz="4" w:space="0" w:color="D04A02" w:themeColor="accent1"/>
          <w:bottom w:val="single" w:sz="4" w:space="0" w:color="D04A0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4A02" w:themeColor="accent1"/>
          <w:left w:val="nil"/>
        </w:tcBorders>
      </w:tcPr>
    </w:tblStylePr>
    <w:tblStylePr w:type="swCell">
      <w:tblPr/>
      <w:tcPr>
        <w:tcBorders>
          <w:top w:val="double" w:sz="4" w:space="0" w:color="D04A02" w:themeColor="accent1"/>
          <w:right w:val="nil"/>
        </w:tcBorders>
      </w:tcPr>
    </w:tblStylePr>
  </w:style>
  <w:style w:type="table" w:styleId="GridTable5Dark-Accent1">
    <w:name w:val="Grid Table 5 Dark Accent 1"/>
    <w:basedOn w:val="TableNormal"/>
    <w:uiPriority w:val="50"/>
    <w:rsid w:val="00A77C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ED8C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4A0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4A0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4A0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4A02" w:themeFill="accent1"/>
      </w:tcPr>
    </w:tblStylePr>
    <w:tblStylePr w:type="band1Vert">
      <w:tblPr/>
      <w:tcPr>
        <w:shd w:val="clear" w:color="auto" w:fill="FDB188" w:themeFill="accent1" w:themeFillTint="66"/>
      </w:tcPr>
    </w:tblStylePr>
    <w:tblStylePr w:type="band1Horz">
      <w:tblPr/>
      <w:tcPr>
        <w:shd w:val="clear" w:color="auto" w:fill="FDB188" w:themeFill="accent1" w:themeFillTint="66"/>
      </w:tcPr>
    </w:tblStylePr>
  </w:style>
  <w:style w:type="table" w:styleId="GridTable4-Accent1">
    <w:name w:val="Grid Table 4 Accent 1"/>
    <w:basedOn w:val="TableNormal"/>
    <w:uiPriority w:val="49"/>
    <w:rsid w:val="00A77C50"/>
    <w:tblPr>
      <w:tblStyleRowBandSize w:val="1"/>
      <w:tblStyleColBandSize w:val="1"/>
      <w:tblBorders>
        <w:top w:val="single" w:sz="4" w:space="0" w:color="FD8A4C" w:themeColor="accent1" w:themeTint="99"/>
        <w:left w:val="single" w:sz="4" w:space="0" w:color="FD8A4C" w:themeColor="accent1" w:themeTint="99"/>
        <w:bottom w:val="single" w:sz="4" w:space="0" w:color="FD8A4C" w:themeColor="accent1" w:themeTint="99"/>
        <w:right w:val="single" w:sz="4" w:space="0" w:color="FD8A4C" w:themeColor="accent1" w:themeTint="99"/>
        <w:insideH w:val="single" w:sz="4" w:space="0" w:color="FD8A4C" w:themeColor="accent1" w:themeTint="99"/>
        <w:insideV w:val="single" w:sz="4" w:space="0" w:color="FD8A4C" w:themeColor="accent1" w:themeTint="99"/>
      </w:tblBorders>
    </w:tblPr>
    <w:tblStylePr w:type="firstRow">
      <w:rPr>
        <w:b/>
        <w:bCs/>
        <w:color w:val="FFFFFF" w:themeColor="background1"/>
      </w:rPr>
      <w:tblPr/>
      <w:tcPr>
        <w:tcBorders>
          <w:top w:val="single" w:sz="4" w:space="0" w:color="D04A02" w:themeColor="accent1"/>
          <w:left w:val="single" w:sz="4" w:space="0" w:color="D04A02" w:themeColor="accent1"/>
          <w:bottom w:val="single" w:sz="4" w:space="0" w:color="D04A02" w:themeColor="accent1"/>
          <w:right w:val="single" w:sz="4" w:space="0" w:color="D04A02" w:themeColor="accent1"/>
          <w:insideH w:val="nil"/>
          <w:insideV w:val="nil"/>
        </w:tcBorders>
        <w:shd w:val="clear" w:color="auto" w:fill="D04A02" w:themeFill="accent1"/>
      </w:tcPr>
    </w:tblStylePr>
    <w:tblStylePr w:type="lastRow">
      <w:rPr>
        <w:b/>
        <w:bCs/>
      </w:rPr>
      <w:tblPr/>
      <w:tcPr>
        <w:tcBorders>
          <w:top w:val="double" w:sz="4" w:space="0" w:color="D04A02" w:themeColor="accent1"/>
        </w:tcBorders>
      </w:tcPr>
    </w:tblStylePr>
    <w:tblStylePr w:type="firstCol">
      <w:rPr>
        <w:b/>
        <w:bCs/>
      </w:rPr>
    </w:tblStylePr>
    <w:tblStylePr w:type="lastCol">
      <w:rPr>
        <w:b/>
        <w:bCs/>
      </w:rPr>
    </w:tblStylePr>
    <w:tblStylePr w:type="band1Vert">
      <w:tblPr/>
      <w:tcPr>
        <w:shd w:val="clear" w:color="auto" w:fill="FED8C3" w:themeFill="accent1" w:themeFillTint="33"/>
      </w:tcPr>
    </w:tblStylePr>
    <w:tblStylePr w:type="band1Horz">
      <w:tblPr/>
      <w:tcPr>
        <w:shd w:val="clear" w:color="auto" w:fill="FED8C3" w:themeFill="accent1" w:themeFillTint="33"/>
      </w:tcPr>
    </w:tblStylePr>
  </w:style>
  <w:style w:type="table" w:styleId="GridTable4-Accent6">
    <w:name w:val="Grid Table 4 Accent 6"/>
    <w:basedOn w:val="TableNormal"/>
    <w:uiPriority w:val="49"/>
    <w:rsid w:val="00A77C50"/>
    <w:tblPr>
      <w:tblStyleRowBandSize w:val="1"/>
      <w:tblStyleColBandSize w:val="1"/>
      <w:tblBorders>
        <w:top w:val="single" w:sz="4" w:space="0" w:color="909090" w:themeColor="accent6" w:themeTint="99"/>
        <w:left w:val="single" w:sz="4" w:space="0" w:color="909090" w:themeColor="accent6" w:themeTint="99"/>
        <w:bottom w:val="single" w:sz="4" w:space="0" w:color="909090" w:themeColor="accent6" w:themeTint="99"/>
        <w:right w:val="single" w:sz="4" w:space="0" w:color="909090" w:themeColor="accent6" w:themeTint="99"/>
        <w:insideH w:val="single" w:sz="4" w:space="0" w:color="909090" w:themeColor="accent6" w:themeTint="99"/>
        <w:insideV w:val="single" w:sz="4" w:space="0" w:color="909090" w:themeColor="accent6" w:themeTint="99"/>
      </w:tblBorders>
    </w:tblPr>
    <w:tblStylePr w:type="firstRow">
      <w:rPr>
        <w:b/>
        <w:bCs/>
        <w:color w:val="FFFFFF" w:themeColor="background1"/>
      </w:rPr>
      <w:tblPr/>
      <w:tcPr>
        <w:tcBorders>
          <w:top w:val="single" w:sz="4" w:space="0" w:color="464646" w:themeColor="accent6"/>
          <w:left w:val="single" w:sz="4" w:space="0" w:color="464646" w:themeColor="accent6"/>
          <w:bottom w:val="single" w:sz="4" w:space="0" w:color="464646" w:themeColor="accent6"/>
          <w:right w:val="single" w:sz="4" w:space="0" w:color="464646" w:themeColor="accent6"/>
          <w:insideH w:val="nil"/>
          <w:insideV w:val="nil"/>
        </w:tcBorders>
        <w:shd w:val="clear" w:color="auto" w:fill="464646" w:themeFill="accent6"/>
      </w:tcPr>
    </w:tblStylePr>
    <w:tblStylePr w:type="lastRow">
      <w:rPr>
        <w:b/>
        <w:bCs/>
      </w:rPr>
      <w:tblPr/>
      <w:tcPr>
        <w:tcBorders>
          <w:top w:val="double" w:sz="4" w:space="0" w:color="464646" w:themeColor="accent6"/>
        </w:tcBorders>
      </w:tcPr>
    </w:tblStylePr>
    <w:tblStylePr w:type="firstCol">
      <w:rPr>
        <w:b/>
        <w:bCs/>
      </w:rPr>
    </w:tblStylePr>
    <w:tblStylePr w:type="lastCol">
      <w:rPr>
        <w:b/>
        <w:bCs/>
      </w:rPr>
    </w:tblStylePr>
    <w:tblStylePr w:type="band1Vert">
      <w:tblPr/>
      <w:tcPr>
        <w:shd w:val="clear" w:color="auto" w:fill="DADADA" w:themeFill="accent6" w:themeFillTint="33"/>
      </w:tcPr>
    </w:tblStylePr>
    <w:tblStylePr w:type="band1Horz">
      <w:tblPr/>
      <w:tcPr>
        <w:shd w:val="clear" w:color="auto" w:fill="DADADA"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725824">
      <w:bodyDiv w:val="1"/>
      <w:marLeft w:val="0"/>
      <w:marRight w:val="0"/>
      <w:marTop w:val="0"/>
      <w:marBottom w:val="0"/>
      <w:divBdr>
        <w:top w:val="none" w:sz="0" w:space="0" w:color="auto"/>
        <w:left w:val="none" w:sz="0" w:space="0" w:color="auto"/>
        <w:bottom w:val="none" w:sz="0" w:space="0" w:color="auto"/>
        <w:right w:val="none" w:sz="0" w:space="0" w:color="auto"/>
      </w:divBdr>
      <w:divsChild>
        <w:div w:id="1255433642">
          <w:marLeft w:val="288"/>
          <w:marRight w:val="0"/>
          <w:marTop w:val="0"/>
          <w:marBottom w:val="120"/>
          <w:divBdr>
            <w:top w:val="none" w:sz="0" w:space="0" w:color="auto"/>
            <w:left w:val="none" w:sz="0" w:space="0" w:color="auto"/>
            <w:bottom w:val="none" w:sz="0" w:space="0" w:color="auto"/>
            <w:right w:val="none" w:sz="0" w:space="0" w:color="auto"/>
          </w:divBdr>
        </w:div>
        <w:div w:id="1263608295">
          <w:marLeft w:val="288"/>
          <w:marRight w:val="0"/>
          <w:marTop w:val="0"/>
          <w:marBottom w:val="120"/>
          <w:divBdr>
            <w:top w:val="none" w:sz="0" w:space="0" w:color="auto"/>
            <w:left w:val="none" w:sz="0" w:space="0" w:color="auto"/>
            <w:bottom w:val="none" w:sz="0" w:space="0" w:color="auto"/>
            <w:right w:val="none" w:sz="0" w:space="0" w:color="auto"/>
          </w:divBdr>
        </w:div>
        <w:div w:id="1751004737">
          <w:marLeft w:val="288"/>
          <w:marRight w:val="0"/>
          <w:marTop w:val="0"/>
          <w:marBottom w:val="120"/>
          <w:divBdr>
            <w:top w:val="none" w:sz="0" w:space="0" w:color="auto"/>
            <w:left w:val="none" w:sz="0" w:space="0" w:color="auto"/>
            <w:bottom w:val="none" w:sz="0" w:space="0" w:color="auto"/>
            <w:right w:val="none" w:sz="0" w:space="0" w:color="auto"/>
          </w:divBdr>
        </w:div>
        <w:div w:id="563951897">
          <w:marLeft w:val="288"/>
          <w:marRight w:val="0"/>
          <w:marTop w:val="0"/>
          <w:marBottom w:val="120"/>
          <w:divBdr>
            <w:top w:val="none" w:sz="0" w:space="0" w:color="auto"/>
            <w:left w:val="none" w:sz="0" w:space="0" w:color="auto"/>
            <w:bottom w:val="none" w:sz="0" w:space="0" w:color="auto"/>
            <w:right w:val="none" w:sz="0" w:space="0" w:color="auto"/>
          </w:divBdr>
        </w:div>
      </w:divsChild>
    </w:div>
    <w:div w:id="173810852">
      <w:bodyDiv w:val="1"/>
      <w:marLeft w:val="0"/>
      <w:marRight w:val="0"/>
      <w:marTop w:val="0"/>
      <w:marBottom w:val="0"/>
      <w:divBdr>
        <w:top w:val="none" w:sz="0" w:space="0" w:color="auto"/>
        <w:left w:val="none" w:sz="0" w:space="0" w:color="auto"/>
        <w:bottom w:val="none" w:sz="0" w:space="0" w:color="auto"/>
        <w:right w:val="none" w:sz="0" w:space="0" w:color="auto"/>
      </w:divBdr>
    </w:div>
    <w:div w:id="296567454">
      <w:bodyDiv w:val="1"/>
      <w:marLeft w:val="0"/>
      <w:marRight w:val="0"/>
      <w:marTop w:val="0"/>
      <w:marBottom w:val="0"/>
      <w:divBdr>
        <w:top w:val="none" w:sz="0" w:space="0" w:color="auto"/>
        <w:left w:val="none" w:sz="0" w:space="0" w:color="auto"/>
        <w:bottom w:val="none" w:sz="0" w:space="0" w:color="auto"/>
        <w:right w:val="none" w:sz="0" w:space="0" w:color="auto"/>
      </w:divBdr>
    </w:div>
    <w:div w:id="300426721">
      <w:bodyDiv w:val="1"/>
      <w:marLeft w:val="0"/>
      <w:marRight w:val="0"/>
      <w:marTop w:val="0"/>
      <w:marBottom w:val="0"/>
      <w:divBdr>
        <w:top w:val="none" w:sz="0" w:space="0" w:color="auto"/>
        <w:left w:val="none" w:sz="0" w:space="0" w:color="auto"/>
        <w:bottom w:val="none" w:sz="0" w:space="0" w:color="auto"/>
        <w:right w:val="none" w:sz="0" w:space="0" w:color="auto"/>
      </w:divBdr>
    </w:div>
    <w:div w:id="506988839">
      <w:bodyDiv w:val="1"/>
      <w:marLeft w:val="0"/>
      <w:marRight w:val="0"/>
      <w:marTop w:val="0"/>
      <w:marBottom w:val="0"/>
      <w:divBdr>
        <w:top w:val="none" w:sz="0" w:space="0" w:color="auto"/>
        <w:left w:val="none" w:sz="0" w:space="0" w:color="auto"/>
        <w:bottom w:val="none" w:sz="0" w:space="0" w:color="auto"/>
        <w:right w:val="none" w:sz="0" w:space="0" w:color="auto"/>
      </w:divBdr>
    </w:div>
    <w:div w:id="693190084">
      <w:bodyDiv w:val="1"/>
      <w:marLeft w:val="0"/>
      <w:marRight w:val="0"/>
      <w:marTop w:val="0"/>
      <w:marBottom w:val="0"/>
      <w:divBdr>
        <w:top w:val="none" w:sz="0" w:space="0" w:color="auto"/>
        <w:left w:val="none" w:sz="0" w:space="0" w:color="auto"/>
        <w:bottom w:val="none" w:sz="0" w:space="0" w:color="auto"/>
        <w:right w:val="none" w:sz="0" w:space="0" w:color="auto"/>
      </w:divBdr>
    </w:div>
    <w:div w:id="752311538">
      <w:bodyDiv w:val="1"/>
      <w:marLeft w:val="0"/>
      <w:marRight w:val="0"/>
      <w:marTop w:val="0"/>
      <w:marBottom w:val="0"/>
      <w:divBdr>
        <w:top w:val="none" w:sz="0" w:space="0" w:color="auto"/>
        <w:left w:val="none" w:sz="0" w:space="0" w:color="auto"/>
        <w:bottom w:val="none" w:sz="0" w:space="0" w:color="auto"/>
        <w:right w:val="none" w:sz="0" w:space="0" w:color="auto"/>
      </w:divBdr>
    </w:div>
    <w:div w:id="876162434">
      <w:bodyDiv w:val="1"/>
      <w:marLeft w:val="0"/>
      <w:marRight w:val="0"/>
      <w:marTop w:val="0"/>
      <w:marBottom w:val="0"/>
      <w:divBdr>
        <w:top w:val="none" w:sz="0" w:space="0" w:color="auto"/>
        <w:left w:val="none" w:sz="0" w:space="0" w:color="auto"/>
        <w:bottom w:val="none" w:sz="0" w:space="0" w:color="auto"/>
        <w:right w:val="none" w:sz="0" w:space="0" w:color="auto"/>
      </w:divBdr>
    </w:div>
    <w:div w:id="921255084">
      <w:bodyDiv w:val="1"/>
      <w:marLeft w:val="0"/>
      <w:marRight w:val="0"/>
      <w:marTop w:val="0"/>
      <w:marBottom w:val="0"/>
      <w:divBdr>
        <w:top w:val="none" w:sz="0" w:space="0" w:color="auto"/>
        <w:left w:val="none" w:sz="0" w:space="0" w:color="auto"/>
        <w:bottom w:val="none" w:sz="0" w:space="0" w:color="auto"/>
        <w:right w:val="none" w:sz="0" w:space="0" w:color="auto"/>
      </w:divBdr>
    </w:div>
    <w:div w:id="984237548">
      <w:bodyDiv w:val="1"/>
      <w:marLeft w:val="0"/>
      <w:marRight w:val="0"/>
      <w:marTop w:val="0"/>
      <w:marBottom w:val="0"/>
      <w:divBdr>
        <w:top w:val="none" w:sz="0" w:space="0" w:color="auto"/>
        <w:left w:val="none" w:sz="0" w:space="0" w:color="auto"/>
        <w:bottom w:val="none" w:sz="0" w:space="0" w:color="auto"/>
        <w:right w:val="none" w:sz="0" w:space="0" w:color="auto"/>
      </w:divBdr>
    </w:div>
    <w:div w:id="1134104975">
      <w:bodyDiv w:val="1"/>
      <w:marLeft w:val="0"/>
      <w:marRight w:val="0"/>
      <w:marTop w:val="0"/>
      <w:marBottom w:val="0"/>
      <w:divBdr>
        <w:top w:val="none" w:sz="0" w:space="0" w:color="auto"/>
        <w:left w:val="none" w:sz="0" w:space="0" w:color="auto"/>
        <w:bottom w:val="none" w:sz="0" w:space="0" w:color="auto"/>
        <w:right w:val="none" w:sz="0" w:space="0" w:color="auto"/>
      </w:divBdr>
    </w:div>
    <w:div w:id="1377120998">
      <w:bodyDiv w:val="1"/>
      <w:marLeft w:val="0"/>
      <w:marRight w:val="0"/>
      <w:marTop w:val="0"/>
      <w:marBottom w:val="0"/>
      <w:divBdr>
        <w:top w:val="none" w:sz="0" w:space="0" w:color="auto"/>
        <w:left w:val="none" w:sz="0" w:space="0" w:color="auto"/>
        <w:bottom w:val="none" w:sz="0" w:space="0" w:color="auto"/>
        <w:right w:val="none" w:sz="0" w:space="0" w:color="auto"/>
      </w:divBdr>
    </w:div>
    <w:div w:id="1387148194">
      <w:bodyDiv w:val="1"/>
      <w:marLeft w:val="0"/>
      <w:marRight w:val="0"/>
      <w:marTop w:val="0"/>
      <w:marBottom w:val="0"/>
      <w:divBdr>
        <w:top w:val="none" w:sz="0" w:space="0" w:color="auto"/>
        <w:left w:val="none" w:sz="0" w:space="0" w:color="auto"/>
        <w:bottom w:val="none" w:sz="0" w:space="0" w:color="auto"/>
        <w:right w:val="none" w:sz="0" w:space="0" w:color="auto"/>
      </w:divBdr>
    </w:div>
    <w:div w:id="1554317472">
      <w:bodyDiv w:val="1"/>
      <w:marLeft w:val="0"/>
      <w:marRight w:val="0"/>
      <w:marTop w:val="0"/>
      <w:marBottom w:val="0"/>
      <w:divBdr>
        <w:top w:val="none" w:sz="0" w:space="0" w:color="auto"/>
        <w:left w:val="none" w:sz="0" w:space="0" w:color="auto"/>
        <w:bottom w:val="none" w:sz="0" w:space="0" w:color="auto"/>
        <w:right w:val="none" w:sz="0" w:space="0" w:color="auto"/>
      </w:divBdr>
    </w:div>
    <w:div w:id="1571304641">
      <w:bodyDiv w:val="1"/>
      <w:marLeft w:val="0"/>
      <w:marRight w:val="0"/>
      <w:marTop w:val="0"/>
      <w:marBottom w:val="0"/>
      <w:divBdr>
        <w:top w:val="none" w:sz="0" w:space="0" w:color="auto"/>
        <w:left w:val="none" w:sz="0" w:space="0" w:color="auto"/>
        <w:bottom w:val="none" w:sz="0" w:space="0" w:color="auto"/>
        <w:right w:val="none" w:sz="0" w:space="0" w:color="auto"/>
      </w:divBdr>
    </w:div>
    <w:div w:id="1693531416">
      <w:bodyDiv w:val="1"/>
      <w:marLeft w:val="0"/>
      <w:marRight w:val="0"/>
      <w:marTop w:val="0"/>
      <w:marBottom w:val="0"/>
      <w:divBdr>
        <w:top w:val="none" w:sz="0" w:space="0" w:color="auto"/>
        <w:left w:val="none" w:sz="0" w:space="0" w:color="auto"/>
        <w:bottom w:val="none" w:sz="0" w:space="0" w:color="auto"/>
        <w:right w:val="none" w:sz="0" w:space="0" w:color="auto"/>
      </w:divBdr>
    </w:div>
    <w:div w:id="1703895075">
      <w:bodyDiv w:val="1"/>
      <w:marLeft w:val="0"/>
      <w:marRight w:val="0"/>
      <w:marTop w:val="0"/>
      <w:marBottom w:val="0"/>
      <w:divBdr>
        <w:top w:val="none" w:sz="0" w:space="0" w:color="auto"/>
        <w:left w:val="none" w:sz="0" w:space="0" w:color="auto"/>
        <w:bottom w:val="none" w:sz="0" w:space="0" w:color="auto"/>
        <w:right w:val="none" w:sz="0" w:space="0" w:color="auto"/>
      </w:divBdr>
    </w:div>
    <w:div w:id="1728994780">
      <w:bodyDiv w:val="1"/>
      <w:marLeft w:val="0"/>
      <w:marRight w:val="0"/>
      <w:marTop w:val="0"/>
      <w:marBottom w:val="0"/>
      <w:divBdr>
        <w:top w:val="none" w:sz="0" w:space="0" w:color="auto"/>
        <w:left w:val="none" w:sz="0" w:space="0" w:color="auto"/>
        <w:bottom w:val="none" w:sz="0" w:space="0" w:color="auto"/>
        <w:right w:val="none" w:sz="0" w:space="0" w:color="auto"/>
      </w:divBdr>
    </w:div>
    <w:div w:id="1865098632">
      <w:bodyDiv w:val="1"/>
      <w:marLeft w:val="0"/>
      <w:marRight w:val="0"/>
      <w:marTop w:val="0"/>
      <w:marBottom w:val="0"/>
      <w:divBdr>
        <w:top w:val="none" w:sz="0" w:space="0" w:color="auto"/>
        <w:left w:val="none" w:sz="0" w:space="0" w:color="auto"/>
        <w:bottom w:val="none" w:sz="0" w:space="0" w:color="auto"/>
        <w:right w:val="none" w:sz="0" w:space="0" w:color="auto"/>
      </w:divBdr>
    </w:div>
    <w:div w:id="2067606759">
      <w:bodyDiv w:val="1"/>
      <w:marLeft w:val="0"/>
      <w:marRight w:val="0"/>
      <w:marTop w:val="0"/>
      <w:marBottom w:val="0"/>
      <w:divBdr>
        <w:top w:val="none" w:sz="0" w:space="0" w:color="auto"/>
        <w:left w:val="none" w:sz="0" w:space="0" w:color="auto"/>
        <w:bottom w:val="none" w:sz="0" w:space="0" w:color="auto"/>
        <w:right w:val="none" w:sz="0" w:space="0" w:color="auto"/>
      </w:divBdr>
    </w:div>
    <w:div w:id="2138983079">
      <w:bodyDiv w:val="1"/>
      <w:marLeft w:val="0"/>
      <w:marRight w:val="0"/>
      <w:marTop w:val="0"/>
      <w:marBottom w:val="0"/>
      <w:divBdr>
        <w:top w:val="none" w:sz="0" w:space="0" w:color="auto"/>
        <w:left w:val="none" w:sz="0" w:space="0" w:color="auto"/>
        <w:bottom w:val="none" w:sz="0" w:space="0" w:color="auto"/>
        <w:right w:val="none" w:sz="0" w:space="0" w:color="auto"/>
      </w:divBdr>
      <w:divsChild>
        <w:div w:id="1696227057">
          <w:marLeft w:val="60"/>
          <w:marRight w:val="0"/>
          <w:marTop w:val="0"/>
          <w:marBottom w:val="0"/>
          <w:divBdr>
            <w:top w:val="none" w:sz="0" w:space="0" w:color="auto"/>
            <w:left w:val="none" w:sz="0" w:space="0" w:color="auto"/>
            <w:bottom w:val="none" w:sz="0" w:space="0" w:color="auto"/>
            <w:right w:val="none" w:sz="0" w:space="0" w:color="auto"/>
          </w:divBdr>
        </w:div>
      </w:divsChild>
    </w:div>
    <w:div w:id="2143158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9.xml"/><Relationship Id="rId39" Type="http://schemas.openxmlformats.org/officeDocument/2006/relationships/image" Target="media/image9.png"/><Relationship Id="rId21" Type="http://schemas.openxmlformats.org/officeDocument/2006/relationships/footer" Target="footer6.xml"/><Relationship Id="rId34" Type="http://schemas.openxmlformats.org/officeDocument/2006/relationships/footer" Target="footer12.xml"/><Relationship Id="rId42" Type="http://schemas.openxmlformats.org/officeDocument/2006/relationships/header" Target="header14.xml"/><Relationship Id="rId47" Type="http://schemas.openxmlformats.org/officeDocument/2006/relationships/footer" Target="footer15.xml"/><Relationship Id="rId50" Type="http://schemas.openxmlformats.org/officeDocument/2006/relationships/customXml" Target="../customXml/item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header" Target="header10.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footer" Target="footer11.xml"/><Relationship Id="rId37" Type="http://schemas.openxmlformats.org/officeDocument/2006/relationships/image" Target="media/image7.png"/><Relationship Id="rId40" Type="http://schemas.openxmlformats.org/officeDocument/2006/relationships/image" Target="media/image10.png"/><Relationship Id="rId45" Type="http://schemas.openxmlformats.org/officeDocument/2006/relationships/footer" Target="footer14.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image" Target="media/image4.png"/><Relationship Id="rId36" Type="http://schemas.openxmlformats.org/officeDocument/2006/relationships/image" Target="media/image6.png"/><Relationship Id="rId49"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footer" Target="footer10.xml"/><Relationship Id="rId44" Type="http://schemas.openxmlformats.org/officeDocument/2006/relationships/footer" Target="footer13.xml"/><Relationship Id="rId52"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header" Target="header11.xml"/><Relationship Id="rId35" Type="http://schemas.openxmlformats.org/officeDocument/2006/relationships/image" Target="media/image5.png"/><Relationship Id="rId43" Type="http://schemas.openxmlformats.org/officeDocument/2006/relationships/header" Target="header15.xml"/><Relationship Id="rId48"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customXml" Target="../customXml/item3.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oter" Target="footer8.xml"/><Relationship Id="rId33" Type="http://schemas.openxmlformats.org/officeDocument/2006/relationships/header" Target="header12.xml"/><Relationship Id="rId38" Type="http://schemas.openxmlformats.org/officeDocument/2006/relationships/image" Target="media/image8.png"/><Relationship Id="rId46" Type="http://schemas.openxmlformats.org/officeDocument/2006/relationships/header" Target="header16.xml"/><Relationship Id="rId20" Type="http://schemas.openxmlformats.org/officeDocument/2006/relationships/header" Target="header6.xml"/><Relationship Id="rId41"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mckenna010\AppData\Roaming\Microsoft\Templates\PwCWL_Report%20v9.dotm" TargetMode="External"/></Relationships>
</file>

<file path=word/theme/theme1.xml><?xml version="1.0" encoding="utf-8"?>
<a:theme xmlns:a="http://schemas.openxmlformats.org/drawingml/2006/main" name="PwC">
  <a:themeElements>
    <a:clrScheme name="PwC Burgundy">
      <a:dk1>
        <a:srgbClr val="000000"/>
      </a:dk1>
      <a:lt1>
        <a:srgbClr val="FFFFFF"/>
      </a:lt1>
      <a:dk2>
        <a:srgbClr val="7D7D7D"/>
      </a:dk2>
      <a:lt2>
        <a:srgbClr val="DEDEDE"/>
      </a:lt2>
      <a:accent1>
        <a:srgbClr val="D04A02"/>
      </a:accent1>
      <a:accent2>
        <a:srgbClr val="FFB600"/>
      </a:accent2>
      <a:accent3>
        <a:srgbClr val="E0301E"/>
      </a:accent3>
      <a:accent4>
        <a:srgbClr val="EB8C00"/>
      </a:accent4>
      <a:accent5>
        <a:srgbClr val="DB536A"/>
      </a:accent5>
      <a:accent6>
        <a:srgbClr val="464646"/>
      </a:accent6>
      <a:hlink>
        <a:srgbClr val="D04A02"/>
      </a:hlink>
      <a:folHlink>
        <a:srgbClr val="DB536A"/>
      </a:folHlink>
    </a:clrScheme>
    <a:fontScheme name="PwC">
      <a:majorFont>
        <a:latin typeface="Georgia"/>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ltGray">
        <a:solidFill>
          <a:schemeClr val="tx2"/>
        </a:solidFill>
        <a:ln w="3175"/>
      </a:spPr>
      <a:bodyPr rtlCol="0" anchor="ctr"/>
      <a:lstStyle>
        <a:defPPr algn="ctr">
          <a:defRPr dirty="0" err="1" smtClean="0">
            <a:solidFill>
              <a:schemeClr val="bg1"/>
            </a:solidFill>
            <a:latin typeface="Georgia" pitchFamily="18" charset="0"/>
          </a:defRPr>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noAutofit/>
      </a:bodyPr>
      <a:lstStyle>
        <a:defPPr>
          <a:lnSpc>
            <a:spcPts val="2400"/>
          </a:lnSpc>
          <a:defRPr sz="2000" dirty="0" err="1" smtClean="0">
            <a:latin typeface="Georgia" pitchFamily="18" charset="0"/>
          </a:defRPr>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B02F96-364C-48EB-8C24-B5AB6AE70E71}">
  <ds:schemaRefs>
    <ds:schemaRef ds:uri="http://schemas.openxmlformats.org/officeDocument/2006/bibliography"/>
  </ds:schemaRefs>
</ds:datastoreItem>
</file>

<file path=customXml/itemProps2.xml><?xml version="1.0" encoding="utf-8"?>
<ds:datastoreItem xmlns:ds="http://schemas.openxmlformats.org/officeDocument/2006/customXml" ds:itemID="{6100054C-8D59-4FB7-BE27-4BB9DA11C267}"/>
</file>

<file path=customXml/itemProps3.xml><?xml version="1.0" encoding="utf-8"?>
<ds:datastoreItem xmlns:ds="http://schemas.openxmlformats.org/officeDocument/2006/customXml" ds:itemID="{BCDEC3BD-8A05-4563-B03C-A98F2C9E6869}"/>
</file>

<file path=customXml/itemProps4.xml><?xml version="1.0" encoding="utf-8"?>
<ds:datastoreItem xmlns:ds="http://schemas.openxmlformats.org/officeDocument/2006/customXml" ds:itemID="{067D32C9-310A-4641-82DD-641930EE0802}"/>
</file>

<file path=docProps/app.xml><?xml version="1.0" encoding="utf-8"?>
<Properties xmlns="http://schemas.openxmlformats.org/officeDocument/2006/extended-properties" xmlns:vt="http://schemas.openxmlformats.org/officeDocument/2006/docPropsVTypes">
  <Template>PwCWL_Report v9.dotm</Template>
  <TotalTime>344</TotalTime>
  <Pages>39</Pages>
  <Words>14319</Words>
  <Characters>81541</Characters>
  <Application>Microsoft Office Word</Application>
  <DocSecurity>0</DocSecurity>
  <Lines>679</Lines>
  <Paragraphs>191</Paragraphs>
  <ScaleCrop>false</ScaleCrop>
  <HeadingPairs>
    <vt:vector size="2" baseType="variant">
      <vt:variant>
        <vt:lpstr>Title</vt:lpstr>
      </vt:variant>
      <vt:variant>
        <vt:i4>1</vt:i4>
      </vt:variant>
    </vt:vector>
  </HeadingPairs>
  <TitlesOfParts>
    <vt:vector size="1" baseType="lpstr">
      <vt:lpstr>PwC Report</vt:lpstr>
    </vt:vector>
  </TitlesOfParts>
  <Company>PricewaterhouseCoopers</Company>
  <LinksUpToDate>false</LinksUpToDate>
  <CharactersWithSpaces>95669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PwC Report</dc:title>
  <dc:creator>Sinead McKenna</dc:creator>
  <cp:lastModifiedBy>Sinead McKenna (AU)</cp:lastModifiedBy>
  <cp:revision>20</cp:revision>
  <cp:lastPrinted>2023-05-22T09:19:00Z</cp:lastPrinted>
  <dcterms:created xsi:type="dcterms:W3CDTF">2023-05-22T03:37:00Z</dcterms:created>
  <dcterms:modified xsi:type="dcterms:W3CDTF">2023-05-22T09:28:00Z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ace included">
    <vt:bool>false</vt:bool>
  </property>
  <property fmtid="{D5CDD505-2E9C-101B-9397-08002B2CF9AE}" pid="3" name="ToC levels">
    <vt:i4>1</vt:i4>
  </property>
  <property fmtid="{D5CDD505-2E9C-101B-9397-08002B2CF9AE}" pid="4" name="Document format">
    <vt:lpwstr>SHORT</vt:lpwstr>
  </property>
  <property fmtid="{D5CDD505-2E9C-101B-9397-08002B2CF9AE}" pid="5" name="Chapter number">
    <vt:i4>2</vt:i4>
  </property>
  <property fmtid="{D5CDD505-2E9C-101B-9397-08002B2CF9AE}" pid="6" name="Appendix format">
    <vt:lpwstr>SHORT</vt:lpwstr>
  </property>
  <property fmtid="{D5CDD505-2E9C-101B-9397-08002B2CF9AE}" pid="7" name="Appendix number">
    <vt:i4>3</vt:i4>
  </property>
  <property fmtid="{D5CDD505-2E9C-101B-9397-08002B2CF9AE}" pid="8" name="Letterhead included">
    <vt:bool>false</vt:bool>
  </property>
  <property fmtid="{D5CDD505-2E9C-101B-9397-08002B2CF9AE}" pid="9" name="Color">
    <vt:lpwstr>sBurgundy</vt:lpwstr>
  </property>
  <property fmtid="{D5CDD505-2E9C-101B-9397-08002B2CF9AE}" pid="10" name="Numbering Style">
    <vt:bool>true</vt:bool>
  </property>
  <property fmtid="{D5CDD505-2E9C-101B-9397-08002B2CF9AE}" pid="11" name="TOC Color">
    <vt:bool>true</vt:bool>
  </property>
  <property fmtid="{D5CDD505-2E9C-101B-9397-08002B2CF9AE}" pid="12" name="Point Size">
    <vt:lpwstr>10</vt:lpwstr>
  </property>
  <property fmtid="{D5CDD505-2E9C-101B-9397-08002B2CF9AE}" pid="13" name="Font">
    <vt:lpwstr>Georgia</vt:lpwstr>
  </property>
  <property fmtid="{D5CDD505-2E9C-101B-9397-08002B2CF9AE}" pid="14" name="Portrait Document">
    <vt:bool>true</vt:bool>
  </property>
  <property fmtid="{D5CDD505-2E9C-101B-9397-08002B2CF9AE}" pid="15" name="Key Sentences">
    <vt:bool>true</vt:bool>
  </property>
  <property fmtid="{D5CDD505-2E9C-101B-9397-08002B2CF9AE}" pid="16" name="KeySentenceFormat">
    <vt:lpwstr>NR</vt:lpwstr>
  </property>
  <property fmtid="{D5CDD505-2E9C-101B-9397-08002B2CF9AE}" pid="17" name="New Report">
    <vt:bool>false</vt:bool>
  </property>
  <property fmtid="{D5CDD505-2E9C-101B-9397-08002B2CF9AE}" pid="18" name="Mirror Margins">
    <vt:bool>false</vt:bool>
  </property>
  <property fmtid="{D5CDD505-2E9C-101B-9397-08002B2CF9AE}" pid="19" name="Number of Columns">
    <vt:i4>1</vt:i4>
  </property>
  <property fmtid="{D5CDD505-2E9C-101B-9397-08002B2CF9AE}" pid="20" name="Double">
    <vt:bool>false</vt:bool>
  </property>
  <property fmtid="{D5CDD505-2E9C-101B-9397-08002B2CF9AE}" pid="21" name="Version">
    <vt:lpwstr>2019_06_14</vt:lpwstr>
  </property>
  <property fmtid="{D5CDD505-2E9C-101B-9397-08002B2CF9AE}" pid="22" name="AP report or proposal">
    <vt:bool>true</vt:bool>
  </property>
  <property fmtid="{D5CDD505-2E9C-101B-9397-08002B2CF9AE}" pid="23" name="VersionNo">
    <vt:lpwstr>10.3</vt:lpwstr>
  </property>
  <property fmtid="{D5CDD505-2E9C-101B-9397-08002B2CF9AE}" pid="24" name="TopBinding">
    <vt:bool>false</vt:bool>
  </property>
  <property fmtid="{D5CDD505-2E9C-101B-9397-08002B2CF9AE}" pid="25" name="TableProperties">
    <vt:lpwstr>B1|R0.2|R0.4|R1|R1|</vt:lpwstr>
  </property>
  <property fmtid="{D5CDD505-2E9C-101B-9397-08002B2CF9AE}" pid="26" name="NotPrinted">
    <vt:bool>false</vt:bool>
  </property>
  <property fmtid="{D5CDD505-2E9C-101B-9397-08002B2CF9AE}" pid="27" name="Grid">
    <vt:bool>false</vt:bool>
  </property>
  <property fmtid="{D5CDD505-2E9C-101B-9397-08002B2CF9AE}" pid="28" name="Disclaimer">
    <vt:lpwstr>PwC’s Consulting Services</vt:lpwstr>
  </property>
  <property fmtid="{D5CDD505-2E9C-101B-9397-08002B2CF9AE}" pid="29" name="chkDisclaimer">
    <vt:bool>false</vt:bool>
  </property>
  <property fmtid="{D5CDD505-2E9C-101B-9397-08002B2CF9AE}" pid="30" name="chkDescriptor">
    <vt:bool>false</vt:bool>
  </property>
  <property fmtid="{D5CDD505-2E9C-101B-9397-08002B2CF9AE}" pid="31" name="txtClientName">
    <vt:lpwstr>[CLIENT NAME]</vt:lpwstr>
  </property>
  <property fmtid="{D5CDD505-2E9C-101B-9397-08002B2CF9AE}" pid="32" name="txtEngagementDate">
    <vt:lpwstr>[d Month yyyy]</vt:lpwstr>
  </property>
  <property fmtid="{D5CDD505-2E9C-101B-9397-08002B2CF9AE}" pid="33" name="chkConsultingDisclaimer">
    <vt:lpwstr>Yes</vt:lpwstr>
  </property>
</Properties>
</file>